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1F7" w:rsidRDefault="007E51F7" w:rsidP="004D30C3">
      <w:pPr>
        <w:pStyle w:val="big-header"/>
        <w:ind w:left="0" w:right="1134"/>
        <w:rPr>
          <w:rFonts w:cs="FrankRuehl"/>
          <w:sz w:val="32"/>
        </w:rPr>
      </w:pPr>
      <w:r>
        <w:rPr>
          <w:rFonts w:cs="FrankRuehl"/>
          <w:sz w:val="32"/>
          <w:rtl/>
        </w:rPr>
        <w:t>תקנות מס הכנסה (ניכוי מהתמורה במכירת מניות), תשכ"ד</w:t>
      </w:r>
      <w:r w:rsidR="004D30C3">
        <w:rPr>
          <w:rFonts w:cs="FrankRuehl" w:hint="cs"/>
          <w:sz w:val="32"/>
          <w:rtl/>
        </w:rPr>
        <w:t>-</w:t>
      </w:r>
      <w:r>
        <w:rPr>
          <w:rFonts w:cs="FrankRuehl"/>
          <w:sz w:val="32"/>
          <w:rtl/>
        </w:rPr>
        <w:t>1964</w:t>
      </w:r>
    </w:p>
    <w:p w:rsidR="007A47A5" w:rsidRDefault="007A47A5" w:rsidP="007A47A5">
      <w:pPr>
        <w:spacing w:line="320" w:lineRule="auto"/>
        <w:rPr>
          <w:rtl/>
        </w:rPr>
      </w:pPr>
    </w:p>
    <w:p w:rsidR="007A47A5" w:rsidRDefault="007A47A5" w:rsidP="007A47A5">
      <w:pPr>
        <w:spacing w:line="320" w:lineRule="auto"/>
        <w:rPr>
          <w:rFonts w:cs="FrankRuehl"/>
          <w:szCs w:val="26"/>
          <w:rtl/>
        </w:rPr>
      </w:pPr>
      <w:r w:rsidRPr="007A47A5">
        <w:rPr>
          <w:rFonts w:cs="Miriam"/>
          <w:szCs w:val="22"/>
          <w:rtl/>
        </w:rPr>
        <w:t>מסים</w:t>
      </w:r>
      <w:r w:rsidRPr="007A47A5">
        <w:rPr>
          <w:rFonts w:cs="FrankRuehl"/>
          <w:szCs w:val="26"/>
          <w:rtl/>
        </w:rPr>
        <w:t xml:space="preserve"> – מס הכנסה – ניכויים – ניכוי במקור</w:t>
      </w:r>
    </w:p>
    <w:p w:rsidR="007A47A5" w:rsidRPr="007A47A5" w:rsidRDefault="007A47A5" w:rsidP="007A47A5">
      <w:pPr>
        <w:spacing w:line="320" w:lineRule="auto"/>
        <w:rPr>
          <w:rFonts w:cs="Miriam"/>
          <w:szCs w:val="22"/>
          <w:rtl/>
        </w:rPr>
      </w:pPr>
      <w:r w:rsidRPr="007A47A5">
        <w:rPr>
          <w:rFonts w:cs="Miriam"/>
          <w:szCs w:val="22"/>
          <w:rtl/>
        </w:rPr>
        <w:t>מסים</w:t>
      </w:r>
      <w:r w:rsidRPr="007A47A5">
        <w:rPr>
          <w:rFonts w:cs="FrankRuehl"/>
          <w:szCs w:val="26"/>
          <w:rtl/>
        </w:rPr>
        <w:t xml:space="preserve"> – מס הכנסה – חברות</w:t>
      </w:r>
    </w:p>
    <w:p w:rsidR="007E51F7" w:rsidRDefault="007E51F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Seif0</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0" w:tooltip="הגדרות" w:history="1">
              <w:r>
                <w:rPr>
                  <w:rStyle w:val="Hyperlink"/>
                </w:rPr>
                <w:t>Go</w:t>
              </w:r>
            </w:hyperlink>
          </w:p>
        </w:tc>
        <w:tc>
          <w:tcPr>
            <w:tcW w:w="5669" w:type="dxa"/>
          </w:tcPr>
          <w:p w:rsidR="007E51F7" w:rsidRDefault="007E51F7">
            <w:pPr>
              <w:rPr>
                <w:rtl/>
              </w:rPr>
            </w:pPr>
            <w:r>
              <w:rPr>
                <w:rtl/>
              </w:rPr>
              <w:t>הגדרות</w:t>
            </w:r>
          </w:p>
        </w:tc>
        <w:tc>
          <w:tcPr>
            <w:tcW w:w="1247" w:type="dxa"/>
          </w:tcPr>
          <w:p w:rsidR="007E51F7" w:rsidRDefault="007E51F7">
            <w:r>
              <w:rPr>
                <w:rtl/>
              </w:rPr>
              <w:t xml:space="preserve">סעיף 1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Seif1</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1" w:tooltip="ניכוי מס במקור" w:history="1">
              <w:r>
                <w:rPr>
                  <w:rStyle w:val="Hyperlink"/>
                </w:rPr>
                <w:t>Go</w:t>
              </w:r>
            </w:hyperlink>
          </w:p>
        </w:tc>
        <w:tc>
          <w:tcPr>
            <w:tcW w:w="5669" w:type="dxa"/>
          </w:tcPr>
          <w:p w:rsidR="007E51F7" w:rsidRDefault="007E51F7">
            <w:pPr>
              <w:rPr>
                <w:rtl/>
              </w:rPr>
            </w:pPr>
            <w:r>
              <w:rPr>
                <w:rtl/>
              </w:rPr>
              <w:t>ניכוי מס במקור</w:t>
            </w:r>
          </w:p>
        </w:tc>
        <w:tc>
          <w:tcPr>
            <w:tcW w:w="1247" w:type="dxa"/>
          </w:tcPr>
          <w:p w:rsidR="007E51F7" w:rsidRDefault="007E51F7">
            <w:r>
              <w:rPr>
                <w:rtl/>
              </w:rPr>
              <w:t xml:space="preserve">סעיף 2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Seif2</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2" w:tooltip="ניכוי הוצאות" w:history="1">
              <w:r>
                <w:rPr>
                  <w:rStyle w:val="Hyperlink"/>
                </w:rPr>
                <w:t>Go</w:t>
              </w:r>
            </w:hyperlink>
          </w:p>
        </w:tc>
        <w:tc>
          <w:tcPr>
            <w:tcW w:w="5669" w:type="dxa"/>
          </w:tcPr>
          <w:p w:rsidR="007E51F7" w:rsidRDefault="007E51F7">
            <w:pPr>
              <w:rPr>
                <w:rtl/>
              </w:rPr>
            </w:pPr>
            <w:r>
              <w:rPr>
                <w:rtl/>
              </w:rPr>
              <w:t>ניכוי הוצאות</w:t>
            </w:r>
          </w:p>
        </w:tc>
        <w:tc>
          <w:tcPr>
            <w:tcW w:w="1247" w:type="dxa"/>
          </w:tcPr>
          <w:p w:rsidR="007E51F7" w:rsidRDefault="007E51F7">
            <w:r>
              <w:rPr>
                <w:rtl/>
              </w:rPr>
              <w:t xml:space="preserve">סעיף 3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Seif3</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3" w:tooltip="תשלום והגשת דוח לפקיד השומה" w:history="1">
              <w:r>
                <w:rPr>
                  <w:rStyle w:val="Hyperlink"/>
                </w:rPr>
                <w:t>Go</w:t>
              </w:r>
            </w:hyperlink>
          </w:p>
        </w:tc>
        <w:tc>
          <w:tcPr>
            <w:tcW w:w="5669" w:type="dxa"/>
          </w:tcPr>
          <w:p w:rsidR="007E51F7" w:rsidRDefault="007E51F7">
            <w:pPr>
              <w:rPr>
                <w:rtl/>
              </w:rPr>
            </w:pPr>
            <w:r>
              <w:rPr>
                <w:rtl/>
              </w:rPr>
              <w:t>תשלום והגשת דוח לפקיד השומה</w:t>
            </w:r>
          </w:p>
        </w:tc>
        <w:tc>
          <w:tcPr>
            <w:tcW w:w="1247" w:type="dxa"/>
          </w:tcPr>
          <w:p w:rsidR="007E51F7" w:rsidRDefault="007E51F7">
            <w:r>
              <w:rPr>
                <w:rtl/>
              </w:rPr>
              <w:t xml:space="preserve">סעיף 4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Seif4</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4" w:tooltip="אישורים" w:history="1">
              <w:r>
                <w:rPr>
                  <w:rStyle w:val="Hyperlink"/>
                </w:rPr>
                <w:t>Go</w:t>
              </w:r>
            </w:hyperlink>
          </w:p>
        </w:tc>
        <w:tc>
          <w:tcPr>
            <w:tcW w:w="5669" w:type="dxa"/>
          </w:tcPr>
          <w:p w:rsidR="007E51F7" w:rsidRDefault="007E51F7">
            <w:pPr>
              <w:rPr>
                <w:rtl/>
              </w:rPr>
            </w:pPr>
            <w:r>
              <w:rPr>
                <w:rtl/>
              </w:rPr>
              <w:t>אישורים</w:t>
            </w:r>
          </w:p>
        </w:tc>
        <w:tc>
          <w:tcPr>
            <w:tcW w:w="1247" w:type="dxa"/>
          </w:tcPr>
          <w:p w:rsidR="007E51F7" w:rsidRDefault="007E51F7">
            <w:r>
              <w:rPr>
                <w:rtl/>
              </w:rPr>
              <w:t xml:space="preserve">סעיף 5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Seif5</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5" w:tooltip="שיטת החישוב" w:history="1">
              <w:r>
                <w:rPr>
                  <w:rStyle w:val="Hyperlink"/>
                </w:rPr>
                <w:t>Go</w:t>
              </w:r>
            </w:hyperlink>
          </w:p>
        </w:tc>
        <w:tc>
          <w:tcPr>
            <w:tcW w:w="5669" w:type="dxa"/>
          </w:tcPr>
          <w:p w:rsidR="007E51F7" w:rsidRDefault="007E51F7">
            <w:pPr>
              <w:rPr>
                <w:rtl/>
              </w:rPr>
            </w:pPr>
            <w:r>
              <w:rPr>
                <w:rtl/>
              </w:rPr>
              <w:t>שיטת החישוב</w:t>
            </w:r>
          </w:p>
        </w:tc>
        <w:tc>
          <w:tcPr>
            <w:tcW w:w="1247" w:type="dxa"/>
          </w:tcPr>
          <w:p w:rsidR="007E51F7" w:rsidRDefault="007E51F7">
            <w:r>
              <w:rPr>
                <w:rtl/>
              </w:rPr>
              <w:t xml:space="preserve">סעיף 6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Seif6</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6" w:tooltip="מתן פטור מניכוי" w:history="1">
              <w:r>
                <w:rPr>
                  <w:rStyle w:val="Hyperlink"/>
                </w:rPr>
                <w:t>Go</w:t>
              </w:r>
            </w:hyperlink>
          </w:p>
        </w:tc>
        <w:tc>
          <w:tcPr>
            <w:tcW w:w="5669" w:type="dxa"/>
          </w:tcPr>
          <w:p w:rsidR="007E51F7" w:rsidRDefault="007E51F7">
            <w:pPr>
              <w:rPr>
                <w:rtl/>
              </w:rPr>
            </w:pPr>
            <w:r>
              <w:rPr>
                <w:rtl/>
              </w:rPr>
              <w:t>מתן פטור מניכוי</w:t>
            </w:r>
          </w:p>
        </w:tc>
        <w:tc>
          <w:tcPr>
            <w:tcW w:w="1247" w:type="dxa"/>
          </w:tcPr>
          <w:p w:rsidR="007E51F7" w:rsidRDefault="007E51F7">
            <w:r>
              <w:rPr>
                <w:rtl/>
              </w:rPr>
              <w:t xml:space="preserve">סעיף 7 </w:t>
            </w:r>
          </w:p>
        </w:tc>
      </w:tr>
      <w:tr w:rsidR="007E51F7">
        <w:tblPrEx>
          <w:tblCellMar>
            <w:top w:w="0" w:type="dxa"/>
            <w:bottom w:w="0" w:type="dxa"/>
          </w:tblCellMar>
        </w:tblPrEx>
        <w:tc>
          <w:tcPr>
            <w:tcW w:w="850" w:type="dxa"/>
          </w:tcPr>
          <w:p w:rsidR="007E51F7" w:rsidRDefault="007E51F7">
            <w:r>
              <w:rPr>
                <w:rtl/>
              </w:rPr>
              <w:fldChar w:fldCharType="begin"/>
            </w:r>
            <w:r>
              <w:rPr>
                <w:rtl/>
              </w:rPr>
              <w:instrText xml:space="preserve"> </w:instrText>
            </w:r>
            <w:r>
              <w:instrText>PAGEREF Seif7</w:instrText>
            </w:r>
            <w:r>
              <w:rPr>
                <w:rtl/>
              </w:rPr>
              <w:instrText xml:space="preserve"> </w:instrText>
            </w:r>
            <w:r>
              <w:rPr>
                <w:rtl/>
              </w:rPr>
              <w:fldChar w:fldCharType="separate"/>
            </w:r>
            <w:r w:rsidR="004D30C3">
              <w:rPr>
                <w:noProof/>
                <w:rtl/>
              </w:rPr>
              <w:t>2</w:t>
            </w:r>
            <w:r>
              <w:rPr>
                <w:rtl/>
              </w:rPr>
              <w:fldChar w:fldCharType="end"/>
            </w:r>
          </w:p>
        </w:tc>
        <w:tc>
          <w:tcPr>
            <w:tcW w:w="567" w:type="dxa"/>
          </w:tcPr>
          <w:p w:rsidR="007E51F7" w:rsidRDefault="007E51F7">
            <w:hyperlink w:anchor="Seif7" w:tooltip="השם" w:history="1">
              <w:r>
                <w:rPr>
                  <w:rStyle w:val="Hyperlink"/>
                </w:rPr>
                <w:t>Go</w:t>
              </w:r>
            </w:hyperlink>
          </w:p>
        </w:tc>
        <w:tc>
          <w:tcPr>
            <w:tcW w:w="5669" w:type="dxa"/>
          </w:tcPr>
          <w:p w:rsidR="007E51F7" w:rsidRDefault="007E51F7">
            <w:pPr>
              <w:rPr>
                <w:rtl/>
              </w:rPr>
            </w:pPr>
            <w:r>
              <w:rPr>
                <w:rtl/>
              </w:rPr>
              <w:t>השם</w:t>
            </w:r>
          </w:p>
        </w:tc>
        <w:tc>
          <w:tcPr>
            <w:tcW w:w="1247" w:type="dxa"/>
          </w:tcPr>
          <w:p w:rsidR="007E51F7" w:rsidRDefault="007E51F7">
            <w:r>
              <w:rPr>
                <w:rtl/>
              </w:rPr>
              <w:t xml:space="preserve">סעיף 8 </w:t>
            </w:r>
          </w:p>
        </w:tc>
      </w:tr>
    </w:tbl>
    <w:p w:rsidR="007E51F7" w:rsidRDefault="007E51F7">
      <w:pPr>
        <w:pStyle w:val="big-header"/>
        <w:ind w:left="0" w:right="1134"/>
        <w:rPr>
          <w:rFonts w:cs="FrankRuehl"/>
          <w:sz w:val="32"/>
          <w:rtl/>
        </w:rPr>
      </w:pPr>
    </w:p>
    <w:p w:rsidR="007E51F7" w:rsidRDefault="007E51F7" w:rsidP="007A47A5">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(ניכוי מהתמורה במכירת מניות), תשכ"ד</w:t>
      </w:r>
      <w:r w:rsidR="004D30C3">
        <w:rPr>
          <w:rFonts w:cs="FrankRuehl" w:hint="cs"/>
          <w:sz w:val="32"/>
          <w:rtl/>
        </w:rPr>
        <w:t>-</w:t>
      </w:r>
      <w:r>
        <w:rPr>
          <w:rFonts w:cs="FrankRuehl"/>
          <w:sz w:val="32"/>
          <w:rtl/>
        </w:rPr>
        <w:t>1964</w:t>
      </w:r>
      <w:r w:rsidR="004D30C3">
        <w:rPr>
          <w:rStyle w:val="a6"/>
          <w:rFonts w:cs="FrankRuehl"/>
          <w:sz w:val="32"/>
          <w:rtl/>
        </w:rPr>
        <w:footnoteReference w:customMarkFollows="1" w:id="1"/>
        <w:t>*</w:t>
      </w:r>
    </w:p>
    <w:p w:rsidR="007E51F7" w:rsidRPr="00FF2E3A" w:rsidRDefault="007E51F7">
      <w:pPr>
        <w:pStyle w:val="P00"/>
        <w:spacing w:before="72"/>
        <w:ind w:left="0" w:right="1134"/>
        <w:rPr>
          <w:rStyle w:val="default"/>
          <w:rFonts w:cs="FrankRuehl"/>
          <w:rtl/>
        </w:rPr>
      </w:pPr>
      <w:r w:rsidRPr="00FF2E3A">
        <w:rPr>
          <w:rFonts w:cs="FrankRuehl"/>
          <w:sz w:val="26"/>
          <w:rtl/>
        </w:rPr>
        <w:tab/>
      </w:r>
      <w:r w:rsidRPr="00FF2E3A">
        <w:rPr>
          <w:rStyle w:val="default"/>
          <w:rFonts w:cs="FrankRuehl"/>
          <w:rtl/>
        </w:rPr>
        <w:t>בתוקף סמכותי לפי הסעיפים 105א, 164 ו-243 לפקודת מס הכנסה, אני מתקין תקנות אלה:</w:t>
      </w:r>
    </w:p>
    <w:p w:rsidR="007E51F7" w:rsidRDefault="007E51F7">
      <w:pPr>
        <w:pStyle w:val="P00"/>
        <w:spacing w:before="72"/>
        <w:ind w:left="0" w:right="1134"/>
        <w:rPr>
          <w:rStyle w:val="default"/>
          <w:rFonts w:cs="FrankRuehl" w:hint="cs"/>
          <w:rtl/>
        </w:rPr>
      </w:pPr>
      <w:bookmarkStart w:id="0" w:name="Seif0"/>
      <w:bookmarkEnd w:id="0"/>
      <w:r w:rsidRPr="004D30C3">
        <w:rPr>
          <w:rFonts w:cs="Miriam"/>
          <w:lang w:val="he-IL"/>
        </w:rPr>
        <w:pict>
          <v:rect id="_x0000_s1026" style="position:absolute;left:0;text-align:left;margin-left:464.5pt;margin-top:8.05pt;width:75.05pt;height:14.2pt;z-index:251654144" o:allowincell="f" filled="f" stroked="f" strokecolor="lime" strokeweight=".25pt">
            <v:textbox inset="0,0,0,0">
              <w:txbxContent>
                <w:p w:rsidR="007E51F7" w:rsidRDefault="007E51F7">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4D30C3">
        <w:rPr>
          <w:rStyle w:val="big-number"/>
          <w:rFonts w:cs="Miriam"/>
          <w:rtl/>
        </w:rPr>
        <w:t>1</w:t>
      </w:r>
      <w:r w:rsidRPr="004D30C3">
        <w:rPr>
          <w:rStyle w:val="big-number"/>
          <w:rFonts w:cs="FrankRuehl"/>
          <w:sz w:val="26"/>
          <w:szCs w:val="26"/>
          <w:rtl/>
        </w:rPr>
        <w:t>.</w:t>
      </w:r>
      <w:r w:rsidRPr="004D30C3">
        <w:rPr>
          <w:rStyle w:val="big-number"/>
          <w:rFonts w:cs="FrankRuehl"/>
          <w:sz w:val="26"/>
          <w:szCs w:val="26"/>
          <w:rtl/>
        </w:rPr>
        <w:tab/>
      </w:r>
      <w:r w:rsidR="004D30C3">
        <w:rPr>
          <w:rStyle w:val="default"/>
          <w:rFonts w:cs="FrankRuehl"/>
          <w:rtl/>
        </w:rPr>
        <w:t>בתקנות אלה –</w:t>
      </w:r>
    </w:p>
    <w:p w:rsidR="007E51F7" w:rsidRPr="00FF2E3A" w:rsidRDefault="007E51F7" w:rsidP="004D30C3">
      <w:pPr>
        <w:pStyle w:val="P00"/>
        <w:spacing w:before="72"/>
        <w:ind w:left="0" w:right="1134"/>
        <w:rPr>
          <w:rStyle w:val="default"/>
          <w:rFonts w:cs="FrankRuehl"/>
          <w:rtl/>
        </w:rPr>
      </w:pPr>
      <w:r w:rsidRPr="00FF2E3A">
        <w:rPr>
          <w:rFonts w:cs="FrankRuehl"/>
          <w:sz w:val="26"/>
          <w:rtl/>
        </w:rPr>
        <w:tab/>
      </w:r>
      <w:r w:rsidRPr="00FF2E3A">
        <w:rPr>
          <w:rStyle w:val="default"/>
          <w:rFonts w:cs="FrankRuehl"/>
          <w:rtl/>
        </w:rPr>
        <w:t xml:space="preserve">"מניה", "מחיר ממוצע" ו"בורסה" </w:t>
      </w:r>
      <w:r w:rsidR="004D30C3">
        <w:rPr>
          <w:rStyle w:val="default"/>
          <w:rFonts w:cs="FrankRuehl" w:hint="cs"/>
          <w:rtl/>
        </w:rPr>
        <w:t>-</w:t>
      </w:r>
      <w:r w:rsidRPr="00FF2E3A">
        <w:rPr>
          <w:rStyle w:val="default"/>
          <w:rFonts w:cs="FrankRuehl"/>
          <w:rtl/>
        </w:rPr>
        <w:t xml:space="preserve"> כמשמעותם בצו מס הכנסה (פטור ממס על ריווח הון ממכירת מניות), תשכ"ד</w:t>
      </w:r>
      <w:r w:rsidR="004D30C3">
        <w:rPr>
          <w:rStyle w:val="default"/>
          <w:rFonts w:cs="FrankRuehl" w:hint="cs"/>
          <w:rtl/>
        </w:rPr>
        <w:t>-</w:t>
      </w:r>
      <w:r w:rsidRPr="00FF2E3A">
        <w:rPr>
          <w:rStyle w:val="default"/>
          <w:rFonts w:cs="FrankRuehl"/>
          <w:rtl/>
        </w:rPr>
        <w:t xml:space="preserve">1964 (להלן </w:t>
      </w:r>
      <w:r w:rsidR="004D30C3">
        <w:rPr>
          <w:rStyle w:val="default"/>
          <w:rFonts w:cs="FrankRuehl" w:hint="cs"/>
          <w:rtl/>
        </w:rPr>
        <w:t>-</w:t>
      </w:r>
      <w:r w:rsidRPr="00FF2E3A">
        <w:rPr>
          <w:rStyle w:val="default"/>
          <w:rFonts w:cs="FrankRuehl"/>
          <w:rtl/>
        </w:rPr>
        <w:t xml:space="preserve"> הצו);</w:t>
      </w:r>
    </w:p>
    <w:p w:rsidR="007E51F7" w:rsidRPr="00FF2E3A" w:rsidRDefault="007E51F7" w:rsidP="004D30C3">
      <w:pPr>
        <w:pStyle w:val="P00"/>
        <w:spacing w:before="72"/>
        <w:ind w:left="0" w:right="1134"/>
        <w:rPr>
          <w:rStyle w:val="default"/>
          <w:rFonts w:cs="FrankRuehl"/>
          <w:rtl/>
        </w:rPr>
      </w:pPr>
      <w:r w:rsidRPr="00FF2E3A">
        <w:rPr>
          <w:rFonts w:cs="FrankRuehl"/>
          <w:sz w:val="26"/>
          <w:rtl/>
        </w:rPr>
        <w:tab/>
      </w:r>
      <w:r w:rsidRPr="00FF2E3A">
        <w:rPr>
          <w:rStyle w:val="default"/>
          <w:rFonts w:cs="FrankRuehl"/>
          <w:rtl/>
        </w:rPr>
        <w:t xml:space="preserve">"סוחר" </w:t>
      </w:r>
      <w:r w:rsidR="004D30C3">
        <w:rPr>
          <w:rStyle w:val="default"/>
          <w:rFonts w:cs="FrankRuehl" w:hint="cs"/>
          <w:rtl/>
        </w:rPr>
        <w:t>-</w:t>
      </w:r>
      <w:r w:rsidRPr="00FF2E3A">
        <w:rPr>
          <w:rStyle w:val="default"/>
          <w:rFonts w:cs="FrankRuehl"/>
          <w:rtl/>
        </w:rPr>
        <w:t xml:space="preserve"> מוסד בנקאי כמשמעותו בחוק בנק ישראל, תשי"ד</w:t>
      </w:r>
      <w:r w:rsidR="004D30C3">
        <w:rPr>
          <w:rStyle w:val="default"/>
          <w:rFonts w:cs="FrankRuehl" w:hint="cs"/>
          <w:rtl/>
        </w:rPr>
        <w:t>-</w:t>
      </w:r>
      <w:r w:rsidRPr="00FF2E3A">
        <w:rPr>
          <w:rStyle w:val="default"/>
          <w:rFonts w:cs="FrankRuehl"/>
          <w:rtl/>
        </w:rPr>
        <w:t>1954, חבר הבורסה, אדם העוסק במסחר או בתיווך ניירות ערך, וכן אדם אחר המשלם, מטעמם או במקומם, תמורה;</w:t>
      </w:r>
    </w:p>
    <w:p w:rsidR="007E51F7" w:rsidRPr="00FF2E3A" w:rsidRDefault="007E51F7" w:rsidP="004D30C3">
      <w:pPr>
        <w:pStyle w:val="P00"/>
        <w:spacing w:before="72"/>
        <w:ind w:left="0" w:right="1134"/>
        <w:rPr>
          <w:rStyle w:val="default"/>
          <w:rFonts w:cs="FrankRuehl"/>
          <w:rtl/>
        </w:rPr>
      </w:pPr>
      <w:r w:rsidRPr="00FF2E3A">
        <w:rPr>
          <w:rFonts w:cs="FrankRuehl"/>
          <w:sz w:val="26"/>
          <w:rtl/>
        </w:rPr>
        <w:tab/>
      </w:r>
      <w:r w:rsidRPr="00FF2E3A">
        <w:rPr>
          <w:rStyle w:val="default"/>
          <w:rFonts w:cs="FrankRuehl"/>
          <w:rtl/>
        </w:rPr>
        <w:t xml:space="preserve">"מוכר" </w:t>
      </w:r>
      <w:r w:rsidR="004D30C3">
        <w:rPr>
          <w:rStyle w:val="default"/>
          <w:rFonts w:cs="FrankRuehl" w:hint="cs"/>
          <w:rtl/>
        </w:rPr>
        <w:t>-</w:t>
      </w:r>
      <w:r w:rsidRPr="00FF2E3A">
        <w:rPr>
          <w:rStyle w:val="default"/>
          <w:rFonts w:cs="FrankRuehl"/>
          <w:rtl/>
        </w:rPr>
        <w:t xml:space="preserve"> אדם המקבל תמורה במכירת מניות, למעט אדם שאושר לענין זה על ידי הנציב.</w:t>
      </w:r>
    </w:p>
    <w:p w:rsidR="007E51F7" w:rsidRPr="00FF2E3A" w:rsidRDefault="007E51F7" w:rsidP="004D30C3">
      <w:pPr>
        <w:pStyle w:val="P00"/>
        <w:spacing w:before="72"/>
        <w:ind w:left="0" w:right="1134"/>
        <w:rPr>
          <w:rStyle w:val="default"/>
          <w:rFonts w:cs="FrankRuehl"/>
          <w:rtl/>
        </w:rPr>
      </w:pPr>
      <w:bookmarkStart w:id="1" w:name="Seif1"/>
      <w:bookmarkEnd w:id="1"/>
      <w:r w:rsidRPr="004D30C3">
        <w:rPr>
          <w:rFonts w:cs="Miriam"/>
          <w:lang w:val="he-IL"/>
        </w:rPr>
        <w:pict>
          <v:rect id="_x0000_s1027" style="position:absolute;left:0;text-align:left;margin-left:464.5pt;margin-top:8.05pt;width:75.05pt;height:16pt;z-index:251655168" o:allowincell="f" filled="f" stroked="f" strokecolor="lime" strokeweight=".25pt">
            <v:textbox inset="0,0,0,0">
              <w:txbxContent>
                <w:p w:rsidR="007E51F7" w:rsidRDefault="007E51F7" w:rsidP="004D30C3">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4D30C3">
                    <w:rPr>
                      <w:rFonts w:cs="Miriam" w:hint="cs"/>
                      <w:sz w:val="18"/>
                      <w:szCs w:val="18"/>
                      <w:rtl/>
                    </w:rPr>
                    <w:t xml:space="preserve"> </w:t>
                  </w:r>
                  <w:r>
                    <w:rPr>
                      <w:rFonts w:cs="Miriam"/>
                      <w:sz w:val="18"/>
                      <w:szCs w:val="18"/>
                      <w:rtl/>
                    </w:rPr>
                    <w:t>במ</w:t>
                  </w:r>
                  <w:r>
                    <w:rPr>
                      <w:rFonts w:cs="Miriam" w:hint="cs"/>
                      <w:sz w:val="18"/>
                      <w:szCs w:val="18"/>
                      <w:rtl/>
                    </w:rPr>
                    <w:t>קור</w:t>
                  </w:r>
                </w:p>
              </w:txbxContent>
            </v:textbox>
            <w10:anchorlock/>
          </v:rect>
        </w:pict>
      </w:r>
      <w:r w:rsidRPr="004D30C3">
        <w:rPr>
          <w:rStyle w:val="big-number"/>
          <w:rFonts w:cs="Miriam"/>
          <w:rtl/>
        </w:rPr>
        <w:t>2</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 xml:space="preserve">סוחר המשלם למוכר תמורה במכירת מניות </w:t>
      </w:r>
      <w:r w:rsidR="004D30C3">
        <w:rPr>
          <w:rStyle w:val="default"/>
          <w:rFonts w:cs="FrankRuehl" w:hint="cs"/>
          <w:rtl/>
        </w:rPr>
        <w:t>-</w:t>
      </w:r>
      <w:r w:rsidRPr="00FF2E3A">
        <w:rPr>
          <w:rStyle w:val="default"/>
          <w:rFonts w:cs="FrankRuehl"/>
          <w:rtl/>
        </w:rPr>
        <w:t xml:space="preserve"> למעט תמורה שריווח ההון הכלול בה פטור ממס לפי הצו </w:t>
      </w:r>
      <w:r w:rsidR="004D30C3">
        <w:rPr>
          <w:rStyle w:val="default"/>
          <w:rFonts w:cs="FrankRuehl" w:hint="cs"/>
          <w:rtl/>
        </w:rPr>
        <w:t>-</w:t>
      </w:r>
      <w:r w:rsidRPr="00FF2E3A">
        <w:rPr>
          <w:rStyle w:val="default"/>
          <w:rFonts w:cs="FrankRuehl"/>
          <w:rtl/>
        </w:rPr>
        <w:t xml:space="preserve"> ינכה מהתמורה בשעת התשלום מס בשיעור של 20% מריווח ההון שנבע מאותה מכירה.</w:t>
      </w:r>
    </w:p>
    <w:p w:rsidR="007E51F7" w:rsidRPr="00FF2E3A" w:rsidRDefault="007E51F7">
      <w:pPr>
        <w:pStyle w:val="P00"/>
        <w:spacing w:before="72"/>
        <w:ind w:left="0" w:right="1134"/>
        <w:rPr>
          <w:rStyle w:val="default"/>
          <w:rFonts w:cs="FrankRuehl"/>
          <w:rtl/>
        </w:rPr>
      </w:pPr>
      <w:bookmarkStart w:id="2" w:name="Seif2"/>
      <w:bookmarkEnd w:id="2"/>
      <w:r w:rsidRPr="004D30C3">
        <w:rPr>
          <w:rFonts w:cs="Miriam"/>
          <w:lang w:val="he-IL"/>
        </w:rPr>
        <w:pict>
          <v:rect id="_x0000_s1028" style="position:absolute;left:0;text-align:left;margin-left:464.5pt;margin-top:8.05pt;width:75.05pt;height:12.45pt;z-index:251656192" o:allowincell="f" filled="f" stroked="f" strokecolor="lime" strokeweight=".25pt">
            <v:textbox inset="0,0,0,0">
              <w:txbxContent>
                <w:p w:rsidR="007E51F7" w:rsidRDefault="007E51F7">
                  <w:pPr>
                    <w:spacing w:line="160" w:lineRule="exact"/>
                    <w:rPr>
                      <w:rFonts w:cs="Miriam"/>
                      <w:noProof/>
                      <w:sz w:val="18"/>
                      <w:szCs w:val="18"/>
                      <w:rtl/>
                    </w:rPr>
                  </w:pPr>
                  <w:r>
                    <w:rPr>
                      <w:rFonts w:cs="Miriam"/>
                      <w:sz w:val="18"/>
                      <w:szCs w:val="18"/>
                      <w:rtl/>
                    </w:rPr>
                    <w:t>ני</w:t>
                  </w:r>
                  <w:r>
                    <w:rPr>
                      <w:rFonts w:cs="Miriam" w:hint="cs"/>
                      <w:sz w:val="18"/>
                      <w:szCs w:val="18"/>
                      <w:rtl/>
                    </w:rPr>
                    <w:t>כוי הוצאות</w:t>
                  </w:r>
                </w:p>
              </w:txbxContent>
            </v:textbox>
            <w10:anchorlock/>
          </v:rect>
        </w:pict>
      </w:r>
      <w:r w:rsidRPr="004D30C3">
        <w:rPr>
          <w:rStyle w:val="big-number"/>
          <w:rFonts w:cs="Miriam"/>
          <w:rtl/>
        </w:rPr>
        <w:t>3</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לצורך חישוב ריווח ההון במכירה כאמור בתקנה 2, רשאי הסוחר להפחית ממחיר המכירה דמי עמלה והוצאות אחרות כיוצא באלה שהיו ברכישת המניות ובמכירתן ובלבד שסכום ההוצאות כאמור לא יעלה על 2% ממחיר המכירה.</w:t>
      </w:r>
    </w:p>
    <w:p w:rsidR="007E51F7" w:rsidRPr="00FF2E3A" w:rsidRDefault="007E51F7">
      <w:pPr>
        <w:pStyle w:val="P00"/>
        <w:spacing w:before="72"/>
        <w:ind w:left="0" w:right="1134"/>
        <w:rPr>
          <w:rStyle w:val="default"/>
          <w:rFonts w:cs="FrankRuehl"/>
          <w:rtl/>
        </w:rPr>
      </w:pPr>
      <w:bookmarkStart w:id="3" w:name="Seif3"/>
      <w:bookmarkEnd w:id="3"/>
      <w:r w:rsidRPr="004D30C3">
        <w:rPr>
          <w:rFonts w:cs="Miriam"/>
          <w:lang w:val="he-IL"/>
        </w:rPr>
        <w:pict>
          <v:rect id="_x0000_s1029" style="position:absolute;left:0;text-align:left;margin-left:464.5pt;margin-top:8.05pt;width:75.05pt;height:24pt;z-index:251657216" o:allowincell="f" filled="f" stroked="f" strokecolor="lime" strokeweight=".25pt">
            <v:textbox inset="0,0,0,0">
              <w:txbxContent>
                <w:p w:rsidR="007E51F7" w:rsidRDefault="007E51F7" w:rsidP="004D30C3">
                  <w:pPr>
                    <w:spacing w:line="160" w:lineRule="exact"/>
                    <w:rPr>
                      <w:rFonts w:cs="Miriam"/>
                      <w:noProof/>
                      <w:sz w:val="18"/>
                      <w:szCs w:val="18"/>
                      <w:rtl/>
                    </w:rPr>
                  </w:pPr>
                  <w:r>
                    <w:rPr>
                      <w:rFonts w:cs="Miriam"/>
                      <w:sz w:val="18"/>
                      <w:szCs w:val="18"/>
                      <w:rtl/>
                    </w:rPr>
                    <w:t>תש</w:t>
                  </w:r>
                  <w:r>
                    <w:rPr>
                      <w:rFonts w:cs="Miriam" w:hint="cs"/>
                      <w:sz w:val="18"/>
                      <w:szCs w:val="18"/>
                      <w:rtl/>
                    </w:rPr>
                    <w:t>לום</w:t>
                  </w:r>
                  <w:r w:rsidR="004D30C3">
                    <w:rPr>
                      <w:rFonts w:cs="Miriam" w:hint="cs"/>
                      <w:sz w:val="18"/>
                      <w:szCs w:val="18"/>
                      <w:rtl/>
                    </w:rPr>
                    <w:t xml:space="preserve"> </w:t>
                  </w:r>
                  <w:r>
                    <w:rPr>
                      <w:rFonts w:cs="Miriam"/>
                      <w:sz w:val="18"/>
                      <w:szCs w:val="18"/>
                      <w:rtl/>
                    </w:rPr>
                    <w:t>וה</w:t>
                  </w:r>
                  <w:r>
                    <w:rPr>
                      <w:rFonts w:cs="Miriam" w:hint="cs"/>
                      <w:sz w:val="18"/>
                      <w:szCs w:val="18"/>
                      <w:rtl/>
                    </w:rPr>
                    <w:t>גשת דו"ח</w:t>
                  </w:r>
                  <w:r w:rsidR="004D30C3">
                    <w:rPr>
                      <w:rFonts w:cs="Miriam" w:hint="cs"/>
                      <w:sz w:val="18"/>
                      <w:szCs w:val="18"/>
                      <w:rtl/>
                    </w:rPr>
                    <w:t xml:space="preserve"> </w:t>
                  </w:r>
                  <w:r>
                    <w:rPr>
                      <w:rFonts w:cs="Miriam"/>
                      <w:sz w:val="18"/>
                      <w:szCs w:val="18"/>
                      <w:rtl/>
                    </w:rPr>
                    <w:t>לפ</w:t>
                  </w:r>
                  <w:r>
                    <w:rPr>
                      <w:rFonts w:cs="Miriam" w:hint="cs"/>
                      <w:sz w:val="18"/>
                      <w:szCs w:val="18"/>
                      <w:rtl/>
                    </w:rPr>
                    <w:t>קיד השומה</w:t>
                  </w:r>
                </w:p>
              </w:txbxContent>
            </v:textbox>
            <w10:anchorlock/>
          </v:rect>
        </w:pict>
      </w:r>
      <w:r w:rsidRPr="004D30C3">
        <w:rPr>
          <w:rStyle w:val="big-number"/>
          <w:rFonts w:cs="Miriam"/>
          <w:rtl/>
        </w:rPr>
        <w:t>4</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סוחר ישלם לפקיד השומה עד ה-7 לכל חודש את סך כל המס שניכה בחודש הקודם לפי תקנה 2, ויגיש לו באותו מועד דו"ח בכתב על סכום המס שניכה כאמור.</w:t>
      </w:r>
    </w:p>
    <w:p w:rsidR="007E51F7" w:rsidRPr="00FF2E3A" w:rsidRDefault="007E51F7">
      <w:pPr>
        <w:pStyle w:val="P00"/>
        <w:spacing w:before="72"/>
        <w:ind w:left="0" w:right="1134"/>
        <w:rPr>
          <w:rStyle w:val="default"/>
          <w:rFonts w:cs="FrankRuehl"/>
          <w:rtl/>
        </w:rPr>
      </w:pPr>
      <w:bookmarkStart w:id="4" w:name="Seif4"/>
      <w:bookmarkEnd w:id="4"/>
      <w:r w:rsidRPr="004D30C3">
        <w:rPr>
          <w:rFonts w:cs="Miriam"/>
          <w:lang w:val="he-IL"/>
        </w:rPr>
        <w:pict>
          <v:rect id="_x0000_s1030" style="position:absolute;left:0;text-align:left;margin-left:464.5pt;margin-top:8.05pt;width:75.05pt;height:10.5pt;z-index:251658240" o:allowincell="f" filled="f" stroked="f" strokecolor="lime" strokeweight=".25pt">
            <v:textbox inset="0,0,0,0">
              <w:txbxContent>
                <w:p w:rsidR="007E51F7" w:rsidRDefault="007E51F7">
                  <w:pPr>
                    <w:spacing w:line="160" w:lineRule="exact"/>
                    <w:rPr>
                      <w:rFonts w:cs="Miriam"/>
                      <w:noProof/>
                      <w:sz w:val="18"/>
                      <w:szCs w:val="18"/>
                      <w:rtl/>
                    </w:rPr>
                  </w:pPr>
                  <w:r>
                    <w:rPr>
                      <w:rFonts w:cs="Miriam"/>
                      <w:sz w:val="18"/>
                      <w:szCs w:val="18"/>
                      <w:rtl/>
                    </w:rPr>
                    <w:t>אי</w:t>
                  </w:r>
                  <w:r>
                    <w:rPr>
                      <w:rFonts w:cs="Miriam" w:hint="cs"/>
                      <w:sz w:val="18"/>
                      <w:szCs w:val="18"/>
                      <w:rtl/>
                    </w:rPr>
                    <w:t>שורים</w:t>
                  </w:r>
                </w:p>
              </w:txbxContent>
            </v:textbox>
            <w10:anchorlock/>
          </v:rect>
        </w:pict>
      </w:r>
      <w:r w:rsidRPr="004D30C3">
        <w:rPr>
          <w:rStyle w:val="big-number"/>
          <w:rFonts w:cs="Miriam"/>
          <w:rtl/>
        </w:rPr>
        <w:t>5</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סוחר יתן למוכר, לפי בקשתו, אישור על פרטי המכירה ואם ניכה ממנו מס, יציין בו את סכום המס שניכה.</w:t>
      </w:r>
    </w:p>
    <w:p w:rsidR="007E51F7" w:rsidRDefault="007E51F7">
      <w:pPr>
        <w:pStyle w:val="P00"/>
        <w:spacing w:before="72"/>
        <w:ind w:left="0" w:right="1134"/>
        <w:rPr>
          <w:rStyle w:val="default"/>
          <w:rFonts w:cs="FrankRuehl" w:hint="cs"/>
          <w:rtl/>
        </w:rPr>
      </w:pPr>
      <w:bookmarkStart w:id="5" w:name="Seif5"/>
      <w:bookmarkEnd w:id="5"/>
      <w:r w:rsidRPr="004D30C3">
        <w:rPr>
          <w:rFonts w:cs="Miriam"/>
          <w:lang w:val="he-IL"/>
        </w:rPr>
        <w:pict>
          <v:rect id="_x0000_s1031" style="position:absolute;left:0;text-align:left;margin-left:464.5pt;margin-top:8.05pt;width:75.05pt;height:9.65pt;z-index:251659264" o:allowincell="f" filled="f" stroked="f" strokecolor="lime" strokeweight=".25pt">
            <v:textbox inset="0,0,0,0">
              <w:txbxContent>
                <w:p w:rsidR="007E51F7" w:rsidRDefault="007E51F7">
                  <w:pPr>
                    <w:spacing w:line="160" w:lineRule="exact"/>
                    <w:rPr>
                      <w:rFonts w:cs="Miriam"/>
                      <w:noProof/>
                      <w:sz w:val="18"/>
                      <w:szCs w:val="18"/>
                      <w:rtl/>
                    </w:rPr>
                  </w:pPr>
                  <w:r>
                    <w:rPr>
                      <w:rFonts w:cs="Miriam"/>
                      <w:sz w:val="18"/>
                      <w:szCs w:val="18"/>
                      <w:rtl/>
                    </w:rPr>
                    <w:t>שי</w:t>
                  </w:r>
                  <w:r>
                    <w:rPr>
                      <w:rFonts w:cs="Miriam" w:hint="cs"/>
                      <w:sz w:val="18"/>
                      <w:szCs w:val="18"/>
                      <w:rtl/>
                    </w:rPr>
                    <w:t>טת החישוב</w:t>
                  </w:r>
                </w:p>
              </w:txbxContent>
            </v:textbox>
            <w10:anchorlock/>
          </v:rect>
        </w:pict>
      </w:r>
      <w:r w:rsidRPr="004D30C3">
        <w:rPr>
          <w:rStyle w:val="big-number"/>
          <w:rFonts w:cs="Miriam"/>
          <w:rtl/>
        </w:rPr>
        <w:t>6</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לשם חישוב ריווח ההון שממנו ינוכה מס כאמור בתקנה 2 ולשם קביעת מחיר</w:t>
      </w:r>
      <w:r w:rsidR="004D30C3">
        <w:rPr>
          <w:rStyle w:val="default"/>
          <w:rFonts w:cs="FrankRuehl"/>
          <w:rtl/>
        </w:rPr>
        <w:t>ה היסודי של מניה ותקופת החזקתה –</w:t>
      </w:r>
    </w:p>
    <w:p w:rsidR="007E51F7" w:rsidRPr="00FF2E3A" w:rsidRDefault="007E51F7">
      <w:pPr>
        <w:pStyle w:val="P22"/>
        <w:spacing w:before="72"/>
        <w:ind w:left="1021" w:right="1134"/>
        <w:rPr>
          <w:rStyle w:val="default"/>
          <w:rFonts w:cs="FrankRuehl"/>
          <w:rtl/>
        </w:rPr>
      </w:pPr>
      <w:r w:rsidRPr="00FF2E3A">
        <w:rPr>
          <w:rStyle w:val="default"/>
          <w:rFonts w:cs="FrankRuehl"/>
          <w:rtl/>
        </w:rPr>
        <w:t>(1)</w:t>
      </w:r>
      <w:r w:rsidRPr="00FF2E3A">
        <w:rPr>
          <w:rStyle w:val="default"/>
          <w:rFonts w:cs="FrankRuehl"/>
          <w:rtl/>
        </w:rPr>
        <w:tab/>
        <w:t>יראו מניה שנכנסה ראשונה כמניה שיצאה ראשונה;</w:t>
      </w:r>
    </w:p>
    <w:p w:rsidR="007E51F7" w:rsidRPr="00FF2E3A" w:rsidRDefault="007E51F7">
      <w:pPr>
        <w:pStyle w:val="P22"/>
        <w:spacing w:before="72"/>
        <w:ind w:left="1021" w:right="1134"/>
        <w:rPr>
          <w:rStyle w:val="default"/>
          <w:rFonts w:cs="FrankRuehl"/>
          <w:rtl/>
        </w:rPr>
      </w:pPr>
      <w:r w:rsidRPr="00FF2E3A">
        <w:rPr>
          <w:rStyle w:val="default"/>
          <w:rFonts w:cs="FrankRuehl"/>
          <w:rtl/>
        </w:rPr>
        <w:t>(2)</w:t>
      </w:r>
      <w:r w:rsidRPr="00FF2E3A">
        <w:rPr>
          <w:rStyle w:val="default"/>
          <w:rFonts w:cs="FrankRuehl"/>
          <w:rtl/>
        </w:rPr>
        <w:tab/>
        <w:t>לגבי מניות שאינן מופקדות בידי סוחר ירשום הסוחר בעת הפקדתן בידיו את תאריך רכישתן כאילו חל ביום ההפקדה ומחירן יהיה המחיר הממוצע; אולם אם יציג בעל המניה אישור ירשום הסוחר לפיו את תאריך רכישת המניה ומחירה;</w:t>
      </w:r>
    </w:p>
    <w:p w:rsidR="007E51F7" w:rsidRPr="00FF2E3A" w:rsidRDefault="007E51F7" w:rsidP="004D30C3">
      <w:pPr>
        <w:pStyle w:val="P22"/>
        <w:spacing w:before="72"/>
        <w:ind w:left="1021" w:right="1134"/>
        <w:rPr>
          <w:rStyle w:val="default"/>
          <w:rFonts w:cs="FrankRuehl"/>
          <w:rtl/>
        </w:rPr>
      </w:pPr>
      <w:r w:rsidRPr="00FF2E3A">
        <w:rPr>
          <w:rStyle w:val="default"/>
          <w:rFonts w:cs="FrankRuehl"/>
          <w:rtl/>
        </w:rPr>
        <w:t>(3)</w:t>
      </w:r>
      <w:r w:rsidRPr="00FF2E3A">
        <w:rPr>
          <w:rStyle w:val="default"/>
          <w:rFonts w:cs="FrankRuehl"/>
          <w:rtl/>
        </w:rPr>
        <w:tab/>
        <w:t xml:space="preserve">"אישור" לענין תקנה זו </w:t>
      </w:r>
      <w:r w:rsidR="004D30C3">
        <w:rPr>
          <w:rStyle w:val="default"/>
          <w:rFonts w:cs="FrankRuehl" w:hint="cs"/>
          <w:rtl/>
        </w:rPr>
        <w:t>-</w:t>
      </w:r>
      <w:r w:rsidRPr="00FF2E3A">
        <w:rPr>
          <w:rStyle w:val="default"/>
          <w:rFonts w:cs="FrankRuehl"/>
          <w:rtl/>
        </w:rPr>
        <w:t xml:space="preserve"> מסמך הניתן לבעל מניה על</w:t>
      </w:r>
      <w:r w:rsidR="004D30C3">
        <w:rPr>
          <w:rStyle w:val="default"/>
          <w:rFonts w:cs="FrankRuehl" w:hint="cs"/>
          <w:rtl/>
        </w:rPr>
        <w:t>-</w:t>
      </w:r>
      <w:r w:rsidRPr="00FF2E3A">
        <w:rPr>
          <w:rStyle w:val="default"/>
          <w:rFonts w:cs="FrankRuehl"/>
          <w:rtl/>
        </w:rPr>
        <w:t>ידי סוחר שהוא חבר הבורסה והמאשר רכישת מניה ממנו או החזקתה על ידי בעל המניה, ושבמסמך צויינו פרטי זהותו של בעל המניה, פרטי המניה לרבות מספרי תעודת המניה וכן פרטים אלה:</w:t>
      </w:r>
    </w:p>
    <w:p w:rsidR="007E51F7" w:rsidRPr="00FF2E3A" w:rsidRDefault="007E51F7">
      <w:pPr>
        <w:pStyle w:val="P33"/>
        <w:spacing w:before="72"/>
        <w:ind w:left="1474" w:right="1134"/>
        <w:rPr>
          <w:rStyle w:val="default"/>
          <w:rFonts w:cs="FrankRuehl"/>
          <w:rtl/>
        </w:rPr>
      </w:pPr>
      <w:r w:rsidRPr="00FF2E3A">
        <w:rPr>
          <w:rStyle w:val="default"/>
          <w:rFonts w:cs="FrankRuehl"/>
          <w:rtl/>
        </w:rPr>
        <w:t>(1)</w:t>
      </w:r>
      <w:r w:rsidRPr="00FF2E3A">
        <w:rPr>
          <w:rStyle w:val="default"/>
          <w:rFonts w:cs="FrankRuehl"/>
          <w:rtl/>
        </w:rPr>
        <w:tab/>
        <w:t>תאריך רכישת המניה על ידי בעליה מאותו סוחר;</w:t>
      </w:r>
    </w:p>
    <w:p w:rsidR="007E51F7" w:rsidRPr="00FF2E3A" w:rsidRDefault="007E51F7">
      <w:pPr>
        <w:pStyle w:val="P33"/>
        <w:spacing w:before="72"/>
        <w:ind w:left="1474" w:right="1134"/>
        <w:rPr>
          <w:rStyle w:val="default"/>
          <w:rFonts w:cs="FrankRuehl"/>
          <w:rtl/>
        </w:rPr>
      </w:pPr>
      <w:r w:rsidRPr="00FF2E3A">
        <w:rPr>
          <w:rStyle w:val="default"/>
          <w:rFonts w:cs="FrankRuehl"/>
          <w:rtl/>
        </w:rPr>
        <w:t>(2)</w:t>
      </w:r>
      <w:r w:rsidRPr="00FF2E3A">
        <w:rPr>
          <w:rStyle w:val="default"/>
          <w:rFonts w:cs="FrankRuehl"/>
          <w:rtl/>
        </w:rPr>
        <w:tab/>
        <w:t>יום ההפקדה;</w:t>
      </w:r>
    </w:p>
    <w:p w:rsidR="007E51F7" w:rsidRPr="00FF2E3A" w:rsidRDefault="007E51F7">
      <w:pPr>
        <w:pStyle w:val="P33"/>
        <w:spacing w:before="72"/>
        <w:ind w:left="1474" w:right="1134"/>
        <w:rPr>
          <w:rStyle w:val="default"/>
          <w:rFonts w:cs="FrankRuehl"/>
          <w:rtl/>
        </w:rPr>
      </w:pPr>
      <w:r w:rsidRPr="00FF2E3A">
        <w:rPr>
          <w:rStyle w:val="default"/>
          <w:rFonts w:cs="FrankRuehl"/>
          <w:rtl/>
        </w:rPr>
        <w:t>(3)</w:t>
      </w:r>
      <w:r w:rsidRPr="00FF2E3A">
        <w:rPr>
          <w:rStyle w:val="default"/>
          <w:rFonts w:cs="FrankRuehl"/>
          <w:rtl/>
        </w:rPr>
        <w:tab/>
        <w:t>תאריך בקשת האישור.</w:t>
      </w:r>
    </w:p>
    <w:p w:rsidR="007E51F7" w:rsidRPr="00FF2E3A" w:rsidRDefault="007E51F7">
      <w:pPr>
        <w:pStyle w:val="P00"/>
        <w:spacing w:before="72"/>
        <w:ind w:left="0" w:right="1134"/>
        <w:rPr>
          <w:rStyle w:val="default"/>
          <w:rFonts w:cs="FrankRuehl"/>
          <w:rtl/>
        </w:rPr>
      </w:pPr>
      <w:bookmarkStart w:id="6" w:name="Seif6"/>
      <w:bookmarkEnd w:id="6"/>
      <w:r w:rsidRPr="004D30C3">
        <w:rPr>
          <w:rFonts w:cs="Miriam"/>
          <w:lang w:val="he-IL"/>
        </w:rPr>
        <w:pict>
          <v:rect id="_x0000_s1032" style="position:absolute;left:0;text-align:left;margin-left:464.5pt;margin-top:8.05pt;width:75.05pt;height:16pt;z-index:251660288" o:allowincell="f" filled="f" stroked="f" strokecolor="lime" strokeweight=".25pt">
            <v:textbox inset="0,0,0,0">
              <w:txbxContent>
                <w:p w:rsidR="007E51F7" w:rsidRDefault="007E51F7" w:rsidP="004D30C3">
                  <w:pPr>
                    <w:spacing w:line="160" w:lineRule="exact"/>
                    <w:rPr>
                      <w:rFonts w:cs="Miriam"/>
                      <w:noProof/>
                      <w:sz w:val="18"/>
                      <w:szCs w:val="18"/>
                      <w:rtl/>
                    </w:rPr>
                  </w:pPr>
                  <w:r>
                    <w:rPr>
                      <w:rFonts w:cs="Miriam"/>
                      <w:sz w:val="18"/>
                      <w:szCs w:val="18"/>
                      <w:rtl/>
                    </w:rPr>
                    <w:t>מת</w:t>
                  </w:r>
                  <w:r>
                    <w:rPr>
                      <w:rFonts w:cs="Miriam" w:hint="cs"/>
                      <w:sz w:val="18"/>
                      <w:szCs w:val="18"/>
                      <w:rtl/>
                    </w:rPr>
                    <w:t>ן פטור</w:t>
                  </w:r>
                  <w:r w:rsidR="004D30C3">
                    <w:rPr>
                      <w:rFonts w:cs="Miriam" w:hint="cs"/>
                      <w:sz w:val="18"/>
                      <w:szCs w:val="18"/>
                      <w:rtl/>
                    </w:rPr>
                    <w:t xml:space="preserve"> </w:t>
                  </w:r>
                  <w:r>
                    <w:rPr>
                      <w:rFonts w:cs="Miriam"/>
                      <w:sz w:val="18"/>
                      <w:szCs w:val="18"/>
                      <w:rtl/>
                    </w:rPr>
                    <w:t>מנ</w:t>
                  </w:r>
                  <w:r>
                    <w:rPr>
                      <w:rFonts w:cs="Miriam" w:hint="cs"/>
                      <w:sz w:val="18"/>
                      <w:szCs w:val="18"/>
                      <w:rtl/>
                    </w:rPr>
                    <w:t>יכוי</w:t>
                  </w:r>
                </w:p>
              </w:txbxContent>
            </v:textbox>
            <w10:anchorlock/>
          </v:rect>
        </w:pict>
      </w:r>
      <w:r w:rsidRPr="004D30C3">
        <w:rPr>
          <w:rStyle w:val="big-number"/>
          <w:rFonts w:cs="Miriam"/>
          <w:rtl/>
        </w:rPr>
        <w:t>7</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פקיד השומה רשאי, על פי בקשת המוכר, להורות לסוחר להימנע מניכוי כאמור בתקנה 2, אם היה סבור שהכנסתו של המוכר אינה חייבת במס.</w:t>
      </w:r>
    </w:p>
    <w:p w:rsidR="007E51F7" w:rsidRPr="00FF2E3A" w:rsidRDefault="007E51F7">
      <w:pPr>
        <w:pStyle w:val="P00"/>
        <w:spacing w:before="72"/>
        <w:ind w:left="0" w:right="1134"/>
        <w:rPr>
          <w:rStyle w:val="default"/>
          <w:rFonts w:cs="FrankRuehl"/>
          <w:rtl/>
        </w:rPr>
      </w:pPr>
      <w:bookmarkStart w:id="7" w:name="Seif7"/>
      <w:bookmarkEnd w:id="7"/>
      <w:r w:rsidRPr="004D30C3">
        <w:rPr>
          <w:rFonts w:cs="Miriam"/>
          <w:lang w:val="he-IL"/>
        </w:rPr>
        <w:pict>
          <v:rect id="_x0000_s1033" style="position:absolute;left:0;text-align:left;margin-left:464.5pt;margin-top:8.05pt;width:75.05pt;height:18.95pt;z-index:251661312" o:allowincell="f" filled="f" stroked="f" strokecolor="lime" strokeweight=".25pt">
            <v:textbox inset="0,0,0,0">
              <w:txbxContent>
                <w:p w:rsidR="007E51F7" w:rsidRDefault="007E51F7">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4D30C3">
        <w:rPr>
          <w:rStyle w:val="big-number"/>
          <w:rFonts w:cs="Miriam"/>
          <w:rtl/>
        </w:rPr>
        <w:t>8</w:t>
      </w:r>
      <w:r w:rsidRPr="004D30C3">
        <w:rPr>
          <w:rStyle w:val="big-number"/>
          <w:rFonts w:cs="FrankRuehl"/>
          <w:sz w:val="26"/>
          <w:szCs w:val="26"/>
          <w:rtl/>
        </w:rPr>
        <w:t>.</w:t>
      </w:r>
      <w:r w:rsidRPr="004D30C3">
        <w:rPr>
          <w:rStyle w:val="big-number"/>
          <w:rFonts w:cs="FrankRuehl"/>
          <w:sz w:val="26"/>
          <w:szCs w:val="26"/>
          <w:rtl/>
        </w:rPr>
        <w:tab/>
      </w:r>
      <w:r w:rsidRPr="00FF2E3A">
        <w:rPr>
          <w:rStyle w:val="default"/>
          <w:rFonts w:cs="FrankRuehl"/>
          <w:rtl/>
        </w:rPr>
        <w:t>לתקנות אלה ייקרא "תקנות מס הכנסה (ניכ</w:t>
      </w:r>
      <w:r w:rsidR="004D30C3">
        <w:rPr>
          <w:rStyle w:val="default"/>
          <w:rFonts w:cs="FrankRuehl"/>
          <w:rtl/>
        </w:rPr>
        <w:t>וי מהתמורה במכירת מניות), תשכ"ד</w:t>
      </w:r>
      <w:r w:rsidR="004D30C3">
        <w:rPr>
          <w:rStyle w:val="default"/>
          <w:rFonts w:cs="FrankRuehl" w:hint="cs"/>
          <w:rtl/>
        </w:rPr>
        <w:t>-</w:t>
      </w:r>
      <w:r w:rsidRPr="00FF2E3A">
        <w:rPr>
          <w:rStyle w:val="default"/>
          <w:rFonts w:cs="FrankRuehl"/>
          <w:rtl/>
        </w:rPr>
        <w:t>1964".</w:t>
      </w:r>
    </w:p>
    <w:p w:rsidR="007E51F7" w:rsidRDefault="007E51F7">
      <w:pPr>
        <w:pStyle w:val="P00"/>
        <w:spacing w:before="72"/>
        <w:ind w:left="0" w:right="1134"/>
        <w:rPr>
          <w:rStyle w:val="default"/>
          <w:rFonts w:hint="cs"/>
          <w:rtl/>
        </w:rPr>
      </w:pPr>
    </w:p>
    <w:p w:rsidR="004D30C3" w:rsidRDefault="004D30C3">
      <w:pPr>
        <w:pStyle w:val="P00"/>
        <w:spacing w:before="72"/>
        <w:ind w:left="0" w:right="1134"/>
        <w:rPr>
          <w:rStyle w:val="default"/>
          <w:rFonts w:hint="cs"/>
          <w:rtl/>
        </w:rPr>
      </w:pPr>
    </w:p>
    <w:p w:rsidR="007E51F7" w:rsidRDefault="007E51F7">
      <w:pPr>
        <w:pStyle w:val="sig-0"/>
        <w:ind w:left="0" w:right="1134"/>
        <w:rPr>
          <w:rFonts w:cs="FrankRuehl"/>
          <w:sz w:val="26"/>
          <w:rtl/>
        </w:rPr>
      </w:pPr>
      <w:r>
        <w:rPr>
          <w:rFonts w:cs="FrankRuehl"/>
          <w:sz w:val="26"/>
          <w:rtl/>
        </w:rPr>
        <w:t xml:space="preserve">ד' </w:t>
      </w:r>
      <w:r>
        <w:rPr>
          <w:rFonts w:cs="FrankRuehl" w:hint="cs"/>
          <w:sz w:val="26"/>
          <w:rtl/>
        </w:rPr>
        <w:t>בתמוז תשכ"ד (14 ביוני 1964)</w:t>
      </w:r>
      <w:r>
        <w:rPr>
          <w:rFonts w:cs="FrankRuehl"/>
          <w:sz w:val="26"/>
          <w:rtl/>
        </w:rPr>
        <w:tab/>
        <w:t>פ</w:t>
      </w:r>
      <w:r>
        <w:rPr>
          <w:rFonts w:cs="FrankRuehl" w:hint="cs"/>
          <w:sz w:val="26"/>
          <w:rtl/>
        </w:rPr>
        <w:t>נחס ספיר</w:t>
      </w:r>
    </w:p>
    <w:p w:rsidR="007E51F7" w:rsidRDefault="007E51F7">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7E51F7" w:rsidRDefault="007E51F7">
      <w:pPr>
        <w:pStyle w:val="sig-1"/>
        <w:widowControl/>
        <w:ind w:left="0" w:right="1134"/>
        <w:rPr>
          <w:rFonts w:cs="FrankRuehl"/>
          <w:sz w:val="22"/>
          <w:rtl/>
        </w:rPr>
      </w:pPr>
    </w:p>
    <w:p w:rsidR="007E51F7" w:rsidRDefault="007E51F7">
      <w:pPr>
        <w:pStyle w:val="sig-1"/>
        <w:widowControl/>
        <w:ind w:left="0" w:right="1134"/>
        <w:rPr>
          <w:rFonts w:cs="FrankRuehl"/>
          <w:sz w:val="22"/>
          <w:rtl/>
        </w:rPr>
      </w:pPr>
    </w:p>
    <w:p w:rsidR="007E51F7" w:rsidRDefault="007E51F7">
      <w:pPr>
        <w:ind w:right="1134"/>
        <w:rPr>
          <w:rtl/>
        </w:rPr>
      </w:pPr>
      <w:bookmarkStart w:id="8" w:name="LawPartEnd"/>
    </w:p>
    <w:bookmarkEnd w:id="8"/>
    <w:p w:rsidR="007E51F7" w:rsidRDefault="007E51F7">
      <w:pPr>
        <w:ind w:right="1134"/>
        <w:rPr>
          <w:rtl/>
        </w:rPr>
      </w:pPr>
    </w:p>
    <w:sectPr w:rsidR="007E51F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919" w:rsidRDefault="004D6919">
      <w:r>
        <w:separator/>
      </w:r>
    </w:p>
  </w:endnote>
  <w:endnote w:type="continuationSeparator" w:id="0">
    <w:p w:rsidR="004D6919" w:rsidRDefault="004D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1F7" w:rsidRDefault="007E51F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7E51F7" w:rsidRDefault="007E51F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51F7" w:rsidRDefault="007E51F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30C3">
      <w:rPr>
        <w:rFonts w:cs="TopType Jerushalmi"/>
        <w:noProof/>
        <w:color w:val="000000"/>
        <w:sz w:val="14"/>
        <w:szCs w:val="14"/>
      </w:rPr>
      <w:t>C:\Yael\hakika\Revadim\255_365.doc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1F7" w:rsidRDefault="007E51F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A47A5">
      <w:rPr>
        <w:rFonts w:hAnsi="FrankRuehl" w:cs="FrankRuehl"/>
        <w:noProof/>
        <w:rtl/>
      </w:rPr>
      <w:t>1</w:t>
    </w:r>
    <w:r>
      <w:rPr>
        <w:rFonts w:hAnsi="FrankRuehl" w:cs="FrankRuehl"/>
        <w:rtl/>
      </w:rPr>
      <w:fldChar w:fldCharType="end"/>
    </w:r>
  </w:p>
  <w:p w:rsidR="007E51F7" w:rsidRDefault="007E51F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51F7" w:rsidRDefault="007E51F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D30C3">
      <w:rPr>
        <w:rFonts w:cs="TopType Jerushalmi"/>
        <w:noProof/>
        <w:color w:val="000000"/>
        <w:sz w:val="14"/>
        <w:szCs w:val="14"/>
      </w:rPr>
      <w:t>C:\Yael\hakika\Revadim\255_365.doc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919" w:rsidRDefault="004D6919" w:rsidP="004D30C3">
      <w:pPr>
        <w:spacing w:before="60"/>
        <w:ind w:right="1134"/>
      </w:pPr>
      <w:r>
        <w:separator/>
      </w:r>
    </w:p>
  </w:footnote>
  <w:footnote w:type="continuationSeparator" w:id="0">
    <w:p w:rsidR="004D6919" w:rsidRDefault="004D6919">
      <w:r>
        <w:continuationSeparator/>
      </w:r>
    </w:p>
  </w:footnote>
  <w:footnote w:id="1">
    <w:p w:rsidR="004D30C3" w:rsidRPr="004D30C3" w:rsidRDefault="004D30C3" w:rsidP="004D30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D30C3">
        <w:rPr>
          <w:rFonts w:cs="FrankRuehl"/>
          <w:rtl/>
        </w:rPr>
        <w:t xml:space="preserve">* </w:t>
      </w:r>
      <w:r w:rsidRPr="00FF2E3A">
        <w:rPr>
          <w:rFonts w:cs="FrankRuehl"/>
          <w:rtl/>
        </w:rPr>
        <w:t>פו</w:t>
      </w:r>
      <w:r w:rsidRPr="00FF2E3A">
        <w:rPr>
          <w:rFonts w:cs="FrankRuehl" w:hint="cs"/>
          <w:rtl/>
        </w:rPr>
        <w:t xml:space="preserve">רסמו </w:t>
      </w:r>
      <w:hyperlink r:id="rId1" w:history="1">
        <w:r w:rsidRPr="00FF2E3A">
          <w:rPr>
            <w:rStyle w:val="Hyperlink"/>
            <w:rFonts w:cs="FrankRuehl" w:hint="cs"/>
            <w:rtl/>
          </w:rPr>
          <w:t>ק"ת תשכ"ד מס' 1592</w:t>
        </w:r>
      </w:hyperlink>
      <w:r w:rsidRPr="00FF2E3A">
        <w:rPr>
          <w:rFonts w:cs="FrankRuehl" w:hint="cs"/>
          <w:rtl/>
        </w:rPr>
        <w:t xml:space="preserve"> מיום </w:t>
      </w:r>
      <w:r>
        <w:rPr>
          <w:rFonts w:cs="FrankRuehl" w:hint="cs"/>
          <w:rtl/>
        </w:rPr>
        <w:t>14.6.1964</w:t>
      </w:r>
      <w:r w:rsidRPr="00FF2E3A">
        <w:rPr>
          <w:rFonts w:cs="FrankRuehl" w:hint="cs"/>
          <w:rtl/>
        </w:rPr>
        <w:t xml:space="preserve"> עמ' 1407.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1F7" w:rsidRDefault="007E51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מהתמורה במכירת מניות), תשכ"ד–1964</w:t>
    </w:r>
  </w:p>
  <w:p w:rsidR="007E51F7" w:rsidRDefault="007E51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51F7" w:rsidRDefault="007E51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1F7" w:rsidRDefault="007E51F7" w:rsidP="004D30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מהתמורה במכירת מניות), תשכ"ד</w:t>
    </w:r>
    <w:r w:rsidR="004D30C3">
      <w:rPr>
        <w:rFonts w:hAnsi="FrankRuehl" w:cs="FrankRuehl" w:hint="cs"/>
        <w:color w:val="000000"/>
        <w:sz w:val="28"/>
        <w:szCs w:val="28"/>
        <w:rtl/>
      </w:rPr>
      <w:t>-</w:t>
    </w:r>
    <w:r>
      <w:rPr>
        <w:rFonts w:hAnsi="FrankRuehl" w:cs="FrankRuehl"/>
        <w:color w:val="000000"/>
        <w:sz w:val="28"/>
        <w:szCs w:val="28"/>
        <w:rtl/>
      </w:rPr>
      <w:t>1964</w:t>
    </w:r>
  </w:p>
  <w:p w:rsidR="007E51F7" w:rsidRDefault="007E51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51F7" w:rsidRDefault="007E51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3A"/>
    <w:rsid w:val="000A1284"/>
    <w:rsid w:val="004D30C3"/>
    <w:rsid w:val="004D6919"/>
    <w:rsid w:val="00696AA8"/>
    <w:rsid w:val="007A47A5"/>
    <w:rsid w:val="007E51F7"/>
    <w:rsid w:val="00A646DD"/>
    <w:rsid w:val="00CE3DB3"/>
    <w:rsid w:val="00EE70DD"/>
    <w:rsid w:val="00FF2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2D037EE-BB08-4AFF-A69A-C4E1AEDF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4D30C3"/>
    <w:rPr>
      <w:sz w:val="20"/>
      <w:szCs w:val="20"/>
    </w:rPr>
  </w:style>
  <w:style w:type="character" w:styleId="a6">
    <w:name w:val="footnote reference"/>
    <w:basedOn w:val="a0"/>
    <w:semiHidden/>
    <w:rsid w:val="004D3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5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2873</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7405583</vt:i4>
      </vt:variant>
      <vt:variant>
        <vt:i4>0</vt:i4>
      </vt:variant>
      <vt:variant>
        <vt:i4>0</vt:i4>
      </vt:variant>
      <vt:variant>
        <vt:i4>5</vt:i4>
      </vt:variant>
      <vt:variant>
        <vt:lpwstr>http://www.nevo.co.il/Law_word/law06/TAK-1592.pdf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מהתמורה במכירת מניות), תשכ"ד-1964</vt:lpwstr>
  </property>
  <property fmtid="{D5CDD505-2E9C-101B-9397-08002B2CF9AE}" pid="5" name="LAWNUMBER">
    <vt:lpwstr>0365</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105אX;164X;243X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ניכוי במקור</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