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642" w:rsidRDefault="002C7642" w:rsidP="00113864">
      <w:pPr>
        <w:pStyle w:val="big-header"/>
        <w:ind w:left="0" w:right="1134"/>
        <w:rPr>
          <w:rFonts w:cs="FrankRuehl" w:hint="cs"/>
          <w:sz w:val="32"/>
          <w:rtl/>
        </w:rPr>
      </w:pPr>
      <w:r>
        <w:rPr>
          <w:rFonts w:cs="FrankRuehl"/>
          <w:sz w:val="32"/>
          <w:rtl/>
        </w:rPr>
        <w:t xml:space="preserve">תקנות מס הכנסה (ניכויים מיוחדים למשתמש בציוד בשכר מכר), </w:t>
      </w:r>
      <w:r w:rsidR="00113864">
        <w:rPr>
          <w:rFonts w:cs="FrankRuehl" w:hint="cs"/>
          <w:sz w:val="32"/>
          <w:rtl/>
        </w:rPr>
        <w:br/>
      </w:r>
      <w:r>
        <w:rPr>
          <w:rFonts w:cs="FrankRuehl"/>
          <w:sz w:val="32"/>
          <w:rtl/>
        </w:rPr>
        <w:t>תשמ"ט</w:t>
      </w:r>
      <w:r w:rsidR="00113864">
        <w:rPr>
          <w:rFonts w:cs="FrankRuehl" w:hint="cs"/>
          <w:sz w:val="32"/>
          <w:rtl/>
        </w:rPr>
        <w:t>-</w:t>
      </w:r>
      <w:r>
        <w:rPr>
          <w:rFonts w:cs="FrankRuehl"/>
          <w:sz w:val="32"/>
          <w:rtl/>
        </w:rPr>
        <w:t>1989</w:t>
      </w:r>
    </w:p>
    <w:p w:rsidR="002820C9" w:rsidRDefault="002820C9" w:rsidP="002820C9">
      <w:pPr>
        <w:spacing w:line="320" w:lineRule="auto"/>
        <w:rPr>
          <w:rFonts w:hint="cs"/>
          <w:rtl/>
        </w:rPr>
      </w:pPr>
    </w:p>
    <w:p w:rsidR="001553F7" w:rsidRDefault="001553F7" w:rsidP="002820C9">
      <w:pPr>
        <w:spacing w:line="320" w:lineRule="auto"/>
        <w:rPr>
          <w:rFonts w:hint="cs"/>
          <w:rtl/>
        </w:rPr>
      </w:pPr>
    </w:p>
    <w:p w:rsidR="002820C9" w:rsidRPr="002820C9" w:rsidRDefault="002820C9" w:rsidP="002820C9">
      <w:pPr>
        <w:spacing w:line="320" w:lineRule="auto"/>
        <w:rPr>
          <w:rFonts w:cs="Miriam"/>
          <w:szCs w:val="22"/>
          <w:rtl/>
        </w:rPr>
      </w:pPr>
      <w:r w:rsidRPr="002820C9">
        <w:rPr>
          <w:rFonts w:cs="Miriam"/>
          <w:szCs w:val="22"/>
          <w:rtl/>
        </w:rPr>
        <w:t>מסים</w:t>
      </w:r>
      <w:r w:rsidRPr="002820C9">
        <w:rPr>
          <w:rFonts w:cs="FrankRuehl"/>
          <w:szCs w:val="26"/>
          <w:rtl/>
        </w:rPr>
        <w:t xml:space="preserve"> – מס הכנסה – ניכויים</w:t>
      </w:r>
    </w:p>
    <w:p w:rsidR="002C7642" w:rsidRDefault="002C764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Seif0</w:instrText>
            </w:r>
            <w:r>
              <w:rPr>
                <w:rtl/>
              </w:rPr>
              <w:instrText xml:space="preserve"> </w:instrText>
            </w:r>
            <w:r>
              <w:rPr>
                <w:rtl/>
              </w:rPr>
              <w:fldChar w:fldCharType="separate"/>
            </w:r>
            <w:r w:rsidR="00113864">
              <w:rPr>
                <w:noProof/>
                <w:rtl/>
              </w:rPr>
              <w:t>2</w:t>
            </w:r>
            <w:r>
              <w:rPr>
                <w:rtl/>
              </w:rPr>
              <w:fldChar w:fldCharType="end"/>
            </w:r>
          </w:p>
        </w:tc>
        <w:tc>
          <w:tcPr>
            <w:tcW w:w="567" w:type="dxa"/>
          </w:tcPr>
          <w:p w:rsidR="002C7642" w:rsidRDefault="002C7642">
            <w:hyperlink w:anchor="Seif0" w:tooltip="הגדרות" w:history="1">
              <w:r>
                <w:rPr>
                  <w:rStyle w:val="Hyperlink"/>
                </w:rPr>
                <w:t>Go</w:t>
              </w:r>
            </w:hyperlink>
          </w:p>
        </w:tc>
        <w:tc>
          <w:tcPr>
            <w:tcW w:w="5669" w:type="dxa"/>
          </w:tcPr>
          <w:p w:rsidR="002C7642" w:rsidRDefault="002C7642">
            <w:pPr>
              <w:rPr>
                <w:rtl/>
              </w:rPr>
            </w:pPr>
            <w:r>
              <w:rPr>
                <w:rtl/>
              </w:rPr>
              <w:t>הגדרות</w:t>
            </w:r>
          </w:p>
        </w:tc>
        <w:tc>
          <w:tcPr>
            <w:tcW w:w="1247" w:type="dxa"/>
          </w:tcPr>
          <w:p w:rsidR="002C7642" w:rsidRDefault="002C7642">
            <w:r>
              <w:rPr>
                <w:rtl/>
              </w:rPr>
              <w:t xml:space="preserve">סעיף 1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Seif1</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1" w:tooltip="ניכוי דמי שימוש" w:history="1">
              <w:r>
                <w:rPr>
                  <w:rStyle w:val="Hyperlink"/>
                </w:rPr>
                <w:t>Go</w:t>
              </w:r>
            </w:hyperlink>
          </w:p>
        </w:tc>
        <w:tc>
          <w:tcPr>
            <w:tcW w:w="5669" w:type="dxa"/>
          </w:tcPr>
          <w:p w:rsidR="002C7642" w:rsidRDefault="002C7642">
            <w:pPr>
              <w:rPr>
                <w:rtl/>
              </w:rPr>
            </w:pPr>
            <w:r>
              <w:rPr>
                <w:rtl/>
              </w:rPr>
              <w:t>ניכוי דמי שימוש</w:t>
            </w:r>
          </w:p>
        </w:tc>
        <w:tc>
          <w:tcPr>
            <w:tcW w:w="1247" w:type="dxa"/>
          </w:tcPr>
          <w:p w:rsidR="002C7642" w:rsidRDefault="002C7642">
            <w:r>
              <w:rPr>
                <w:rtl/>
              </w:rPr>
              <w:t xml:space="preserve">סעיף 2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Seif2</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2" w:tooltip="אי התרת דמי שימוש בתקופה בה הציוד המוכר אינו משמש בייצור הכנסה" w:history="1">
              <w:r>
                <w:rPr>
                  <w:rStyle w:val="Hyperlink"/>
                </w:rPr>
                <w:t>Go</w:t>
              </w:r>
            </w:hyperlink>
          </w:p>
        </w:tc>
        <w:tc>
          <w:tcPr>
            <w:tcW w:w="5669" w:type="dxa"/>
          </w:tcPr>
          <w:p w:rsidR="002C7642" w:rsidRDefault="002C7642">
            <w:pPr>
              <w:rPr>
                <w:rtl/>
              </w:rPr>
            </w:pPr>
            <w:r>
              <w:rPr>
                <w:rtl/>
              </w:rPr>
              <w:t>אי התרת דמי שימוש בתקופה בה הציוד המוכר אינו משמש בייצור הכנסה</w:t>
            </w:r>
          </w:p>
        </w:tc>
        <w:tc>
          <w:tcPr>
            <w:tcW w:w="1247" w:type="dxa"/>
          </w:tcPr>
          <w:p w:rsidR="002C7642" w:rsidRDefault="002C7642">
            <w:r>
              <w:rPr>
                <w:rtl/>
              </w:rPr>
              <w:t xml:space="preserve">סעיף 3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Seif3</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3" w:tooltip="חישוב ריווח הון" w:history="1">
              <w:r>
                <w:rPr>
                  <w:rStyle w:val="Hyperlink"/>
                </w:rPr>
                <w:t>Go</w:t>
              </w:r>
            </w:hyperlink>
          </w:p>
        </w:tc>
        <w:tc>
          <w:tcPr>
            <w:tcW w:w="5669" w:type="dxa"/>
          </w:tcPr>
          <w:p w:rsidR="002C7642" w:rsidRDefault="002C7642">
            <w:pPr>
              <w:rPr>
                <w:rtl/>
              </w:rPr>
            </w:pPr>
            <w:r>
              <w:rPr>
                <w:rtl/>
              </w:rPr>
              <w:t>חישוב ריווח הון</w:t>
            </w:r>
          </w:p>
        </w:tc>
        <w:tc>
          <w:tcPr>
            <w:tcW w:w="1247" w:type="dxa"/>
          </w:tcPr>
          <w:p w:rsidR="002C7642" w:rsidRDefault="002C7642">
            <w:r>
              <w:rPr>
                <w:rtl/>
              </w:rPr>
              <w:t xml:space="preserve">סעיף 4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Seif4</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4" w:tooltip="אישור מאת המעביר" w:history="1">
              <w:r>
                <w:rPr>
                  <w:rStyle w:val="Hyperlink"/>
                </w:rPr>
                <w:t>Go</w:t>
              </w:r>
            </w:hyperlink>
          </w:p>
        </w:tc>
        <w:tc>
          <w:tcPr>
            <w:tcW w:w="5669" w:type="dxa"/>
          </w:tcPr>
          <w:p w:rsidR="002C7642" w:rsidRDefault="002C7642">
            <w:pPr>
              <w:rPr>
                <w:rtl/>
              </w:rPr>
            </w:pPr>
            <w:r>
              <w:rPr>
                <w:rtl/>
              </w:rPr>
              <w:t>אישור מאת המעביר</w:t>
            </w:r>
          </w:p>
        </w:tc>
        <w:tc>
          <w:tcPr>
            <w:tcW w:w="1247" w:type="dxa"/>
          </w:tcPr>
          <w:p w:rsidR="002C7642" w:rsidRDefault="002C7642">
            <w:r>
              <w:rPr>
                <w:rtl/>
              </w:rPr>
              <w:t xml:space="preserve">סעיף 5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Seif5</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5" w:tooltip="אי החלת התקנות במקרים מיוחדים" w:history="1">
              <w:r>
                <w:rPr>
                  <w:rStyle w:val="Hyperlink"/>
                </w:rPr>
                <w:t>Go</w:t>
              </w:r>
            </w:hyperlink>
          </w:p>
        </w:tc>
        <w:tc>
          <w:tcPr>
            <w:tcW w:w="5669" w:type="dxa"/>
          </w:tcPr>
          <w:p w:rsidR="002C7642" w:rsidRDefault="002C7642">
            <w:pPr>
              <w:rPr>
                <w:rtl/>
              </w:rPr>
            </w:pPr>
            <w:r>
              <w:rPr>
                <w:rtl/>
              </w:rPr>
              <w:t>אי החלת התקנות במקרים מיוחדים</w:t>
            </w:r>
          </w:p>
        </w:tc>
        <w:tc>
          <w:tcPr>
            <w:tcW w:w="1247" w:type="dxa"/>
          </w:tcPr>
          <w:p w:rsidR="002C7642" w:rsidRDefault="002C7642">
            <w:r>
              <w:rPr>
                <w:rtl/>
              </w:rPr>
              <w:t xml:space="preserve">סעיף 6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Seif6</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6" w:tooltip="בחירה בתקנות" w:history="1">
              <w:r>
                <w:rPr>
                  <w:rStyle w:val="Hyperlink"/>
                </w:rPr>
                <w:t>Go</w:t>
              </w:r>
            </w:hyperlink>
          </w:p>
        </w:tc>
        <w:tc>
          <w:tcPr>
            <w:tcW w:w="5669" w:type="dxa"/>
          </w:tcPr>
          <w:p w:rsidR="002C7642" w:rsidRDefault="002C7642">
            <w:pPr>
              <w:rPr>
                <w:rtl/>
              </w:rPr>
            </w:pPr>
            <w:r>
              <w:rPr>
                <w:rtl/>
              </w:rPr>
              <w:t>בחירה בתקנות</w:t>
            </w:r>
          </w:p>
        </w:tc>
        <w:tc>
          <w:tcPr>
            <w:tcW w:w="1247" w:type="dxa"/>
          </w:tcPr>
          <w:p w:rsidR="002C7642" w:rsidRDefault="002C7642">
            <w:r>
              <w:rPr>
                <w:rtl/>
              </w:rPr>
              <w:t xml:space="preserve">סעיף 7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Seif7</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7" w:tooltip="אי התרת הוצאות אחרות" w:history="1">
              <w:r>
                <w:rPr>
                  <w:rStyle w:val="Hyperlink"/>
                </w:rPr>
                <w:t>Go</w:t>
              </w:r>
            </w:hyperlink>
          </w:p>
        </w:tc>
        <w:tc>
          <w:tcPr>
            <w:tcW w:w="5669" w:type="dxa"/>
          </w:tcPr>
          <w:p w:rsidR="002C7642" w:rsidRDefault="002C7642">
            <w:pPr>
              <w:rPr>
                <w:rtl/>
              </w:rPr>
            </w:pPr>
            <w:r>
              <w:rPr>
                <w:rtl/>
              </w:rPr>
              <w:t>אי התרת הוצאות אחרות</w:t>
            </w:r>
          </w:p>
        </w:tc>
        <w:tc>
          <w:tcPr>
            <w:tcW w:w="1247" w:type="dxa"/>
          </w:tcPr>
          <w:p w:rsidR="002C7642" w:rsidRDefault="002C7642">
            <w:r>
              <w:rPr>
                <w:rtl/>
              </w:rPr>
              <w:t xml:space="preserve">סעיף 8 </w:t>
            </w:r>
          </w:p>
        </w:tc>
      </w:tr>
      <w:tr w:rsidR="002C7642">
        <w:tblPrEx>
          <w:tblCellMar>
            <w:top w:w="0" w:type="dxa"/>
            <w:bottom w:w="0" w:type="dxa"/>
          </w:tblCellMar>
        </w:tblPrEx>
        <w:tc>
          <w:tcPr>
            <w:tcW w:w="850" w:type="dxa"/>
          </w:tcPr>
          <w:p w:rsidR="002C7642" w:rsidRDefault="002C7642">
            <w:r>
              <w:rPr>
                <w:rtl/>
              </w:rPr>
              <w:fldChar w:fldCharType="begin"/>
            </w:r>
            <w:r>
              <w:rPr>
                <w:rtl/>
              </w:rPr>
              <w:instrText xml:space="preserve"> </w:instrText>
            </w:r>
            <w:r>
              <w:instrText>PAGEREF Seif8</w:instrText>
            </w:r>
            <w:r>
              <w:rPr>
                <w:rtl/>
              </w:rPr>
              <w:instrText xml:space="preserve"> </w:instrText>
            </w:r>
            <w:r>
              <w:rPr>
                <w:rtl/>
              </w:rPr>
              <w:fldChar w:fldCharType="separate"/>
            </w:r>
            <w:r w:rsidR="00113864">
              <w:rPr>
                <w:noProof/>
                <w:rtl/>
              </w:rPr>
              <w:t>3</w:t>
            </w:r>
            <w:r>
              <w:rPr>
                <w:rtl/>
              </w:rPr>
              <w:fldChar w:fldCharType="end"/>
            </w:r>
          </w:p>
        </w:tc>
        <w:tc>
          <w:tcPr>
            <w:tcW w:w="567" w:type="dxa"/>
          </w:tcPr>
          <w:p w:rsidR="002C7642" w:rsidRDefault="002C7642">
            <w:hyperlink w:anchor="Seif8" w:tooltip="תחולה" w:history="1">
              <w:r>
                <w:rPr>
                  <w:rStyle w:val="Hyperlink"/>
                </w:rPr>
                <w:t>Go</w:t>
              </w:r>
            </w:hyperlink>
          </w:p>
        </w:tc>
        <w:tc>
          <w:tcPr>
            <w:tcW w:w="5669" w:type="dxa"/>
          </w:tcPr>
          <w:p w:rsidR="002C7642" w:rsidRDefault="002C7642">
            <w:pPr>
              <w:rPr>
                <w:rtl/>
              </w:rPr>
            </w:pPr>
            <w:r>
              <w:rPr>
                <w:rtl/>
              </w:rPr>
              <w:t>תחולה</w:t>
            </w:r>
          </w:p>
        </w:tc>
        <w:tc>
          <w:tcPr>
            <w:tcW w:w="1247" w:type="dxa"/>
          </w:tcPr>
          <w:p w:rsidR="002C7642" w:rsidRDefault="002C7642">
            <w:r>
              <w:rPr>
                <w:rtl/>
              </w:rPr>
              <w:t xml:space="preserve">סעיף 9 </w:t>
            </w:r>
          </w:p>
        </w:tc>
      </w:tr>
    </w:tbl>
    <w:p w:rsidR="002C7642" w:rsidRDefault="002C7642">
      <w:pPr>
        <w:pStyle w:val="big-header"/>
        <w:ind w:left="0" w:right="1134"/>
        <w:rPr>
          <w:rFonts w:cs="FrankRuehl"/>
          <w:sz w:val="32"/>
          <w:rtl/>
        </w:rPr>
      </w:pPr>
    </w:p>
    <w:p w:rsidR="002C7642" w:rsidRDefault="002C7642" w:rsidP="002820C9">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 xml:space="preserve">נות מס הכנסה (ניכויים מיוחדים למשתמש בציוד בשכר מכר), </w:t>
      </w:r>
      <w:r w:rsidR="00113864">
        <w:rPr>
          <w:rFonts w:cs="FrankRuehl"/>
          <w:sz w:val="32"/>
          <w:rtl/>
        </w:rPr>
        <w:br/>
      </w:r>
      <w:r>
        <w:rPr>
          <w:rFonts w:cs="FrankRuehl" w:hint="cs"/>
          <w:sz w:val="32"/>
          <w:rtl/>
        </w:rPr>
        <w:t>תשמ"ט</w:t>
      </w:r>
      <w:r w:rsidR="00113864">
        <w:rPr>
          <w:rFonts w:cs="FrankRuehl" w:hint="cs"/>
          <w:sz w:val="32"/>
          <w:rtl/>
        </w:rPr>
        <w:t>-</w:t>
      </w:r>
      <w:r>
        <w:rPr>
          <w:rFonts w:cs="FrankRuehl"/>
          <w:sz w:val="32"/>
          <w:rtl/>
        </w:rPr>
        <w:t>1989</w:t>
      </w:r>
      <w:r w:rsidR="00113864">
        <w:rPr>
          <w:rStyle w:val="a6"/>
          <w:rFonts w:cs="FrankRuehl"/>
          <w:sz w:val="32"/>
          <w:rtl/>
        </w:rPr>
        <w:footnoteReference w:customMarkFollows="1" w:id="1"/>
        <w:t>*</w:t>
      </w:r>
    </w:p>
    <w:p w:rsidR="002C7642" w:rsidRDefault="002C7642" w:rsidP="007A1587">
      <w:pPr>
        <w:pStyle w:val="P00"/>
        <w:spacing w:before="72"/>
        <w:ind w:left="0" w:right="1134"/>
        <w:rPr>
          <w:rStyle w:val="default"/>
          <w:rFonts w:hint="cs"/>
          <w:rtl/>
        </w:rPr>
      </w:pPr>
      <w:r w:rsidRPr="000A5699">
        <w:rPr>
          <w:rFonts w:cs="FrankRuehl"/>
          <w:sz w:val="26"/>
          <w:rtl/>
        </w:rPr>
        <w:tab/>
      </w:r>
      <w:r w:rsidRPr="000A5699">
        <w:rPr>
          <w:rStyle w:val="default"/>
          <w:rFonts w:cs="FrankRuehl"/>
          <w:rtl/>
        </w:rPr>
        <w:t xml:space="preserve">בתוקף סמכותי לפי סעיפים 20(א)(4), 31 ו-98 לפקודת מס הכנסה (להלן </w:t>
      </w:r>
      <w:r w:rsidR="001553F7">
        <w:rPr>
          <w:rStyle w:val="default"/>
          <w:rtl/>
        </w:rPr>
        <w:t>–</w:t>
      </w:r>
      <w:r w:rsidRPr="000A5699">
        <w:rPr>
          <w:rStyle w:val="default"/>
          <w:rFonts w:cs="FrankRuehl"/>
          <w:rtl/>
        </w:rPr>
        <w:t xml:space="preserve"> הפקודה), ובאישור ועדת הכספים של הכנסת, אני מתקין תקנות אלה </w:t>
      </w:r>
      <w:r w:rsidR="007A1587">
        <w:rPr>
          <w:rStyle w:val="default"/>
          <w:rtl/>
        </w:rPr>
        <w:t>–</w:t>
      </w:r>
    </w:p>
    <w:p w:rsidR="002C7642" w:rsidRDefault="002C7642">
      <w:pPr>
        <w:pStyle w:val="P00"/>
        <w:spacing w:before="72"/>
        <w:ind w:left="0" w:right="1134"/>
        <w:rPr>
          <w:rStyle w:val="default"/>
          <w:rFonts w:hint="cs"/>
          <w:rtl/>
        </w:rPr>
      </w:pPr>
      <w:bookmarkStart w:id="0" w:name="Seif0"/>
      <w:bookmarkEnd w:id="0"/>
      <w:r w:rsidRPr="007A1587">
        <w:rPr>
          <w:rFonts w:cs="Miriam"/>
          <w:lang w:val="he-IL"/>
        </w:rPr>
        <w:pict>
          <v:rect id="_x0000_s1026" style="position:absolute;left:0;text-align:left;margin-left:464.5pt;margin-top:8.05pt;width:75.05pt;height:12.3pt;z-index:251652096" o:allowincell="f" filled="f" stroked="f" strokecolor="lime" strokeweight=".25pt">
            <v:textbox inset="0,0,0,0">
              <w:txbxContent>
                <w:p w:rsidR="002C7642" w:rsidRDefault="002C7642">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7A1587">
        <w:rPr>
          <w:rStyle w:val="big-number"/>
          <w:rFonts w:cs="Miriam"/>
          <w:rtl/>
        </w:rPr>
        <w:t>1</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 xml:space="preserve">בתקנות אלה </w:t>
      </w:r>
      <w:r w:rsidR="007A1587">
        <w:rPr>
          <w:rStyle w:val="default"/>
          <w:rtl/>
        </w:rPr>
        <w:t>–</w:t>
      </w:r>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(1)</w:t>
      </w:r>
      <w:r w:rsidRPr="000A5699">
        <w:rPr>
          <w:rStyle w:val="default"/>
          <w:rFonts w:cs="FrankRuehl"/>
          <w:rtl/>
        </w:rPr>
        <w:tab/>
        <w:t>תהיה לכל מונח המשמעות שיש לו בפקודה ובחוק מס הכנסה (תיאומים בשל אינפלציה), תשמ"ה</w:t>
      </w:r>
      <w:r w:rsidR="007A1587">
        <w:rPr>
          <w:rStyle w:val="default"/>
          <w:rFonts w:cs="FrankRuehl" w:hint="cs"/>
          <w:rtl/>
        </w:rPr>
        <w:t>-</w:t>
      </w:r>
      <w:r w:rsidRPr="000A5699">
        <w:rPr>
          <w:rStyle w:val="default"/>
          <w:rFonts w:cs="FrankRuehl"/>
          <w:rtl/>
        </w:rPr>
        <w:t xml:space="preserve">1985 (להלן </w:t>
      </w:r>
      <w:r w:rsidR="001553F7">
        <w:rPr>
          <w:rStyle w:val="default"/>
          <w:rtl/>
        </w:rPr>
        <w:t>–</w:t>
      </w:r>
      <w:r w:rsidRPr="000A5699">
        <w:rPr>
          <w:rStyle w:val="default"/>
          <w:rFonts w:cs="FrankRuehl"/>
          <w:rtl/>
        </w:rPr>
        <w:t xml:space="preserve"> חוק התיאומים), לפי הענין, אלא אם כן נקבע במפורש אחרת;</w:t>
      </w:r>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(2)</w:t>
      </w:r>
      <w:r w:rsidRPr="000A5699">
        <w:rPr>
          <w:rStyle w:val="default"/>
          <w:rFonts w:cs="FrankRuehl"/>
          <w:rtl/>
        </w:rPr>
        <w:tab/>
        <w:t xml:space="preserve">"משתמש" </w:t>
      </w:r>
      <w:r w:rsidR="001553F7">
        <w:rPr>
          <w:rStyle w:val="default"/>
          <w:rtl/>
        </w:rPr>
        <w:t>–</w:t>
      </w:r>
      <w:r w:rsidR="001553F7">
        <w:rPr>
          <w:rStyle w:val="default"/>
          <w:rFonts w:cs="FrankRuehl"/>
          <w:rtl/>
        </w:rPr>
        <w:t xml:space="preserve"> </w:t>
      </w:r>
      <w:r w:rsidR="001553F7">
        <w:rPr>
          <w:rStyle w:val="default"/>
          <w:rFonts w:cs="FrankRuehl" w:hint="cs"/>
          <w:rtl/>
        </w:rPr>
        <w:t>כ</w:t>
      </w:r>
      <w:r w:rsidRPr="000A5699">
        <w:rPr>
          <w:rStyle w:val="default"/>
          <w:rFonts w:cs="FrankRuehl"/>
          <w:rtl/>
        </w:rPr>
        <w:t>ל אחד מאלה:</w:t>
      </w:r>
    </w:p>
    <w:p w:rsidR="002C7642" w:rsidRPr="000A5699" w:rsidRDefault="002F186D" w:rsidP="001553F7">
      <w:pPr>
        <w:pStyle w:val="P33"/>
        <w:tabs>
          <w:tab w:val="left" w:pos="624"/>
          <w:tab w:val="left" w:pos="1021"/>
          <w:tab w:val="left" w:pos="1474"/>
        </w:tabs>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35pt;margin-top:7.1pt;width:1in;height:9pt;z-index:251662336" filled="f" stroked="f">
            <v:textbox inset="1mm,0,1mm,0">
              <w:txbxContent>
                <w:p w:rsidR="002F186D" w:rsidRDefault="002F186D" w:rsidP="002F186D">
                  <w:pPr>
                    <w:spacing w:line="160" w:lineRule="exact"/>
                    <w:rPr>
                      <w:rFonts w:cs="Miriam" w:hint="cs"/>
                      <w:noProof/>
                      <w:sz w:val="18"/>
                      <w:szCs w:val="18"/>
                      <w:rtl/>
                    </w:rPr>
                  </w:pPr>
                  <w:r>
                    <w:rPr>
                      <w:rFonts w:cs="Miriam"/>
                      <w:sz w:val="18"/>
                      <w:szCs w:val="18"/>
                      <w:rtl/>
                    </w:rPr>
                    <w:t>תק</w:t>
                  </w:r>
                  <w:r>
                    <w:rPr>
                      <w:rFonts w:cs="Miriam" w:hint="cs"/>
                      <w:sz w:val="18"/>
                      <w:szCs w:val="18"/>
                      <w:rtl/>
                    </w:rPr>
                    <w:t>' תשס"ח-2008</w:t>
                  </w:r>
                </w:p>
              </w:txbxContent>
            </v:textbox>
          </v:shape>
        </w:pict>
      </w:r>
      <w:r w:rsidR="002C7642" w:rsidRPr="000A5699">
        <w:rPr>
          <w:rStyle w:val="default"/>
          <w:rFonts w:cs="FrankRuehl"/>
          <w:rtl/>
        </w:rPr>
        <w:t>(א)</w:t>
      </w:r>
      <w:r w:rsidR="002C7642" w:rsidRPr="000A5699">
        <w:rPr>
          <w:rStyle w:val="default"/>
          <w:rFonts w:cs="FrankRuehl"/>
          <w:rtl/>
        </w:rPr>
        <w:tab/>
      </w:r>
      <w:r>
        <w:rPr>
          <w:rStyle w:val="default"/>
          <w:rFonts w:cs="FrankRuehl" w:hint="cs"/>
          <w:rtl/>
        </w:rPr>
        <w:t>יחיד או שותפות שלא ניהלו פנקסים לפי שיטת החשבונאות הכפולה</w:t>
      </w:r>
      <w:r w:rsidR="002C7642" w:rsidRPr="000A5699">
        <w:rPr>
          <w:rStyle w:val="default"/>
          <w:rFonts w:cs="FrankRuehl"/>
          <w:rtl/>
        </w:rPr>
        <w:t>;</w:t>
      </w:r>
    </w:p>
    <w:p w:rsidR="002C7642" w:rsidRDefault="002F186D" w:rsidP="001553F7">
      <w:pPr>
        <w:pStyle w:val="P33"/>
        <w:tabs>
          <w:tab w:val="left" w:pos="624"/>
          <w:tab w:val="left" w:pos="1021"/>
          <w:tab w:val="left" w:pos="1474"/>
        </w:tabs>
        <w:spacing w:before="72"/>
        <w:ind w:left="1021" w:right="1134"/>
        <w:rPr>
          <w:rStyle w:val="default"/>
          <w:rFonts w:cs="FrankRuehl" w:hint="cs"/>
          <w:rtl/>
        </w:rPr>
      </w:pPr>
      <w:r>
        <w:rPr>
          <w:rFonts w:cs="FrankRuehl"/>
          <w:sz w:val="26"/>
          <w:rtl/>
          <w:lang w:eastAsia="en-US"/>
        </w:rPr>
        <w:pict>
          <v:shape id="_x0000_s1043" type="#_x0000_t202" style="position:absolute;left:0;text-align:left;margin-left:470.35pt;margin-top:7.1pt;width:1in;height:9pt;z-index:251663360" filled="f" stroked="f">
            <v:textbox inset="1mm,0,1mm,0">
              <w:txbxContent>
                <w:p w:rsidR="002F186D" w:rsidRDefault="002F186D" w:rsidP="002F186D">
                  <w:pPr>
                    <w:spacing w:line="160" w:lineRule="exact"/>
                    <w:rPr>
                      <w:rFonts w:cs="Miriam" w:hint="cs"/>
                      <w:noProof/>
                      <w:sz w:val="18"/>
                      <w:szCs w:val="18"/>
                      <w:rtl/>
                    </w:rPr>
                  </w:pPr>
                  <w:r>
                    <w:rPr>
                      <w:rFonts w:cs="Miriam"/>
                      <w:sz w:val="18"/>
                      <w:szCs w:val="18"/>
                      <w:rtl/>
                    </w:rPr>
                    <w:t>תק</w:t>
                  </w:r>
                  <w:r>
                    <w:rPr>
                      <w:rFonts w:cs="Miriam" w:hint="cs"/>
                      <w:sz w:val="18"/>
                      <w:szCs w:val="18"/>
                      <w:rtl/>
                    </w:rPr>
                    <w:t>' תשס"ח-2008</w:t>
                  </w:r>
                </w:p>
              </w:txbxContent>
            </v:textbox>
          </v:shape>
        </w:pict>
      </w:r>
      <w:r w:rsidR="002C7642" w:rsidRPr="000A5699">
        <w:rPr>
          <w:rStyle w:val="default"/>
          <w:rFonts w:cs="FrankRuehl"/>
          <w:rtl/>
        </w:rPr>
        <w:t>(ב)</w:t>
      </w:r>
      <w:r w:rsidR="002C7642" w:rsidRPr="000A5699">
        <w:rPr>
          <w:rStyle w:val="default"/>
          <w:rFonts w:cs="FrankRuehl"/>
          <w:rtl/>
        </w:rPr>
        <w:tab/>
      </w:r>
      <w:r>
        <w:rPr>
          <w:rStyle w:val="default"/>
          <w:rFonts w:cs="FrankRuehl" w:hint="cs"/>
          <w:rtl/>
        </w:rPr>
        <w:t>חבר בני-אדם שאיננו שותפות וכן יחיד או שותפות שניהלו פנקסים לפי שיטת החשבונאות הכפולה</w:t>
      </w:r>
      <w:r w:rsidR="002C7642" w:rsidRPr="000A5699">
        <w:rPr>
          <w:rStyle w:val="default"/>
          <w:rFonts w:cs="FrankRuehl"/>
          <w:rtl/>
        </w:rPr>
        <w:t>;</w:t>
      </w:r>
    </w:p>
    <w:p w:rsidR="002C7642" w:rsidRPr="000A5699" w:rsidRDefault="002C7642" w:rsidP="001553F7">
      <w:pPr>
        <w:pStyle w:val="P33"/>
        <w:tabs>
          <w:tab w:val="left" w:pos="624"/>
          <w:tab w:val="left" w:pos="1021"/>
          <w:tab w:val="left" w:pos="1474"/>
        </w:tabs>
        <w:spacing w:before="72"/>
        <w:ind w:left="1021" w:right="1134"/>
        <w:rPr>
          <w:rStyle w:val="default"/>
          <w:rFonts w:cs="FrankRuehl"/>
          <w:rtl/>
        </w:rPr>
      </w:pPr>
      <w:r w:rsidRPr="000A5699">
        <w:rPr>
          <w:rStyle w:val="default"/>
          <w:rFonts w:cs="FrankRuehl"/>
          <w:rtl/>
        </w:rPr>
        <w:t>(ג)</w:t>
      </w:r>
      <w:r w:rsidRPr="000A5699">
        <w:rPr>
          <w:rStyle w:val="default"/>
          <w:rFonts w:cs="FrankRuehl"/>
          <w:rtl/>
        </w:rPr>
        <w:tab/>
        <w:t>נישום המנהל פנקסיו במטבע חוץ לפי סעיף 130א לפקודה;</w:t>
      </w:r>
    </w:p>
    <w:p w:rsidR="002C7642" w:rsidRPr="000A5699" w:rsidRDefault="002C7642" w:rsidP="001553F7">
      <w:pPr>
        <w:pStyle w:val="P33"/>
        <w:tabs>
          <w:tab w:val="left" w:pos="624"/>
          <w:tab w:val="left" w:pos="1021"/>
          <w:tab w:val="left" w:pos="1474"/>
        </w:tabs>
        <w:spacing w:before="72"/>
        <w:ind w:left="1021" w:right="1134"/>
        <w:rPr>
          <w:rStyle w:val="default"/>
          <w:rFonts w:cs="FrankRuehl"/>
          <w:rtl/>
        </w:rPr>
      </w:pPr>
      <w:r w:rsidRPr="000A5699">
        <w:rPr>
          <w:rStyle w:val="default"/>
          <w:rFonts w:cs="FrankRuehl"/>
          <w:rtl/>
        </w:rPr>
        <w:t>(ד)</w:t>
      </w:r>
      <w:r w:rsidRPr="000A5699">
        <w:rPr>
          <w:rStyle w:val="default"/>
          <w:rFonts w:cs="FrankRuehl"/>
          <w:rtl/>
        </w:rPr>
        <w:tab/>
        <w:t>חברה בהשקעת חוץ כהגדרתה בסעיף 53ח לחוק לעידוד השקעות הון, תשי"ט</w:t>
      </w:r>
      <w:r w:rsidR="007A1587">
        <w:rPr>
          <w:rStyle w:val="default"/>
          <w:rFonts w:cs="FrankRuehl" w:hint="cs"/>
          <w:rtl/>
        </w:rPr>
        <w:t>-</w:t>
      </w:r>
      <w:r w:rsidRPr="000A5699">
        <w:rPr>
          <w:rStyle w:val="default"/>
          <w:rFonts w:cs="FrankRuehl"/>
          <w:rtl/>
        </w:rPr>
        <w:t>1959, שבחרה בהטבות לפי פרק שביעי 3 לאותו חוק.</w:t>
      </w:r>
    </w:p>
    <w:p w:rsidR="007A1587" w:rsidRPr="001553F7" w:rsidRDefault="007A1587" w:rsidP="001553F7">
      <w:pPr>
        <w:pStyle w:val="P22"/>
        <w:tabs>
          <w:tab w:val="left" w:pos="624"/>
          <w:tab w:val="left" w:pos="1021"/>
        </w:tabs>
        <w:spacing w:before="0"/>
        <w:ind w:left="1021" w:right="1134"/>
        <w:rPr>
          <w:rStyle w:val="default"/>
          <w:rFonts w:cs="FrankRuehl" w:hint="cs"/>
          <w:vanish/>
          <w:color w:val="FF0000"/>
          <w:sz w:val="20"/>
          <w:szCs w:val="20"/>
          <w:shd w:val="clear" w:color="auto" w:fill="FFFF99"/>
          <w:rtl/>
        </w:rPr>
      </w:pPr>
      <w:bookmarkStart w:id="1" w:name="Rov13"/>
      <w:r w:rsidRPr="001553F7">
        <w:rPr>
          <w:rStyle w:val="default"/>
          <w:rFonts w:cs="FrankRuehl" w:hint="cs"/>
          <w:vanish/>
          <w:color w:val="FF0000"/>
          <w:sz w:val="20"/>
          <w:szCs w:val="20"/>
          <w:shd w:val="clear" w:color="auto" w:fill="FFFF99"/>
          <w:rtl/>
        </w:rPr>
        <w:t xml:space="preserve">מיום </w:t>
      </w:r>
      <w:r w:rsidR="002F186D" w:rsidRPr="001553F7">
        <w:rPr>
          <w:rStyle w:val="default"/>
          <w:rFonts w:cs="FrankRuehl" w:hint="cs"/>
          <w:vanish/>
          <w:color w:val="FF0000"/>
          <w:sz w:val="20"/>
          <w:szCs w:val="20"/>
          <w:shd w:val="clear" w:color="auto" w:fill="FFFF99"/>
          <w:rtl/>
        </w:rPr>
        <w:t>1.1</w:t>
      </w:r>
      <w:r w:rsidRPr="001553F7">
        <w:rPr>
          <w:rStyle w:val="default"/>
          <w:rFonts w:cs="FrankRuehl" w:hint="cs"/>
          <w:vanish/>
          <w:color w:val="FF0000"/>
          <w:sz w:val="20"/>
          <w:szCs w:val="20"/>
          <w:shd w:val="clear" w:color="auto" w:fill="FFFF99"/>
          <w:rtl/>
        </w:rPr>
        <w:t>.2008</w:t>
      </w:r>
    </w:p>
    <w:p w:rsidR="007A1587" w:rsidRPr="001553F7" w:rsidRDefault="007A1587" w:rsidP="001553F7">
      <w:pPr>
        <w:pStyle w:val="P22"/>
        <w:tabs>
          <w:tab w:val="left" w:pos="624"/>
          <w:tab w:val="left" w:pos="1021"/>
        </w:tabs>
        <w:spacing w:before="0"/>
        <w:ind w:left="1021" w:right="1134"/>
        <w:rPr>
          <w:rStyle w:val="default"/>
          <w:rFonts w:cs="FrankRuehl" w:hint="cs"/>
          <w:vanish/>
          <w:sz w:val="20"/>
          <w:szCs w:val="20"/>
          <w:shd w:val="clear" w:color="auto" w:fill="FFFF99"/>
          <w:rtl/>
        </w:rPr>
      </w:pPr>
      <w:r w:rsidRPr="001553F7">
        <w:rPr>
          <w:rStyle w:val="default"/>
          <w:rFonts w:cs="FrankRuehl" w:hint="cs"/>
          <w:b/>
          <w:bCs/>
          <w:vanish/>
          <w:sz w:val="20"/>
          <w:szCs w:val="20"/>
          <w:shd w:val="clear" w:color="auto" w:fill="FFFF99"/>
          <w:rtl/>
        </w:rPr>
        <w:t>תק' תשס"ח-2008</w:t>
      </w:r>
    </w:p>
    <w:p w:rsidR="007A1587" w:rsidRPr="001553F7" w:rsidRDefault="007A1587" w:rsidP="001553F7">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6" w:history="1">
        <w:r w:rsidRPr="001553F7">
          <w:rPr>
            <w:rStyle w:val="Hyperlink"/>
            <w:rFonts w:cs="FrankRuehl" w:hint="cs"/>
            <w:vanish/>
            <w:szCs w:val="20"/>
            <w:shd w:val="clear" w:color="auto" w:fill="FFFF99"/>
            <w:rtl/>
          </w:rPr>
          <w:t>ק"ת תשס"ח מס' 6676</w:t>
        </w:r>
      </w:hyperlink>
      <w:r w:rsidRPr="001553F7">
        <w:rPr>
          <w:rStyle w:val="default"/>
          <w:rFonts w:cs="FrankRuehl" w:hint="cs"/>
          <w:vanish/>
          <w:sz w:val="20"/>
          <w:szCs w:val="20"/>
          <w:shd w:val="clear" w:color="auto" w:fill="FFFF99"/>
          <w:rtl/>
        </w:rPr>
        <w:t xml:space="preserve"> מיום 29.5.2008 עמ' 928</w:t>
      </w:r>
    </w:p>
    <w:p w:rsidR="002F186D" w:rsidRPr="001553F7" w:rsidRDefault="002F186D" w:rsidP="001553F7">
      <w:pPr>
        <w:pStyle w:val="P22"/>
        <w:tabs>
          <w:tab w:val="left" w:pos="624"/>
          <w:tab w:val="left" w:pos="1021"/>
        </w:tabs>
        <w:spacing w:before="0"/>
        <w:ind w:left="1021" w:right="1134"/>
        <w:rPr>
          <w:rStyle w:val="default"/>
          <w:rFonts w:cs="FrankRuehl" w:hint="cs"/>
          <w:vanish/>
          <w:sz w:val="20"/>
          <w:szCs w:val="20"/>
          <w:shd w:val="clear" w:color="auto" w:fill="FFFF99"/>
          <w:rtl/>
        </w:rPr>
      </w:pPr>
      <w:r w:rsidRPr="001553F7">
        <w:rPr>
          <w:rStyle w:val="default"/>
          <w:rFonts w:cs="FrankRuehl" w:hint="cs"/>
          <w:b/>
          <w:bCs/>
          <w:vanish/>
          <w:sz w:val="20"/>
          <w:szCs w:val="20"/>
          <w:shd w:val="clear" w:color="auto" w:fill="FFFF99"/>
          <w:rtl/>
        </w:rPr>
        <w:t xml:space="preserve">החלפת פסקאות </w:t>
      </w:r>
      <w:r w:rsidR="001553F7" w:rsidRPr="001553F7">
        <w:rPr>
          <w:rStyle w:val="default"/>
          <w:rFonts w:cs="FrankRuehl" w:hint="cs"/>
          <w:b/>
          <w:bCs/>
          <w:vanish/>
          <w:sz w:val="20"/>
          <w:szCs w:val="20"/>
          <w:shd w:val="clear" w:color="auto" w:fill="FFFF99"/>
          <w:rtl/>
        </w:rPr>
        <w:t>1(2)</w:t>
      </w:r>
      <w:r w:rsidRPr="001553F7">
        <w:rPr>
          <w:rStyle w:val="default"/>
          <w:rFonts w:cs="FrankRuehl" w:hint="cs"/>
          <w:b/>
          <w:bCs/>
          <w:vanish/>
          <w:sz w:val="20"/>
          <w:szCs w:val="20"/>
          <w:shd w:val="clear" w:color="auto" w:fill="FFFF99"/>
          <w:rtl/>
        </w:rPr>
        <w:t xml:space="preserve">(א), </w:t>
      </w:r>
      <w:r w:rsidR="001553F7" w:rsidRPr="001553F7">
        <w:rPr>
          <w:rStyle w:val="default"/>
          <w:rFonts w:cs="FrankRuehl" w:hint="cs"/>
          <w:b/>
          <w:bCs/>
          <w:vanish/>
          <w:sz w:val="20"/>
          <w:szCs w:val="20"/>
          <w:shd w:val="clear" w:color="auto" w:fill="FFFF99"/>
          <w:rtl/>
        </w:rPr>
        <w:t>1(2)</w:t>
      </w:r>
      <w:r w:rsidRPr="001553F7">
        <w:rPr>
          <w:rStyle w:val="default"/>
          <w:rFonts w:cs="FrankRuehl" w:hint="cs"/>
          <w:b/>
          <w:bCs/>
          <w:vanish/>
          <w:sz w:val="20"/>
          <w:szCs w:val="20"/>
          <w:shd w:val="clear" w:color="auto" w:fill="FFFF99"/>
          <w:rtl/>
        </w:rPr>
        <w:t>(ב)</w:t>
      </w:r>
    </w:p>
    <w:p w:rsidR="002F186D" w:rsidRPr="001553F7" w:rsidRDefault="002F186D" w:rsidP="001553F7">
      <w:pPr>
        <w:pStyle w:val="P22"/>
        <w:tabs>
          <w:tab w:val="left" w:pos="624"/>
          <w:tab w:val="left" w:pos="1021"/>
        </w:tabs>
        <w:ind w:left="1021" w:right="1134"/>
        <w:rPr>
          <w:rStyle w:val="default"/>
          <w:rFonts w:cs="FrankRuehl" w:hint="cs"/>
          <w:vanish/>
          <w:sz w:val="20"/>
          <w:szCs w:val="20"/>
          <w:shd w:val="clear" w:color="auto" w:fill="FFFF99"/>
          <w:rtl/>
        </w:rPr>
      </w:pPr>
      <w:r w:rsidRPr="001553F7">
        <w:rPr>
          <w:rStyle w:val="default"/>
          <w:rFonts w:cs="FrankRuehl" w:hint="cs"/>
          <w:vanish/>
          <w:sz w:val="20"/>
          <w:szCs w:val="20"/>
          <w:shd w:val="clear" w:color="auto" w:fill="FFFF99"/>
          <w:rtl/>
        </w:rPr>
        <w:t>הנוסח הקודם:</w:t>
      </w:r>
    </w:p>
    <w:p w:rsidR="002F186D" w:rsidRPr="001553F7" w:rsidRDefault="002F186D" w:rsidP="001553F7">
      <w:pPr>
        <w:pStyle w:val="P33"/>
        <w:tabs>
          <w:tab w:val="left" w:pos="624"/>
          <w:tab w:val="left" w:pos="1021"/>
          <w:tab w:val="left" w:pos="1474"/>
        </w:tabs>
        <w:spacing w:before="0"/>
        <w:ind w:left="1021" w:right="1134"/>
        <w:rPr>
          <w:rStyle w:val="default"/>
          <w:rFonts w:cs="FrankRuehl"/>
          <w:strike/>
          <w:vanish/>
          <w:sz w:val="22"/>
          <w:szCs w:val="22"/>
          <w:shd w:val="clear" w:color="auto" w:fill="FFFF99"/>
          <w:rtl/>
        </w:rPr>
      </w:pPr>
      <w:r w:rsidRPr="001553F7">
        <w:rPr>
          <w:rStyle w:val="default"/>
          <w:rFonts w:cs="FrankRuehl"/>
          <w:strike/>
          <w:vanish/>
          <w:sz w:val="22"/>
          <w:szCs w:val="22"/>
          <w:shd w:val="clear" w:color="auto" w:fill="FFFF99"/>
          <w:rtl/>
        </w:rPr>
        <w:t>(א)</w:t>
      </w:r>
      <w:r w:rsidRPr="001553F7">
        <w:rPr>
          <w:rStyle w:val="default"/>
          <w:rFonts w:cs="FrankRuehl"/>
          <w:strike/>
          <w:vanish/>
          <w:sz w:val="22"/>
          <w:szCs w:val="22"/>
          <w:shd w:val="clear" w:color="auto" w:fill="FFFF99"/>
          <w:rtl/>
        </w:rPr>
        <w:tab/>
        <w:t>נישום שחל עליו פרק ג' לחוק התיאומים;</w:t>
      </w:r>
    </w:p>
    <w:p w:rsidR="002F186D" w:rsidRPr="002F186D" w:rsidRDefault="002F186D" w:rsidP="001553F7">
      <w:pPr>
        <w:pStyle w:val="P33"/>
        <w:tabs>
          <w:tab w:val="left" w:pos="624"/>
          <w:tab w:val="left" w:pos="1021"/>
          <w:tab w:val="left" w:pos="1474"/>
        </w:tabs>
        <w:spacing w:before="0"/>
        <w:ind w:left="1021" w:right="1134"/>
        <w:rPr>
          <w:rStyle w:val="default"/>
          <w:rFonts w:cs="FrankRuehl"/>
          <w:sz w:val="2"/>
          <w:szCs w:val="2"/>
          <w:rtl/>
        </w:rPr>
      </w:pPr>
      <w:r w:rsidRPr="001553F7">
        <w:rPr>
          <w:rStyle w:val="default"/>
          <w:rFonts w:cs="FrankRuehl"/>
          <w:strike/>
          <w:vanish/>
          <w:sz w:val="22"/>
          <w:szCs w:val="22"/>
          <w:shd w:val="clear" w:color="auto" w:fill="FFFF99"/>
          <w:rtl/>
        </w:rPr>
        <w:t>(ב)</w:t>
      </w:r>
      <w:r w:rsidRPr="001553F7">
        <w:rPr>
          <w:rStyle w:val="default"/>
          <w:rFonts w:cs="FrankRuehl"/>
          <w:strike/>
          <w:vanish/>
          <w:sz w:val="22"/>
          <w:szCs w:val="22"/>
          <w:shd w:val="clear" w:color="auto" w:fill="FFFF99"/>
          <w:rtl/>
        </w:rPr>
        <w:tab/>
        <w:t>נישום שחל עליו פרק ב' לחוק התיאומים;</w:t>
      </w:r>
      <w:bookmarkEnd w:id="1"/>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(3)</w:t>
      </w:r>
      <w:r w:rsidRPr="000A5699">
        <w:rPr>
          <w:rStyle w:val="default"/>
          <w:rFonts w:cs="FrankRuehl"/>
          <w:rtl/>
        </w:rPr>
        <w:tab/>
        <w:t xml:space="preserve">"חוזה שימוש" </w:t>
      </w:r>
      <w:r w:rsidR="001553F7">
        <w:rPr>
          <w:rStyle w:val="default"/>
          <w:rtl/>
        </w:rPr>
        <w:t>–</w:t>
      </w:r>
      <w:r w:rsidRPr="000A5699">
        <w:rPr>
          <w:rStyle w:val="default"/>
          <w:rFonts w:cs="FrankRuehl"/>
          <w:rtl/>
        </w:rPr>
        <w:t xml:space="preserve"> חוזה שימוש שאישר הנציב ובו נקבעים דמי השימוש בעד הציוד המוכר, תקופת השימוש בציוד המוכר (להלן </w:t>
      </w:r>
      <w:r w:rsidR="001553F7">
        <w:rPr>
          <w:rStyle w:val="default"/>
          <w:rtl/>
        </w:rPr>
        <w:t>–</w:t>
      </w:r>
      <w:r w:rsidRPr="000A5699">
        <w:rPr>
          <w:rStyle w:val="default"/>
          <w:rFonts w:cs="FrankRuehl"/>
          <w:rtl/>
        </w:rPr>
        <w:t xml:space="preserve"> תקופת שימוש) וכל פרט אחר שיורה הנציב.</w:t>
      </w:r>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(4)</w:t>
      </w:r>
      <w:r w:rsidRPr="000A5699">
        <w:rPr>
          <w:rStyle w:val="default"/>
          <w:rFonts w:cs="FrankRuehl"/>
          <w:rtl/>
        </w:rPr>
        <w:tab/>
        <w:t xml:space="preserve">"דמי שימוש" </w:t>
      </w:r>
      <w:r w:rsidR="001553F7">
        <w:rPr>
          <w:rStyle w:val="default"/>
          <w:rtl/>
        </w:rPr>
        <w:t>–</w:t>
      </w:r>
      <w:r w:rsidRPr="000A5699">
        <w:rPr>
          <w:rStyle w:val="default"/>
          <w:rFonts w:cs="FrankRuehl"/>
          <w:rtl/>
        </w:rPr>
        <w:t xml:space="preserve"> סכומים המשתלמים עבור שימוש בציוד מוכר, מכוח חוזה שימוש, שמתקיימים לגביהם התנאים הבאים:</w:t>
      </w:r>
    </w:p>
    <w:p w:rsidR="002C7642" w:rsidRPr="000A5699" w:rsidRDefault="002C7642" w:rsidP="001553F7">
      <w:pPr>
        <w:pStyle w:val="P33"/>
        <w:tabs>
          <w:tab w:val="left" w:pos="624"/>
          <w:tab w:val="left" w:pos="1021"/>
          <w:tab w:val="left" w:pos="1474"/>
        </w:tabs>
        <w:spacing w:before="72"/>
        <w:ind w:left="1021" w:right="1134"/>
        <w:rPr>
          <w:rStyle w:val="default"/>
          <w:rFonts w:cs="FrankRuehl"/>
          <w:rtl/>
        </w:rPr>
      </w:pPr>
      <w:r w:rsidRPr="000A5699">
        <w:rPr>
          <w:rStyle w:val="default"/>
          <w:rFonts w:cs="FrankRuehl"/>
          <w:rtl/>
        </w:rPr>
        <w:t>(א)</w:t>
      </w:r>
      <w:r w:rsidRPr="000A5699">
        <w:rPr>
          <w:rStyle w:val="default"/>
          <w:rFonts w:cs="FrankRuehl"/>
          <w:rtl/>
        </w:rPr>
        <w:tab/>
        <w:t>מועדי התשלומים נקבעו מראש;</w:t>
      </w:r>
    </w:p>
    <w:p w:rsidR="002C7642" w:rsidRPr="000A5699" w:rsidRDefault="002C7642" w:rsidP="001553F7">
      <w:pPr>
        <w:pStyle w:val="P33"/>
        <w:tabs>
          <w:tab w:val="left" w:pos="624"/>
          <w:tab w:val="left" w:pos="1021"/>
          <w:tab w:val="left" w:pos="1474"/>
        </w:tabs>
        <w:spacing w:before="72"/>
        <w:ind w:left="1021" w:right="1134"/>
        <w:rPr>
          <w:rStyle w:val="default"/>
          <w:rFonts w:cs="FrankRuehl"/>
          <w:rtl/>
        </w:rPr>
      </w:pPr>
      <w:r w:rsidRPr="000A5699">
        <w:rPr>
          <w:rStyle w:val="default"/>
          <w:rFonts w:cs="FrankRuehl"/>
          <w:rtl/>
        </w:rPr>
        <w:t>(ב)</w:t>
      </w:r>
      <w:r w:rsidRPr="000A5699">
        <w:rPr>
          <w:rStyle w:val="default"/>
          <w:rFonts w:cs="FrankRuehl"/>
          <w:rtl/>
        </w:rPr>
        <w:tab/>
        <w:t>תקופת הזמן שבין תשלום לתשלום אינה עולה על שלושה חדשים, והתשלום האחרון לא יהיה מוקדם משלושה חדשים לפני תום תקופת השימוש;</w:t>
      </w:r>
    </w:p>
    <w:p w:rsidR="002C7642" w:rsidRPr="000A5699" w:rsidRDefault="002C7642" w:rsidP="001553F7">
      <w:pPr>
        <w:pStyle w:val="P33"/>
        <w:tabs>
          <w:tab w:val="left" w:pos="624"/>
          <w:tab w:val="left" w:pos="1021"/>
          <w:tab w:val="left" w:pos="1474"/>
        </w:tabs>
        <w:spacing w:before="72"/>
        <w:ind w:left="1021" w:right="1134"/>
        <w:rPr>
          <w:rStyle w:val="default"/>
          <w:rFonts w:cs="FrankRuehl"/>
          <w:rtl/>
        </w:rPr>
      </w:pPr>
      <w:r w:rsidRPr="000A5699">
        <w:rPr>
          <w:rStyle w:val="default"/>
          <w:rFonts w:cs="FrankRuehl"/>
          <w:rtl/>
        </w:rPr>
        <w:t>(ג)</w:t>
      </w:r>
      <w:r w:rsidRPr="000A5699">
        <w:rPr>
          <w:rStyle w:val="default"/>
          <w:rFonts w:cs="FrankRuehl"/>
          <w:rtl/>
        </w:rPr>
        <w:tab/>
        <w:t xml:space="preserve">כל תשלום מחושב לפי שיעור קבוע מעלות הציוד המוכר, כאשר ניתן להוסיף לו סכום שאינו עולה על הפרשי הצמדה וריבית לגבי אותו תשלום מיום חתימת חוזה השימוש ועד ליום התשלום; לענין זה, "ריבית" </w:t>
      </w:r>
      <w:r w:rsidR="001553F7">
        <w:rPr>
          <w:rStyle w:val="default"/>
          <w:rtl/>
        </w:rPr>
        <w:t>–</w:t>
      </w:r>
      <w:r w:rsidRPr="000A5699">
        <w:rPr>
          <w:rStyle w:val="default"/>
          <w:rFonts w:cs="FrankRuehl"/>
          <w:rtl/>
        </w:rPr>
        <w:t xml:space="preserve"> שיעור הריבית שהוסכם עליו בחוזה השימוש בתוספת הפרשים הנובעים כתוצאה משינוי תקופתי של שערי הריבית הנהוגים בארץ או בעולם, ובלבד שבכפוף לאמור לעיל, הנוסחה לחישוב הריבית תהיה שווה לגבי כל תשלום.</w:t>
      </w:r>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(5)</w:t>
      </w:r>
      <w:r w:rsidRPr="000A5699">
        <w:rPr>
          <w:rStyle w:val="default"/>
          <w:rFonts w:cs="FrankRuehl"/>
          <w:rtl/>
        </w:rPr>
        <w:tab/>
        <w:t xml:space="preserve">"ציוד מוכר" </w:t>
      </w:r>
      <w:r w:rsidR="001553F7">
        <w:rPr>
          <w:rStyle w:val="default"/>
          <w:rtl/>
        </w:rPr>
        <w:t>–</w:t>
      </w:r>
      <w:r w:rsidRPr="000A5699">
        <w:rPr>
          <w:rStyle w:val="default"/>
          <w:rFonts w:cs="FrankRuehl"/>
          <w:rtl/>
        </w:rPr>
        <w:t xml:space="preserve"> נכס, כהגדרתו בסעיף 88 לפקודה, אשר תקופת השימוש בו, לפי חוזה השימוש, הינה לפחות 75% מהתקופה לגביה היה בעל הנכס זכאי להפחית את מלוא המחיר המקורי של הנכס, על פי כל</w:t>
      </w:r>
      <w:r w:rsidR="007A1587">
        <w:rPr>
          <w:rStyle w:val="default"/>
          <w:rFonts w:cs="FrankRuehl"/>
          <w:rtl/>
        </w:rPr>
        <w:t xml:space="preserve"> דין, ולגבי משתמש כהגדרתו בתקנה</w:t>
      </w:r>
      <w:r w:rsidR="007A1587">
        <w:rPr>
          <w:rStyle w:val="default"/>
          <w:rFonts w:cs="FrankRuehl" w:hint="cs"/>
          <w:rtl/>
        </w:rPr>
        <w:t xml:space="preserve"> </w:t>
      </w:r>
      <w:r w:rsidRPr="000A5699">
        <w:rPr>
          <w:rStyle w:val="default"/>
          <w:rFonts w:cs="FrankRuehl"/>
          <w:rtl/>
        </w:rPr>
        <w:t>1(2)(א)</w:t>
      </w:r>
      <w:r w:rsidR="007A1587">
        <w:rPr>
          <w:rStyle w:val="default"/>
          <w:rFonts w:cs="FrankRuehl" w:hint="cs"/>
          <w:rtl/>
        </w:rPr>
        <w:t xml:space="preserve"> </w:t>
      </w:r>
      <w:r w:rsidR="001553F7">
        <w:rPr>
          <w:rStyle w:val="default"/>
          <w:rFonts w:cs="FrankRuehl"/>
          <w:rtl/>
        </w:rPr>
        <w:t>–</w:t>
      </w:r>
      <w:r w:rsidR="007A1587">
        <w:rPr>
          <w:rStyle w:val="default"/>
          <w:rFonts w:cs="FrankRuehl" w:hint="cs"/>
          <w:rtl/>
        </w:rPr>
        <w:t xml:space="preserve"> </w:t>
      </w:r>
      <w:r w:rsidRPr="000A5699">
        <w:rPr>
          <w:rStyle w:val="default"/>
          <w:rFonts w:cs="FrankRuehl"/>
          <w:rtl/>
        </w:rPr>
        <w:t>לפחות 100% מהתקופה האמורה, ושלפי חוזה השימוש המשתמש רשאי בתום תקופת השימוש לרכוש אותו.</w:t>
      </w:r>
    </w:p>
    <w:p w:rsidR="002C7642" w:rsidRPr="000A5699" w:rsidRDefault="002C7642" w:rsidP="001553F7">
      <w:pPr>
        <w:pStyle w:val="P22"/>
        <w:tabs>
          <w:tab w:val="left" w:pos="624"/>
          <w:tab w:val="left" w:pos="1021"/>
        </w:tabs>
        <w:spacing w:before="72"/>
        <w:ind w:left="624" w:right="1134"/>
        <w:rPr>
          <w:rStyle w:val="default"/>
          <w:rFonts w:cs="FrankRuehl"/>
          <w:rtl/>
        </w:rPr>
      </w:pPr>
      <w:r w:rsidRPr="000A5699">
        <w:rPr>
          <w:rStyle w:val="default"/>
          <w:rFonts w:cs="FrankRuehl"/>
          <w:rtl/>
        </w:rPr>
        <w:t>(6)</w:t>
      </w:r>
      <w:r w:rsidRPr="000A5699">
        <w:rPr>
          <w:rStyle w:val="default"/>
          <w:rFonts w:cs="FrankRuehl"/>
          <w:rtl/>
        </w:rPr>
        <w:tab/>
        <w:t xml:space="preserve">"מעביר" </w:t>
      </w:r>
      <w:r w:rsidR="001553F7">
        <w:rPr>
          <w:rStyle w:val="default"/>
          <w:rtl/>
        </w:rPr>
        <w:t>–</w:t>
      </w:r>
      <w:r w:rsidRPr="000A5699">
        <w:rPr>
          <w:rStyle w:val="default"/>
          <w:rFonts w:cs="FrankRuehl"/>
          <w:rtl/>
        </w:rPr>
        <w:t xml:space="preserve"> אדם המעביר ציוד מוכר לרשותו של משתמש, תמורת דמי שימוש.</w:t>
      </w:r>
    </w:p>
    <w:p w:rsidR="002C7642" w:rsidRPr="000A5699" w:rsidRDefault="002C7642" w:rsidP="007A1587">
      <w:pPr>
        <w:pStyle w:val="P00"/>
        <w:spacing w:before="72"/>
        <w:ind w:left="0" w:right="1134"/>
        <w:rPr>
          <w:rStyle w:val="default"/>
          <w:rFonts w:cs="FrankRuehl"/>
          <w:rtl/>
        </w:rPr>
      </w:pPr>
      <w:bookmarkStart w:id="2" w:name="Seif1"/>
      <w:bookmarkEnd w:id="2"/>
      <w:r w:rsidRPr="007A1587">
        <w:rPr>
          <w:rFonts w:cs="Miriam"/>
          <w:lang w:val="he-IL"/>
        </w:rPr>
        <w:pict>
          <v:rect id="_x0000_s1027" style="position:absolute;left:0;text-align:left;margin-left:464.5pt;margin-top:8.05pt;width:75.05pt;height:16pt;z-index:251653120"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ני</w:t>
                  </w:r>
                  <w:r>
                    <w:rPr>
                      <w:rFonts w:cs="Miriam" w:hint="cs"/>
                      <w:sz w:val="18"/>
                      <w:szCs w:val="18"/>
                      <w:rtl/>
                    </w:rPr>
                    <w:t>כוי דמי</w:t>
                  </w:r>
                  <w:r w:rsidR="007A1587">
                    <w:rPr>
                      <w:rFonts w:cs="Miriam" w:hint="cs"/>
                      <w:sz w:val="18"/>
                      <w:szCs w:val="18"/>
                      <w:rtl/>
                    </w:rPr>
                    <w:t xml:space="preserve"> </w:t>
                  </w:r>
                  <w:r>
                    <w:rPr>
                      <w:rFonts w:cs="Miriam"/>
                      <w:sz w:val="18"/>
                      <w:szCs w:val="18"/>
                      <w:rtl/>
                    </w:rPr>
                    <w:t>שי</w:t>
                  </w:r>
                  <w:r>
                    <w:rPr>
                      <w:rFonts w:cs="Miriam" w:hint="cs"/>
                      <w:sz w:val="18"/>
                      <w:szCs w:val="18"/>
                      <w:rtl/>
                    </w:rPr>
                    <w:t xml:space="preserve">מוש </w:t>
                  </w:r>
                </w:p>
              </w:txbxContent>
            </v:textbox>
            <w10:anchorlock/>
          </v:rect>
        </w:pict>
      </w:r>
      <w:r w:rsidRPr="007A1587">
        <w:rPr>
          <w:rStyle w:val="big-number"/>
          <w:rFonts w:cs="Miriam"/>
          <w:rtl/>
        </w:rPr>
        <w:t>2</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דמי שימוש ששילם משתמש בשל שימוש בציוד מוכר לייצור הכנסתו, יותרו בניכוי.</w:t>
      </w:r>
    </w:p>
    <w:p w:rsidR="002C7642" w:rsidRPr="000A5699" w:rsidRDefault="002C7642">
      <w:pPr>
        <w:pStyle w:val="P00"/>
        <w:spacing w:before="72"/>
        <w:ind w:left="0" w:right="1134"/>
        <w:rPr>
          <w:rStyle w:val="default"/>
          <w:rFonts w:cs="FrankRuehl"/>
          <w:rtl/>
        </w:rPr>
      </w:pPr>
      <w:bookmarkStart w:id="3" w:name="Seif2"/>
      <w:bookmarkEnd w:id="3"/>
      <w:r w:rsidRPr="007A1587">
        <w:rPr>
          <w:rFonts w:cs="Miriam"/>
          <w:lang w:val="he-IL"/>
        </w:rPr>
        <w:pict>
          <v:rect id="_x0000_s1028" style="position:absolute;left:0;text-align:left;margin-left:464.5pt;margin-top:8.05pt;width:75.05pt;height:37pt;z-index:251654144"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אי</w:t>
                  </w:r>
                  <w:r>
                    <w:rPr>
                      <w:rFonts w:cs="Miriam" w:hint="cs"/>
                      <w:sz w:val="18"/>
                      <w:szCs w:val="18"/>
                      <w:rtl/>
                    </w:rPr>
                    <w:t xml:space="preserve"> התרת</w:t>
                  </w:r>
                  <w:r w:rsidR="007A1587">
                    <w:rPr>
                      <w:rFonts w:cs="Miriam" w:hint="cs"/>
                      <w:sz w:val="18"/>
                      <w:szCs w:val="18"/>
                      <w:rtl/>
                    </w:rPr>
                    <w:t xml:space="preserve"> </w:t>
                  </w:r>
                  <w:r>
                    <w:rPr>
                      <w:rFonts w:cs="Miriam"/>
                      <w:sz w:val="18"/>
                      <w:szCs w:val="18"/>
                      <w:rtl/>
                    </w:rPr>
                    <w:t>דמ</w:t>
                  </w:r>
                  <w:r>
                    <w:rPr>
                      <w:rFonts w:cs="Miriam" w:hint="cs"/>
                      <w:sz w:val="18"/>
                      <w:szCs w:val="18"/>
                      <w:rtl/>
                    </w:rPr>
                    <w:t xml:space="preserve">י </w:t>
                  </w:r>
                  <w:r>
                    <w:rPr>
                      <w:rFonts w:cs="Miriam"/>
                      <w:sz w:val="18"/>
                      <w:szCs w:val="18"/>
                      <w:rtl/>
                    </w:rPr>
                    <w:t>שי</w:t>
                  </w:r>
                  <w:r>
                    <w:rPr>
                      <w:rFonts w:cs="Miriam" w:hint="cs"/>
                      <w:sz w:val="18"/>
                      <w:szCs w:val="18"/>
                      <w:rtl/>
                    </w:rPr>
                    <w:t>מוש</w:t>
                  </w:r>
                  <w:r w:rsidR="007A1587">
                    <w:rPr>
                      <w:rFonts w:cs="Miriam" w:hint="cs"/>
                      <w:sz w:val="18"/>
                      <w:szCs w:val="18"/>
                      <w:rtl/>
                    </w:rPr>
                    <w:t xml:space="preserve"> </w:t>
                  </w:r>
                  <w:r>
                    <w:rPr>
                      <w:rFonts w:cs="Miriam"/>
                      <w:sz w:val="18"/>
                      <w:szCs w:val="18"/>
                      <w:rtl/>
                    </w:rPr>
                    <w:t>בת</w:t>
                  </w:r>
                  <w:r>
                    <w:rPr>
                      <w:rFonts w:cs="Miriam" w:hint="cs"/>
                      <w:sz w:val="18"/>
                      <w:szCs w:val="18"/>
                      <w:rtl/>
                    </w:rPr>
                    <w:t>קופה בה</w:t>
                  </w:r>
                  <w:r w:rsidR="007A1587">
                    <w:rPr>
                      <w:rFonts w:cs="Miriam" w:hint="cs"/>
                      <w:sz w:val="18"/>
                      <w:szCs w:val="18"/>
                      <w:rtl/>
                    </w:rPr>
                    <w:t xml:space="preserve"> </w:t>
                  </w:r>
                  <w:r>
                    <w:rPr>
                      <w:rFonts w:cs="Miriam"/>
                      <w:sz w:val="18"/>
                      <w:szCs w:val="18"/>
                      <w:rtl/>
                    </w:rPr>
                    <w:t>הצ</w:t>
                  </w:r>
                  <w:r>
                    <w:rPr>
                      <w:rFonts w:cs="Miriam" w:hint="cs"/>
                      <w:sz w:val="18"/>
                      <w:szCs w:val="18"/>
                      <w:rtl/>
                    </w:rPr>
                    <w:t>יוד המוכר</w:t>
                  </w:r>
                  <w:r w:rsidR="007A1587">
                    <w:rPr>
                      <w:rFonts w:cs="Miriam" w:hint="cs"/>
                      <w:noProof/>
                      <w:sz w:val="18"/>
                      <w:szCs w:val="18"/>
                      <w:rtl/>
                    </w:rPr>
                    <w:t xml:space="preserve"> </w:t>
                  </w:r>
                  <w:r>
                    <w:rPr>
                      <w:rFonts w:cs="Miriam"/>
                      <w:sz w:val="18"/>
                      <w:szCs w:val="18"/>
                      <w:rtl/>
                    </w:rPr>
                    <w:t>אי</w:t>
                  </w:r>
                  <w:r>
                    <w:rPr>
                      <w:rFonts w:cs="Miriam" w:hint="cs"/>
                      <w:sz w:val="18"/>
                      <w:szCs w:val="18"/>
                      <w:rtl/>
                    </w:rPr>
                    <w:t>נו משמש</w:t>
                  </w:r>
                  <w:r w:rsidR="007A1587">
                    <w:rPr>
                      <w:rFonts w:cs="Miriam" w:hint="cs"/>
                      <w:sz w:val="18"/>
                      <w:szCs w:val="18"/>
                      <w:rtl/>
                    </w:rPr>
                    <w:t xml:space="preserve"> </w:t>
                  </w:r>
                  <w:r>
                    <w:rPr>
                      <w:rFonts w:cs="Miriam"/>
                      <w:sz w:val="18"/>
                      <w:szCs w:val="18"/>
                      <w:rtl/>
                    </w:rPr>
                    <w:t>בי</w:t>
                  </w:r>
                  <w:r w:rsidR="007A1587">
                    <w:rPr>
                      <w:rFonts w:cs="Miriam" w:hint="cs"/>
                      <w:sz w:val="18"/>
                      <w:szCs w:val="18"/>
                      <w:rtl/>
                    </w:rPr>
                    <w:t>יצור הכנסה</w:t>
                  </w:r>
                </w:p>
              </w:txbxContent>
            </v:textbox>
            <w10:anchorlock/>
          </v:rect>
        </w:pict>
      </w:r>
      <w:r w:rsidRPr="007A1587">
        <w:rPr>
          <w:rStyle w:val="big-number"/>
          <w:rFonts w:cs="Miriam"/>
          <w:rtl/>
        </w:rPr>
        <w:t>3</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בכפוף לאמור בתקנה 2, דמי שימוש עבור שימוש בציוד מוכר שטרם החל לשמש בייצור הכנסה, יותרו בניכוי החל מתחילת השימוש בציוד ועד תום תקופת השימוש, בחלקים שנתיים שווים.</w:t>
      </w:r>
    </w:p>
    <w:p w:rsidR="002C7642" w:rsidRPr="000A5699" w:rsidRDefault="002C7642">
      <w:pPr>
        <w:pStyle w:val="P00"/>
        <w:spacing w:before="72"/>
        <w:ind w:left="0" w:right="1134"/>
        <w:rPr>
          <w:rStyle w:val="default"/>
          <w:rFonts w:cs="FrankRuehl"/>
          <w:rtl/>
        </w:rPr>
      </w:pPr>
      <w:bookmarkStart w:id="4" w:name="Seif3"/>
      <w:bookmarkEnd w:id="4"/>
      <w:r w:rsidRPr="007A1587">
        <w:rPr>
          <w:rFonts w:cs="Miriam"/>
          <w:lang w:val="he-IL"/>
        </w:rPr>
        <w:lastRenderedPageBreak/>
        <w:pict>
          <v:rect id="_x0000_s1029" style="position:absolute;left:0;text-align:left;margin-left:464.5pt;margin-top:8.05pt;width:75.05pt;height:16pt;z-index:251655168"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חי</w:t>
                  </w:r>
                  <w:r>
                    <w:rPr>
                      <w:rFonts w:cs="Miriam" w:hint="cs"/>
                      <w:sz w:val="18"/>
                      <w:szCs w:val="18"/>
                      <w:rtl/>
                    </w:rPr>
                    <w:t>שוב ריווח</w:t>
                  </w:r>
                  <w:r w:rsidR="007A1587">
                    <w:rPr>
                      <w:rFonts w:cs="Miriam" w:hint="cs"/>
                      <w:sz w:val="18"/>
                      <w:szCs w:val="18"/>
                      <w:rtl/>
                    </w:rPr>
                    <w:t xml:space="preserve"> </w:t>
                  </w:r>
                  <w:r>
                    <w:rPr>
                      <w:rFonts w:cs="Miriam"/>
                      <w:sz w:val="18"/>
                      <w:szCs w:val="18"/>
                      <w:rtl/>
                    </w:rPr>
                    <w:t>הו</w:t>
                  </w:r>
                  <w:r w:rsidR="007A1587">
                    <w:rPr>
                      <w:rFonts w:cs="Miriam" w:hint="cs"/>
                      <w:sz w:val="18"/>
                      <w:szCs w:val="18"/>
                      <w:rtl/>
                    </w:rPr>
                    <w:t>ן</w:t>
                  </w:r>
                </w:p>
              </w:txbxContent>
            </v:textbox>
            <w10:anchorlock/>
          </v:rect>
        </w:pict>
      </w:r>
      <w:r w:rsidRPr="007A1587">
        <w:rPr>
          <w:rStyle w:val="big-number"/>
          <w:rFonts w:cs="Miriam"/>
          <w:rtl/>
        </w:rPr>
        <w:t>4</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במכירת הציוד המוכר בידי המשתמש, תחשב כל התמורה כריווח הון ריאלי כהגדרתו בסעיף 88 לפקודה.</w:t>
      </w:r>
    </w:p>
    <w:p w:rsidR="002C7642" w:rsidRPr="000A5699" w:rsidRDefault="002C7642">
      <w:pPr>
        <w:pStyle w:val="P00"/>
        <w:spacing w:before="72"/>
        <w:ind w:left="0" w:right="1134"/>
        <w:rPr>
          <w:rStyle w:val="default"/>
          <w:rFonts w:cs="FrankRuehl"/>
          <w:rtl/>
        </w:rPr>
      </w:pPr>
      <w:bookmarkStart w:id="5" w:name="Seif4"/>
      <w:bookmarkEnd w:id="5"/>
      <w:r w:rsidRPr="007A1587">
        <w:rPr>
          <w:rFonts w:cs="Miriam"/>
          <w:lang w:val="he-IL"/>
        </w:rPr>
        <w:pict>
          <v:rect id="_x0000_s1030" style="position:absolute;left:0;text-align:left;margin-left:464.5pt;margin-top:8.05pt;width:75.05pt;height:16pt;z-index:251656192"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אי</w:t>
                  </w:r>
                  <w:r>
                    <w:rPr>
                      <w:rFonts w:cs="Miriam" w:hint="cs"/>
                      <w:sz w:val="18"/>
                      <w:szCs w:val="18"/>
                      <w:rtl/>
                    </w:rPr>
                    <w:t>שור מאת</w:t>
                  </w:r>
                  <w:r w:rsidR="007A1587">
                    <w:rPr>
                      <w:rFonts w:cs="Miriam" w:hint="cs"/>
                      <w:sz w:val="18"/>
                      <w:szCs w:val="18"/>
                      <w:rtl/>
                    </w:rPr>
                    <w:t xml:space="preserve"> </w:t>
                  </w:r>
                  <w:r>
                    <w:rPr>
                      <w:rFonts w:cs="Miriam"/>
                      <w:sz w:val="18"/>
                      <w:szCs w:val="18"/>
                      <w:rtl/>
                    </w:rPr>
                    <w:t>המ</w:t>
                  </w:r>
                  <w:r>
                    <w:rPr>
                      <w:rFonts w:cs="Miriam" w:hint="cs"/>
                      <w:sz w:val="18"/>
                      <w:szCs w:val="18"/>
                      <w:rtl/>
                    </w:rPr>
                    <w:t>עביר</w:t>
                  </w:r>
                </w:p>
              </w:txbxContent>
            </v:textbox>
            <w10:anchorlock/>
          </v:rect>
        </w:pict>
      </w:r>
      <w:r w:rsidRPr="007A1587">
        <w:rPr>
          <w:rStyle w:val="big-number"/>
          <w:rFonts w:cs="Miriam"/>
          <w:rtl/>
        </w:rPr>
        <w:t>5</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המעביר ימציא למשתמש מדי שנה אישור על דמי השימוש ששולמו לו, ועל מועדיהם, בטופס שפרטיו ומועדי מסירתו יקבעו בידי הנציב.</w:t>
      </w:r>
    </w:p>
    <w:p w:rsidR="002C7642" w:rsidRDefault="002C7642">
      <w:pPr>
        <w:pStyle w:val="P00"/>
        <w:spacing w:before="72"/>
        <w:ind w:left="0" w:right="1134"/>
        <w:rPr>
          <w:rStyle w:val="default"/>
          <w:rFonts w:hint="cs"/>
          <w:rtl/>
        </w:rPr>
      </w:pPr>
      <w:bookmarkStart w:id="6" w:name="Seif5"/>
      <w:bookmarkEnd w:id="6"/>
      <w:r w:rsidRPr="007A1587">
        <w:rPr>
          <w:rFonts w:cs="Miriam"/>
          <w:lang w:val="he-IL"/>
        </w:rPr>
        <w:pict>
          <v:rect id="_x0000_s1031" style="position:absolute;left:0;text-align:left;margin-left:464.5pt;margin-top:8.05pt;width:75.05pt;height:18.85pt;z-index:251657216"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אי</w:t>
                  </w:r>
                  <w:r>
                    <w:rPr>
                      <w:rFonts w:cs="Miriam" w:hint="cs"/>
                      <w:sz w:val="18"/>
                      <w:szCs w:val="18"/>
                      <w:rtl/>
                    </w:rPr>
                    <w:t xml:space="preserve"> החלת התקנו</w:t>
                  </w:r>
                  <w:r>
                    <w:rPr>
                      <w:rFonts w:cs="Miriam"/>
                      <w:sz w:val="18"/>
                      <w:szCs w:val="18"/>
                      <w:rtl/>
                    </w:rPr>
                    <w:t>ת</w:t>
                  </w:r>
                  <w:r w:rsidR="007A1587">
                    <w:rPr>
                      <w:rFonts w:cs="Miriam" w:hint="cs"/>
                      <w:sz w:val="18"/>
                      <w:szCs w:val="18"/>
                      <w:rtl/>
                    </w:rPr>
                    <w:t xml:space="preserve"> </w:t>
                  </w:r>
                  <w:r>
                    <w:rPr>
                      <w:rFonts w:cs="Miriam"/>
                      <w:sz w:val="18"/>
                      <w:szCs w:val="18"/>
                      <w:rtl/>
                    </w:rPr>
                    <w:t>במק</w:t>
                  </w:r>
                  <w:r>
                    <w:rPr>
                      <w:rFonts w:cs="Miriam" w:hint="cs"/>
                      <w:sz w:val="18"/>
                      <w:szCs w:val="18"/>
                      <w:rtl/>
                    </w:rPr>
                    <w:t>רים מיוחדים</w:t>
                  </w:r>
                </w:p>
              </w:txbxContent>
            </v:textbox>
            <w10:anchorlock/>
          </v:rect>
        </w:pict>
      </w:r>
      <w:r w:rsidRPr="007A1587">
        <w:rPr>
          <w:rStyle w:val="big-number"/>
          <w:rFonts w:cs="Miriam"/>
          <w:rtl/>
        </w:rPr>
        <w:t>6</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 xml:space="preserve">הוראות תקנות אלה לא יחולו </w:t>
      </w:r>
      <w:r w:rsidR="007A1587">
        <w:rPr>
          <w:rStyle w:val="default"/>
          <w:rtl/>
        </w:rPr>
        <w:t>–</w:t>
      </w:r>
    </w:p>
    <w:p w:rsidR="002C7642" w:rsidRPr="000A5699" w:rsidRDefault="007A1587" w:rsidP="001553F7">
      <w:pPr>
        <w:pStyle w:val="P22"/>
        <w:tabs>
          <w:tab w:val="left" w:pos="624"/>
          <w:tab w:val="left" w:pos="1021"/>
        </w:tabs>
        <w:spacing w:before="72"/>
        <w:ind w:left="624" w:right="1134"/>
        <w:rPr>
          <w:rStyle w:val="default"/>
          <w:rFonts w:cs="FrankRuehl"/>
          <w:rtl/>
        </w:rPr>
      </w:pPr>
      <w:r>
        <w:rPr>
          <w:rFonts w:cs="FrankRuehl"/>
          <w:sz w:val="26"/>
          <w:rtl/>
          <w:lang w:eastAsia="en-US"/>
        </w:rPr>
        <w:pict>
          <v:shape id="_x0000_s1037" type="#_x0000_t202" style="position:absolute;left:0;text-align:left;margin-left:470.35pt;margin-top:7.1pt;width:1in;height:9.5pt;z-index:251661312" filled="f" stroked="f">
            <v:textbox inset="1mm,0,1mm,0">
              <w:txbxContent>
                <w:p w:rsidR="007A1587" w:rsidRDefault="007A1587" w:rsidP="007A1587">
                  <w:pPr>
                    <w:spacing w:line="160" w:lineRule="exac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v:shape>
        </w:pict>
      </w:r>
      <w:r w:rsidR="002C7642" w:rsidRPr="000A5699">
        <w:rPr>
          <w:rStyle w:val="default"/>
          <w:rFonts w:cs="FrankRuehl"/>
          <w:rtl/>
        </w:rPr>
        <w:t>(1)</w:t>
      </w:r>
      <w:r w:rsidR="002C7642" w:rsidRPr="000A5699">
        <w:rPr>
          <w:rStyle w:val="default"/>
          <w:rFonts w:cs="FrankRuehl"/>
          <w:rtl/>
        </w:rPr>
        <w:tab/>
        <w:t>(בוטלה);</w:t>
      </w:r>
    </w:p>
    <w:p w:rsidR="002C7642" w:rsidRDefault="002C7642" w:rsidP="001553F7">
      <w:pPr>
        <w:pStyle w:val="P22"/>
        <w:tabs>
          <w:tab w:val="left" w:pos="624"/>
          <w:tab w:val="left" w:pos="1021"/>
        </w:tabs>
        <w:spacing w:before="72"/>
        <w:ind w:left="624" w:right="1134"/>
        <w:rPr>
          <w:rStyle w:val="default"/>
          <w:rFonts w:cs="FrankRuehl" w:hint="cs"/>
          <w:rtl/>
        </w:rPr>
      </w:pPr>
      <w:r w:rsidRPr="000A5699">
        <w:rPr>
          <w:rStyle w:val="default"/>
          <w:rFonts w:cs="FrankRuehl"/>
          <w:rtl/>
        </w:rPr>
        <w:t>(2)</w:t>
      </w:r>
      <w:r w:rsidRPr="000A5699">
        <w:rPr>
          <w:rStyle w:val="default"/>
          <w:rFonts w:cs="FrankRuehl"/>
          <w:rtl/>
        </w:rPr>
        <w:tab/>
        <w:t>לגבי נישום שפקיד השומה קבע שהפנקסים שנוהלו על ידו בשנת המס אינם קבילים.</w:t>
      </w:r>
    </w:p>
    <w:p w:rsidR="007A1587" w:rsidRPr="001553F7" w:rsidRDefault="007A1587" w:rsidP="001553F7">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7" w:name="Rov12"/>
      <w:r w:rsidRPr="001553F7">
        <w:rPr>
          <w:rStyle w:val="default"/>
          <w:rFonts w:cs="FrankRuehl" w:hint="cs"/>
          <w:vanish/>
          <w:color w:val="FF0000"/>
          <w:sz w:val="20"/>
          <w:szCs w:val="20"/>
          <w:shd w:val="clear" w:color="auto" w:fill="FFFF99"/>
          <w:rtl/>
        </w:rPr>
        <w:t>מיום 1.1.1995</w:t>
      </w:r>
    </w:p>
    <w:p w:rsidR="007A1587" w:rsidRPr="001553F7" w:rsidRDefault="007A1587" w:rsidP="001553F7">
      <w:pPr>
        <w:pStyle w:val="P22"/>
        <w:tabs>
          <w:tab w:val="left" w:pos="624"/>
          <w:tab w:val="left" w:pos="1021"/>
        </w:tabs>
        <w:spacing w:before="0"/>
        <w:ind w:left="624" w:right="1134"/>
        <w:rPr>
          <w:rStyle w:val="default"/>
          <w:rFonts w:cs="FrankRuehl" w:hint="cs"/>
          <w:vanish/>
          <w:sz w:val="20"/>
          <w:szCs w:val="20"/>
          <w:shd w:val="clear" w:color="auto" w:fill="FFFF99"/>
          <w:rtl/>
        </w:rPr>
      </w:pPr>
      <w:r w:rsidRPr="001553F7">
        <w:rPr>
          <w:rStyle w:val="default"/>
          <w:rFonts w:cs="FrankRuehl" w:hint="cs"/>
          <w:b/>
          <w:bCs/>
          <w:vanish/>
          <w:sz w:val="20"/>
          <w:szCs w:val="20"/>
          <w:shd w:val="clear" w:color="auto" w:fill="FFFF99"/>
          <w:rtl/>
        </w:rPr>
        <w:t>תק' תשנ"ה-1995</w:t>
      </w:r>
    </w:p>
    <w:p w:rsidR="007A1587" w:rsidRPr="001553F7" w:rsidRDefault="007A1587" w:rsidP="001553F7">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 w:history="1">
        <w:r w:rsidRPr="001553F7">
          <w:rPr>
            <w:rStyle w:val="Hyperlink"/>
            <w:rFonts w:cs="FrankRuehl" w:hint="cs"/>
            <w:vanish/>
            <w:szCs w:val="20"/>
            <w:shd w:val="clear" w:color="auto" w:fill="FFFF99"/>
            <w:rtl/>
          </w:rPr>
          <w:t>ק"ת תשנ"ה מס' 5686</w:t>
        </w:r>
      </w:hyperlink>
      <w:r w:rsidRPr="001553F7">
        <w:rPr>
          <w:rStyle w:val="default"/>
          <w:rFonts w:cs="FrankRuehl" w:hint="cs"/>
          <w:vanish/>
          <w:sz w:val="20"/>
          <w:szCs w:val="20"/>
          <w:shd w:val="clear" w:color="auto" w:fill="FFFF99"/>
          <w:rtl/>
        </w:rPr>
        <w:t xml:space="preserve"> מיום 22.6.1995 עמ' 1547</w:t>
      </w:r>
    </w:p>
    <w:p w:rsidR="007A1587" w:rsidRPr="001553F7" w:rsidRDefault="007A1587" w:rsidP="001553F7">
      <w:pPr>
        <w:pStyle w:val="P22"/>
        <w:tabs>
          <w:tab w:val="left" w:pos="624"/>
          <w:tab w:val="left" w:pos="1021"/>
        </w:tabs>
        <w:spacing w:before="0"/>
        <w:ind w:left="624" w:right="1134"/>
        <w:rPr>
          <w:rStyle w:val="default"/>
          <w:rFonts w:cs="FrankRuehl" w:hint="cs"/>
          <w:vanish/>
          <w:sz w:val="20"/>
          <w:szCs w:val="20"/>
          <w:shd w:val="clear" w:color="auto" w:fill="FFFF99"/>
          <w:rtl/>
        </w:rPr>
      </w:pPr>
      <w:r w:rsidRPr="001553F7">
        <w:rPr>
          <w:rStyle w:val="default"/>
          <w:rFonts w:cs="FrankRuehl" w:hint="cs"/>
          <w:b/>
          <w:bCs/>
          <w:vanish/>
          <w:sz w:val="20"/>
          <w:szCs w:val="20"/>
          <w:shd w:val="clear" w:color="auto" w:fill="FFFF99"/>
          <w:rtl/>
        </w:rPr>
        <w:t>ביטול פסקה 6(1)</w:t>
      </w:r>
    </w:p>
    <w:p w:rsidR="007A1587" w:rsidRPr="001553F7" w:rsidRDefault="007A1587" w:rsidP="001553F7">
      <w:pPr>
        <w:pStyle w:val="P22"/>
        <w:tabs>
          <w:tab w:val="left" w:pos="624"/>
          <w:tab w:val="left" w:pos="1021"/>
        </w:tabs>
        <w:ind w:left="624" w:right="1134"/>
        <w:rPr>
          <w:rStyle w:val="default"/>
          <w:rFonts w:cs="FrankRuehl" w:hint="cs"/>
          <w:vanish/>
          <w:sz w:val="20"/>
          <w:szCs w:val="20"/>
          <w:shd w:val="clear" w:color="auto" w:fill="FFFF99"/>
          <w:rtl/>
        </w:rPr>
      </w:pPr>
      <w:r w:rsidRPr="001553F7">
        <w:rPr>
          <w:rStyle w:val="default"/>
          <w:rFonts w:cs="FrankRuehl" w:hint="cs"/>
          <w:vanish/>
          <w:sz w:val="20"/>
          <w:szCs w:val="20"/>
          <w:shd w:val="clear" w:color="auto" w:fill="FFFF99"/>
          <w:rtl/>
        </w:rPr>
        <w:t>הנוסח הקודם:</w:t>
      </w:r>
    </w:p>
    <w:p w:rsidR="007A1587" w:rsidRPr="007A1587" w:rsidRDefault="007A1587" w:rsidP="001553F7">
      <w:pPr>
        <w:pStyle w:val="P22"/>
        <w:tabs>
          <w:tab w:val="left" w:pos="624"/>
          <w:tab w:val="left" w:pos="1021"/>
        </w:tabs>
        <w:spacing w:before="0"/>
        <w:ind w:left="624" w:right="1134"/>
        <w:rPr>
          <w:rStyle w:val="default"/>
          <w:rFonts w:cs="FrankRuehl" w:hint="cs"/>
          <w:strike/>
          <w:sz w:val="2"/>
          <w:szCs w:val="2"/>
          <w:rtl/>
        </w:rPr>
      </w:pPr>
      <w:r w:rsidRPr="001553F7">
        <w:rPr>
          <w:rStyle w:val="default"/>
          <w:rFonts w:cs="FrankRuehl" w:hint="cs"/>
          <w:strike/>
          <w:vanish/>
          <w:sz w:val="22"/>
          <w:szCs w:val="22"/>
          <w:shd w:val="clear" w:color="auto" w:fill="FFFF99"/>
          <w:rtl/>
        </w:rPr>
        <w:t>(1)</w:t>
      </w:r>
      <w:r w:rsidRPr="001553F7">
        <w:rPr>
          <w:rStyle w:val="default"/>
          <w:rFonts w:cs="FrankRuehl" w:hint="cs"/>
          <w:strike/>
          <w:vanish/>
          <w:sz w:val="22"/>
          <w:szCs w:val="22"/>
          <w:shd w:val="clear" w:color="auto" w:fill="FFFF99"/>
          <w:rtl/>
        </w:rPr>
        <w:tab/>
        <w:t>על דמי שימוש המשתלמים בעד שימוש ברכב פרטי, למעט רכב פרטי המשמש להפקת הכנסה מעסק של השכרת רכב או נהיגה או המשמש כמונית;</w:t>
      </w:r>
      <w:bookmarkEnd w:id="7"/>
    </w:p>
    <w:p w:rsidR="002C7642" w:rsidRPr="000A5699" w:rsidRDefault="002C7642" w:rsidP="007A1587">
      <w:pPr>
        <w:pStyle w:val="P00"/>
        <w:spacing w:before="72"/>
        <w:ind w:left="0" w:right="1134"/>
        <w:rPr>
          <w:rStyle w:val="default"/>
          <w:rFonts w:cs="FrankRuehl"/>
          <w:rtl/>
        </w:rPr>
      </w:pPr>
      <w:bookmarkStart w:id="8" w:name="Seif6"/>
      <w:bookmarkEnd w:id="8"/>
      <w:r w:rsidRPr="007A1587">
        <w:rPr>
          <w:rFonts w:cs="Miriam"/>
          <w:lang w:val="he-IL"/>
        </w:rPr>
        <w:pict>
          <v:rect id="_x0000_s1032" style="position:absolute;left:0;text-align:left;margin-left:464.5pt;margin-top:8.05pt;width:75.05pt;height:18.4pt;z-index:251658240" o:allowincell="f" filled="f" stroked="f" strokecolor="lime" strokeweight=".25pt">
            <v:textbox inset="0,0,0,0">
              <w:txbxContent>
                <w:p w:rsidR="002C7642" w:rsidRDefault="002C7642">
                  <w:pPr>
                    <w:spacing w:line="160" w:lineRule="exact"/>
                    <w:rPr>
                      <w:rFonts w:cs="Miriam"/>
                      <w:noProof/>
                      <w:sz w:val="18"/>
                      <w:szCs w:val="18"/>
                      <w:rtl/>
                    </w:rPr>
                  </w:pPr>
                  <w:r>
                    <w:rPr>
                      <w:rFonts w:cs="Miriam"/>
                      <w:sz w:val="18"/>
                      <w:szCs w:val="18"/>
                      <w:rtl/>
                    </w:rPr>
                    <w:t>בח</w:t>
                  </w:r>
                  <w:r>
                    <w:rPr>
                      <w:rFonts w:cs="Miriam" w:hint="cs"/>
                      <w:sz w:val="18"/>
                      <w:szCs w:val="18"/>
                      <w:rtl/>
                    </w:rPr>
                    <w:t>ירה בתקנות</w:t>
                  </w:r>
                </w:p>
              </w:txbxContent>
            </v:textbox>
            <w10:anchorlock/>
          </v:rect>
        </w:pict>
      </w:r>
      <w:r w:rsidRPr="007A1587">
        <w:rPr>
          <w:rStyle w:val="big-number"/>
          <w:rFonts w:cs="Miriam"/>
          <w:rtl/>
        </w:rPr>
        <w:t>7</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(א)</w:t>
      </w:r>
      <w:r w:rsidRPr="000A5699">
        <w:rPr>
          <w:rStyle w:val="default"/>
          <w:rFonts w:cs="FrankRuehl"/>
          <w:rtl/>
        </w:rPr>
        <w:tab/>
        <w:t xml:space="preserve">משתמש המעונין כי תקנות אלה יחולו על ציוד מוכר שברשותו, יודיע על כך לפקיד השומה במועד שנקבע להגשת הדו"ח השנתי לשנת המס שבה הועבר הציוד לרשותו; לא הודיע כאמור </w:t>
      </w:r>
      <w:r w:rsidR="001553F7">
        <w:rPr>
          <w:rStyle w:val="default"/>
          <w:rFonts w:cs="FrankRuehl"/>
          <w:rtl/>
        </w:rPr>
        <w:t>–</w:t>
      </w:r>
      <w:r w:rsidRPr="000A5699">
        <w:rPr>
          <w:rStyle w:val="default"/>
          <w:rFonts w:cs="FrankRuehl"/>
          <w:rtl/>
        </w:rPr>
        <w:t xml:space="preserve"> לא יחולו הוראות תקנות אלה לגבי הציוד.</w:t>
      </w:r>
    </w:p>
    <w:p w:rsidR="002C7642" w:rsidRPr="000A5699" w:rsidRDefault="002C7642" w:rsidP="007A1587">
      <w:pPr>
        <w:pStyle w:val="P00"/>
        <w:spacing w:before="72"/>
        <w:ind w:left="0" w:right="1134"/>
        <w:rPr>
          <w:rStyle w:val="default"/>
          <w:rFonts w:cs="FrankRuehl"/>
          <w:rtl/>
        </w:rPr>
      </w:pPr>
      <w:r w:rsidRPr="000A5699">
        <w:rPr>
          <w:rFonts w:cs="FrankRuehl"/>
          <w:sz w:val="26"/>
          <w:rtl/>
        </w:rPr>
        <w:tab/>
      </w:r>
      <w:r w:rsidRPr="000A5699">
        <w:rPr>
          <w:rStyle w:val="default"/>
          <w:rFonts w:cs="FrankRuehl"/>
          <w:rtl/>
        </w:rPr>
        <w:t>(ב)</w:t>
      </w:r>
      <w:r w:rsidRPr="000A5699">
        <w:rPr>
          <w:rStyle w:val="default"/>
          <w:rFonts w:cs="FrankRuehl"/>
          <w:rtl/>
        </w:rPr>
        <w:tab/>
        <w:t xml:space="preserve">הודיע משתמש כאמור בתקנת משנה (א) </w:t>
      </w:r>
      <w:r w:rsidR="001553F7">
        <w:rPr>
          <w:rStyle w:val="default"/>
          <w:rtl/>
        </w:rPr>
        <w:t>–</w:t>
      </w:r>
      <w:r w:rsidRPr="000A5699">
        <w:rPr>
          <w:rStyle w:val="default"/>
          <w:rFonts w:cs="FrankRuehl"/>
          <w:rtl/>
        </w:rPr>
        <w:t xml:space="preserve"> לא יוכל לחזור בו מבחירתו לגבי אותו ציוד.</w:t>
      </w:r>
    </w:p>
    <w:p w:rsidR="002C7642" w:rsidRPr="000A5699" w:rsidRDefault="002C7642">
      <w:pPr>
        <w:pStyle w:val="P00"/>
        <w:spacing w:before="72"/>
        <w:ind w:left="0" w:right="1134"/>
        <w:rPr>
          <w:rStyle w:val="default"/>
          <w:rFonts w:cs="FrankRuehl"/>
          <w:rtl/>
        </w:rPr>
      </w:pPr>
      <w:bookmarkStart w:id="9" w:name="Seif7"/>
      <w:bookmarkEnd w:id="9"/>
      <w:r w:rsidRPr="007A1587">
        <w:rPr>
          <w:rFonts w:cs="Miriam"/>
          <w:lang w:val="he-IL"/>
        </w:rPr>
        <w:pict>
          <v:rect id="_x0000_s1033" style="position:absolute;left:0;text-align:left;margin-left:464.5pt;margin-top:8.05pt;width:75.05pt;height:20.3pt;z-index:251659264" o:allowincell="f" filled="f" stroked="f" strokecolor="lime" strokeweight=".25pt">
            <v:textbox inset="0,0,0,0">
              <w:txbxContent>
                <w:p w:rsidR="002C7642" w:rsidRDefault="002C7642" w:rsidP="007A1587">
                  <w:pPr>
                    <w:spacing w:line="160" w:lineRule="exact"/>
                    <w:rPr>
                      <w:rFonts w:cs="Miriam"/>
                      <w:noProof/>
                      <w:sz w:val="18"/>
                      <w:szCs w:val="18"/>
                      <w:rtl/>
                    </w:rPr>
                  </w:pPr>
                  <w:r>
                    <w:rPr>
                      <w:rFonts w:cs="Miriam"/>
                      <w:sz w:val="18"/>
                      <w:szCs w:val="18"/>
                      <w:rtl/>
                    </w:rPr>
                    <w:t>אי</w:t>
                  </w:r>
                  <w:r>
                    <w:rPr>
                      <w:rFonts w:cs="Miriam" w:hint="cs"/>
                      <w:sz w:val="18"/>
                      <w:szCs w:val="18"/>
                      <w:rtl/>
                    </w:rPr>
                    <w:t xml:space="preserve"> התרת</w:t>
                  </w:r>
                  <w:r w:rsidR="007A1587">
                    <w:rPr>
                      <w:rFonts w:cs="Miriam" w:hint="cs"/>
                      <w:sz w:val="18"/>
                      <w:szCs w:val="18"/>
                      <w:rtl/>
                    </w:rPr>
                    <w:t xml:space="preserve"> </w:t>
                  </w:r>
                  <w:r>
                    <w:rPr>
                      <w:rFonts w:cs="Miriam"/>
                      <w:sz w:val="18"/>
                      <w:szCs w:val="18"/>
                      <w:rtl/>
                    </w:rPr>
                    <w:t>הו</w:t>
                  </w:r>
                  <w:r>
                    <w:rPr>
                      <w:rFonts w:cs="Miriam" w:hint="cs"/>
                      <w:sz w:val="18"/>
                      <w:szCs w:val="18"/>
                      <w:rtl/>
                    </w:rPr>
                    <w:t>צאות אחרות</w:t>
                  </w:r>
                </w:p>
              </w:txbxContent>
            </v:textbox>
            <w10:anchorlock/>
          </v:rect>
        </w:pict>
      </w:r>
      <w:r w:rsidRPr="007A1587">
        <w:rPr>
          <w:rStyle w:val="big-number"/>
          <w:rFonts w:cs="Miriam"/>
          <w:rtl/>
        </w:rPr>
        <w:t>8</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משתמש שבחר כי תקנות אלה יחולו על ציוד מוכר שברשותו, לא יהיה זכאי בשל הציוד המוכר לפחת, הפחתה או ניכוי אחר המחושבים באחוזים מהמחיר המקורי של הציוד המוכר.</w:t>
      </w:r>
    </w:p>
    <w:p w:rsidR="002C7642" w:rsidRPr="000A5699" w:rsidRDefault="002C7642">
      <w:pPr>
        <w:pStyle w:val="P00"/>
        <w:spacing w:before="72"/>
        <w:ind w:left="0" w:right="1134"/>
        <w:rPr>
          <w:rStyle w:val="default"/>
          <w:rFonts w:cs="FrankRuehl"/>
          <w:rtl/>
        </w:rPr>
      </w:pPr>
      <w:bookmarkStart w:id="10" w:name="Seif8"/>
      <w:bookmarkEnd w:id="10"/>
      <w:r w:rsidRPr="007A1587">
        <w:rPr>
          <w:rFonts w:cs="Miriam"/>
          <w:lang w:val="he-IL"/>
        </w:rPr>
        <w:pict>
          <v:rect id="_x0000_s1034" style="position:absolute;left:0;text-align:left;margin-left:464.5pt;margin-top:8.05pt;width:75.05pt;height:14.7pt;z-index:251660288" o:allowincell="f" filled="f" stroked="f" strokecolor="lime" strokeweight=".25pt">
            <v:textbox inset="0,0,0,0">
              <w:txbxContent>
                <w:p w:rsidR="002C7642" w:rsidRDefault="002C7642">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7A1587">
        <w:rPr>
          <w:rStyle w:val="big-number"/>
          <w:rFonts w:cs="Miriam"/>
          <w:rtl/>
        </w:rPr>
        <w:t>9</w:t>
      </w:r>
      <w:r w:rsidRPr="007A1587">
        <w:rPr>
          <w:rStyle w:val="big-number"/>
          <w:rFonts w:cs="FrankRuehl"/>
          <w:sz w:val="26"/>
          <w:szCs w:val="26"/>
          <w:rtl/>
        </w:rPr>
        <w:t>.</w:t>
      </w:r>
      <w:r w:rsidRPr="007A1587">
        <w:rPr>
          <w:rStyle w:val="big-number"/>
          <w:rFonts w:cs="FrankRuehl"/>
          <w:sz w:val="26"/>
          <w:szCs w:val="26"/>
          <w:rtl/>
        </w:rPr>
        <w:tab/>
      </w:r>
      <w:r w:rsidRPr="000A5699">
        <w:rPr>
          <w:rStyle w:val="default"/>
          <w:rFonts w:cs="FrankRuehl"/>
          <w:rtl/>
        </w:rPr>
        <w:t>תחולת תקנות אלה משנת המס 1989 ואילך.</w:t>
      </w:r>
    </w:p>
    <w:p w:rsidR="002C7642" w:rsidRDefault="002C7642">
      <w:pPr>
        <w:pStyle w:val="P00"/>
        <w:spacing w:before="72"/>
        <w:ind w:left="0" w:right="1134"/>
        <w:rPr>
          <w:rStyle w:val="default"/>
          <w:rFonts w:cs="FrankRuehl" w:hint="cs"/>
          <w:rtl/>
        </w:rPr>
      </w:pPr>
    </w:p>
    <w:p w:rsidR="001553F7" w:rsidRPr="000A5699" w:rsidRDefault="001553F7">
      <w:pPr>
        <w:pStyle w:val="P00"/>
        <w:spacing w:before="72"/>
        <w:ind w:left="0" w:right="1134"/>
        <w:rPr>
          <w:rStyle w:val="default"/>
          <w:rFonts w:cs="FrankRuehl" w:hint="cs"/>
          <w:rtl/>
        </w:rPr>
      </w:pPr>
    </w:p>
    <w:p w:rsidR="002C7642" w:rsidRPr="000A5699" w:rsidRDefault="002C7642" w:rsidP="001553F7">
      <w:pPr>
        <w:pStyle w:val="sig-0"/>
        <w:tabs>
          <w:tab w:val="clear" w:pos="4820"/>
          <w:tab w:val="center" w:pos="5670"/>
        </w:tabs>
        <w:spacing w:before="72"/>
        <w:ind w:left="0" w:right="1134"/>
        <w:rPr>
          <w:rFonts w:cs="FrankRuehl"/>
          <w:sz w:val="26"/>
          <w:rtl/>
        </w:rPr>
      </w:pPr>
      <w:r w:rsidRPr="000A5699">
        <w:rPr>
          <w:rFonts w:cs="FrankRuehl"/>
          <w:sz w:val="26"/>
          <w:rtl/>
        </w:rPr>
        <w:t>כ"</w:t>
      </w:r>
      <w:r w:rsidRPr="000A5699">
        <w:rPr>
          <w:rFonts w:cs="FrankRuehl" w:hint="cs"/>
          <w:sz w:val="26"/>
          <w:rtl/>
        </w:rPr>
        <w:t>ו באב תשמ"ט (27 באוגוסט 1989)</w:t>
      </w:r>
      <w:r w:rsidRPr="000A5699">
        <w:rPr>
          <w:rFonts w:cs="FrankRuehl"/>
          <w:sz w:val="26"/>
          <w:rtl/>
        </w:rPr>
        <w:tab/>
        <w:t>ש</w:t>
      </w:r>
      <w:r w:rsidRPr="000A5699">
        <w:rPr>
          <w:rFonts w:cs="FrankRuehl" w:hint="cs"/>
          <w:sz w:val="26"/>
          <w:rtl/>
        </w:rPr>
        <w:t>מעון פרס</w:t>
      </w:r>
    </w:p>
    <w:p w:rsidR="002C7642" w:rsidRDefault="002C7642" w:rsidP="001553F7">
      <w:pPr>
        <w:pStyle w:val="sig-1"/>
        <w:widowControl/>
        <w:tabs>
          <w:tab w:val="clear" w:pos="851"/>
          <w:tab w:val="clear" w:pos="2835"/>
          <w:tab w:val="clear" w:pos="4820"/>
          <w:tab w:val="center" w:pos="5670"/>
        </w:tabs>
        <w:ind w:left="0" w:right="1134"/>
        <w:rPr>
          <w:rFonts w:cs="FrankRuehl" w:hint="cs"/>
          <w:sz w:val="22"/>
          <w:rtl/>
        </w:rPr>
      </w:pPr>
      <w:r w:rsidRPr="000A5699">
        <w:rPr>
          <w:rFonts w:cs="FrankRuehl"/>
          <w:sz w:val="22"/>
          <w:rtl/>
        </w:rPr>
        <w:tab/>
        <w:t>ש</w:t>
      </w:r>
      <w:r w:rsidRPr="000A5699">
        <w:rPr>
          <w:rFonts w:cs="FrankRuehl" w:hint="cs"/>
          <w:sz w:val="22"/>
          <w:rtl/>
        </w:rPr>
        <w:t>ר ה</w:t>
      </w:r>
      <w:r w:rsidRPr="000A5699">
        <w:rPr>
          <w:rFonts w:cs="FrankRuehl"/>
          <w:sz w:val="22"/>
          <w:rtl/>
        </w:rPr>
        <w:t>א</w:t>
      </w:r>
      <w:r w:rsidRPr="000A5699">
        <w:rPr>
          <w:rFonts w:cs="FrankRuehl" w:hint="cs"/>
          <w:sz w:val="22"/>
          <w:rtl/>
        </w:rPr>
        <w:t>וצר</w:t>
      </w:r>
    </w:p>
    <w:p w:rsidR="007A1587" w:rsidRPr="007A1587" w:rsidRDefault="007A1587" w:rsidP="007A1587">
      <w:pPr>
        <w:pStyle w:val="P00"/>
        <w:spacing w:before="72"/>
        <w:ind w:left="0" w:right="1134"/>
        <w:rPr>
          <w:rStyle w:val="default"/>
          <w:rFonts w:cs="FrankRuehl" w:hint="cs"/>
          <w:rtl/>
        </w:rPr>
      </w:pPr>
    </w:p>
    <w:p w:rsidR="007A1587" w:rsidRPr="007A1587" w:rsidRDefault="007A1587" w:rsidP="007A1587">
      <w:pPr>
        <w:pStyle w:val="P00"/>
        <w:spacing w:before="72"/>
        <w:ind w:left="0" w:right="1134"/>
        <w:rPr>
          <w:rStyle w:val="default"/>
          <w:rFonts w:cs="FrankRuehl"/>
          <w:rtl/>
        </w:rPr>
      </w:pPr>
    </w:p>
    <w:p w:rsidR="002C7642" w:rsidRPr="007A1587" w:rsidRDefault="002C7642" w:rsidP="007A1587">
      <w:pPr>
        <w:pStyle w:val="P00"/>
        <w:spacing w:before="72"/>
        <w:ind w:left="0" w:right="1134"/>
        <w:rPr>
          <w:rStyle w:val="default"/>
          <w:rFonts w:cs="FrankRuehl"/>
          <w:rtl/>
        </w:rPr>
      </w:pPr>
      <w:bookmarkStart w:id="11" w:name="LawPartEnd"/>
    </w:p>
    <w:bookmarkEnd w:id="11"/>
    <w:p w:rsidR="002C7642" w:rsidRPr="007A1587" w:rsidRDefault="002C7642" w:rsidP="007A1587">
      <w:pPr>
        <w:pStyle w:val="P00"/>
        <w:spacing w:before="72"/>
        <w:ind w:left="0" w:right="1134"/>
        <w:rPr>
          <w:rStyle w:val="default"/>
          <w:rFonts w:cs="FrankRuehl"/>
          <w:rtl/>
        </w:rPr>
      </w:pPr>
    </w:p>
    <w:sectPr w:rsidR="002C7642" w:rsidRPr="007A158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28E" w:rsidRDefault="00C0528E">
      <w:r>
        <w:separator/>
      </w:r>
    </w:p>
  </w:endnote>
  <w:endnote w:type="continuationSeparator" w:id="0">
    <w:p w:rsidR="00C0528E" w:rsidRDefault="00C05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642" w:rsidRDefault="002C764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2C7642" w:rsidRDefault="002C764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7642" w:rsidRDefault="002C764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864">
      <w:rPr>
        <w:rFonts w:cs="TopType Jerushalmi"/>
        <w:noProof/>
        <w:color w:val="000000"/>
        <w:sz w:val="14"/>
        <w:szCs w:val="14"/>
      </w:rPr>
      <w:t>C:\Yael\hakika\060108\255_414.doc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642" w:rsidRDefault="002C764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553F7">
      <w:rPr>
        <w:rFonts w:hAnsi="FrankRuehl" w:cs="FrankRuehl"/>
        <w:noProof/>
        <w:rtl/>
      </w:rPr>
      <w:t>2</w:t>
    </w:r>
    <w:r>
      <w:rPr>
        <w:rFonts w:hAnsi="FrankRuehl" w:cs="FrankRuehl"/>
        <w:rtl/>
      </w:rPr>
      <w:fldChar w:fldCharType="end"/>
    </w:r>
  </w:p>
  <w:p w:rsidR="002C7642" w:rsidRDefault="002C764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7642" w:rsidRDefault="002C764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3864">
      <w:rPr>
        <w:rFonts w:cs="TopType Jerushalmi"/>
        <w:noProof/>
        <w:color w:val="000000"/>
        <w:sz w:val="14"/>
        <w:szCs w:val="14"/>
      </w:rPr>
      <w:t>C:\Yael\hakika\060108\255_414.doc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28E" w:rsidRPr="00113864" w:rsidRDefault="00C0528E" w:rsidP="00113864">
      <w:pPr>
        <w:pStyle w:val="P00"/>
        <w:ind w:left="0" w:right="1134"/>
        <w:rPr>
          <w:rFonts w:cs="David"/>
          <w:noProof w:val="0"/>
          <w:sz w:val="24"/>
          <w:szCs w:val="24"/>
        </w:rPr>
      </w:pPr>
      <w:r>
        <w:separator/>
      </w:r>
    </w:p>
  </w:footnote>
  <w:footnote w:type="continuationSeparator" w:id="0">
    <w:p w:rsidR="00C0528E" w:rsidRDefault="00C0528E">
      <w:r>
        <w:continuationSeparator/>
      </w:r>
    </w:p>
  </w:footnote>
  <w:footnote w:id="1">
    <w:p w:rsidR="00113864" w:rsidRDefault="00113864" w:rsidP="001138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13864">
        <w:rPr>
          <w:rFonts w:cs="FrankRuehl"/>
          <w:rtl/>
        </w:rPr>
        <w:t xml:space="preserve">* </w:t>
      </w:r>
      <w:r>
        <w:rPr>
          <w:rFonts w:cs="FrankRuehl"/>
          <w:rtl/>
        </w:rPr>
        <w:t>פו</w:t>
      </w:r>
      <w:r>
        <w:rPr>
          <w:rFonts w:cs="FrankRuehl" w:hint="cs"/>
          <w:rtl/>
        </w:rPr>
        <w:t xml:space="preserve">רסמו </w:t>
      </w:r>
      <w:hyperlink r:id="rId1" w:history="1">
        <w:r w:rsidRPr="00113864">
          <w:rPr>
            <w:rStyle w:val="Hyperlink"/>
            <w:rFonts w:cs="FrankRuehl"/>
            <w:rtl/>
          </w:rPr>
          <w:t>ק"</w:t>
        </w:r>
        <w:r w:rsidRPr="00113864">
          <w:rPr>
            <w:rStyle w:val="Hyperlink"/>
            <w:rFonts w:cs="FrankRuehl" w:hint="cs"/>
            <w:rtl/>
          </w:rPr>
          <w:t>ת תשמ"ט מס' 5221</w:t>
        </w:r>
      </w:hyperlink>
      <w:r>
        <w:rPr>
          <w:rFonts w:cs="FrankRuehl" w:hint="cs"/>
          <w:rtl/>
        </w:rPr>
        <w:t xml:space="preserve"> מיום 28.9.1989 עמ' 1466.</w:t>
      </w:r>
    </w:p>
    <w:p w:rsidR="00113864" w:rsidRDefault="00113864" w:rsidP="001138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A1587">
          <w:rPr>
            <w:rStyle w:val="Hyperlink"/>
            <w:rFonts w:cs="FrankRuehl" w:hint="cs"/>
            <w:rtl/>
          </w:rPr>
          <w:t>ק"ת תשנ"ה מס' 5686</w:t>
        </w:r>
      </w:hyperlink>
      <w:r>
        <w:rPr>
          <w:rFonts w:cs="FrankRuehl" w:hint="cs"/>
          <w:rtl/>
        </w:rPr>
        <w:t xml:space="preserve"> מיום 22.6.1995 עמ' 1547 </w:t>
      </w:r>
      <w:r>
        <w:rPr>
          <w:rFonts w:cs="FrankRuehl"/>
          <w:rtl/>
        </w:rPr>
        <w:t>–</w:t>
      </w:r>
      <w:r>
        <w:rPr>
          <w:rFonts w:cs="FrankRuehl" w:hint="cs"/>
          <w:rtl/>
        </w:rPr>
        <w:t xml:space="preserve"> תק' תשנ"ה-1995; תחילתן ביום 1.1.1995.</w:t>
      </w:r>
    </w:p>
    <w:p w:rsidR="003B667B" w:rsidRPr="00113864" w:rsidRDefault="003B667B" w:rsidP="003B66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113864" w:rsidRPr="003B667B">
          <w:rPr>
            <w:rStyle w:val="Hyperlink"/>
            <w:rFonts w:cs="FrankRuehl" w:hint="cs"/>
            <w:rtl/>
          </w:rPr>
          <w:t>ק"ת תשס"ח מס' 6676</w:t>
        </w:r>
      </w:hyperlink>
      <w:r w:rsidR="00113864">
        <w:rPr>
          <w:rFonts w:cs="FrankRuehl" w:hint="cs"/>
          <w:rtl/>
        </w:rPr>
        <w:t xml:space="preserve"> מיום 29.5.2008 עמ' 928 </w:t>
      </w:r>
      <w:r w:rsidR="00113864">
        <w:rPr>
          <w:rFonts w:cs="FrankRuehl"/>
          <w:rtl/>
        </w:rPr>
        <w:t>–</w:t>
      </w:r>
      <w:r w:rsidR="00113864">
        <w:rPr>
          <w:rFonts w:cs="FrankRuehl" w:hint="cs"/>
          <w:rtl/>
        </w:rPr>
        <w:t xml:space="preserve"> תק' תשס"ח-2008; תחולתן על תקופת שימוש בציוד מוכר מיום 1.1.2008.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642" w:rsidRDefault="002C76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(ניכויים מיוחדים למשתמש בציוד בשכר מכר), תשמ"ט–1989</w:t>
    </w:r>
  </w:p>
  <w:p w:rsidR="002C7642" w:rsidRDefault="002C76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7642" w:rsidRDefault="002C76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642" w:rsidRDefault="002C7642" w:rsidP="001138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(ניכויים מיוחדים למשתמש בציוד בשכר מכר), תשמ"ט</w:t>
    </w:r>
    <w:r w:rsidR="00113864">
      <w:rPr>
        <w:rFonts w:hAnsi="FrankRuehl" w:cs="FrankRuehl" w:hint="cs"/>
        <w:color w:val="000000"/>
        <w:sz w:val="28"/>
        <w:szCs w:val="28"/>
        <w:rtl/>
      </w:rPr>
      <w:t>-</w:t>
    </w:r>
    <w:r>
      <w:rPr>
        <w:rFonts w:hAnsi="FrankRuehl" w:cs="FrankRuehl"/>
        <w:color w:val="000000"/>
        <w:sz w:val="28"/>
        <w:szCs w:val="28"/>
        <w:rtl/>
      </w:rPr>
      <w:t>1989</w:t>
    </w:r>
  </w:p>
  <w:p w:rsidR="002C7642" w:rsidRDefault="002C76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7642" w:rsidRDefault="002C76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864"/>
    <w:rsid w:val="000A5699"/>
    <w:rsid w:val="000D0056"/>
    <w:rsid w:val="00113864"/>
    <w:rsid w:val="001553F7"/>
    <w:rsid w:val="00201A7E"/>
    <w:rsid w:val="002820C9"/>
    <w:rsid w:val="002C7642"/>
    <w:rsid w:val="002F186D"/>
    <w:rsid w:val="00327660"/>
    <w:rsid w:val="003B667B"/>
    <w:rsid w:val="0048753D"/>
    <w:rsid w:val="007A1587"/>
    <w:rsid w:val="00AC5C84"/>
    <w:rsid w:val="00B103EA"/>
    <w:rsid w:val="00C052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08C5939-0D10-4A9F-95F6-5CF99383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113864"/>
    <w:rPr>
      <w:sz w:val="20"/>
      <w:szCs w:val="20"/>
    </w:rPr>
  </w:style>
  <w:style w:type="character" w:styleId="a6">
    <w:name w:val="footnote reference"/>
    <w:basedOn w:val="a0"/>
    <w:semiHidden/>
    <w:rsid w:val="00113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68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8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76.pdf" TargetMode="External"/><Relationship Id="rId2" Type="http://schemas.openxmlformats.org/officeDocument/2006/relationships/hyperlink" Target="http://www.nevo.co.il/Law_word/law06/TAK-5686.pdf" TargetMode="External"/><Relationship Id="rId1" Type="http://schemas.openxmlformats.org/officeDocument/2006/relationships/hyperlink" Target="http://www.nevo.co.il/Law_word/law06/TAK-5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4610</CharactersWithSpaces>
  <SharedDoc>false</SharedDoc>
  <HLinks>
    <vt:vector size="84" baseType="variant">
      <vt:variant>
        <vt:i4>7602184</vt:i4>
      </vt:variant>
      <vt:variant>
        <vt:i4>57</vt:i4>
      </vt:variant>
      <vt:variant>
        <vt:i4>0</vt:i4>
      </vt:variant>
      <vt:variant>
        <vt:i4>5</vt:i4>
      </vt:variant>
      <vt:variant>
        <vt:lpwstr>http://www.nevo.co.il/Law_word/law06/TAK-5686.pdf</vt:lpwstr>
      </vt:variant>
      <vt:variant>
        <vt:lpwstr/>
      </vt:variant>
      <vt:variant>
        <vt:i4>7602184</vt:i4>
      </vt:variant>
      <vt:variant>
        <vt:i4>54</vt:i4>
      </vt:variant>
      <vt:variant>
        <vt:i4>0</vt:i4>
      </vt:variant>
      <vt:variant>
        <vt:i4>5</vt:i4>
      </vt:variant>
      <vt:variant>
        <vt:lpwstr>http://www.nevo.co.il/Law_word/law06/TAK-5686.pdf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7864328</vt:i4>
      </vt:variant>
      <vt:variant>
        <vt:i4>6</vt:i4>
      </vt:variant>
      <vt:variant>
        <vt:i4>0</vt:i4>
      </vt:variant>
      <vt:variant>
        <vt:i4>5</vt:i4>
      </vt:variant>
      <vt:variant>
        <vt:lpwstr>http://www.nevo.co.il/Law_word/law06/TAK-6676.pdf</vt:lpwstr>
      </vt:variant>
      <vt:variant>
        <vt:lpwstr/>
      </vt:variant>
      <vt:variant>
        <vt:i4>7602184</vt:i4>
      </vt:variant>
      <vt:variant>
        <vt:i4>3</vt:i4>
      </vt:variant>
      <vt:variant>
        <vt:i4>0</vt:i4>
      </vt:variant>
      <vt:variant>
        <vt:i4>5</vt:i4>
      </vt:variant>
      <vt:variant>
        <vt:lpwstr>http://www.nevo.co.il/Law_word/law06/TAK-5686.pdf</vt:lpwstr>
      </vt:variant>
      <vt:variant>
        <vt:lpwstr/>
      </vt:variant>
      <vt:variant>
        <vt:i4>8257547</vt:i4>
      </vt:variant>
      <vt:variant>
        <vt:i4>0</vt:i4>
      </vt:variant>
      <vt:variant>
        <vt:i4>0</vt:i4>
      </vt:variant>
      <vt:variant>
        <vt:i4>5</vt:i4>
      </vt:variant>
      <vt:variant>
        <vt:lpwstr>http://www.nevo.co.il/Law_word/law06/TAK-5221.pdf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(ניכויים מיוחדים למשתמש בציוד בשכר מכר), תשמ"ט-1989</vt:lpwstr>
  </property>
  <property fmtid="{D5CDD505-2E9C-101B-9397-08002B2CF9AE}" pid="5" name="LAWNUMBER">
    <vt:lpwstr>0414</vt:lpwstr>
  </property>
  <property fmtid="{D5CDD505-2E9C-101B-9397-08002B2CF9AE}" pid="6" name="TYPE">
    <vt:lpwstr>01</vt:lpwstr>
  </property>
  <property fmtid="{D5CDD505-2E9C-101B-9397-08002B2CF9AE}" pid="7" name="LINKK1">
    <vt:lpwstr>http://www.nevo.co.il/Law_word/law06/TAK-6676.pdf;‎רשומות - תקנות כלליות#ק"ת תשס"ח מס' ‏‏6676 #מיום 29.5.2008 #עמ' 928 – תק' תשס"ח-2008; תחולתן על תקופת שימוש בציוד מוכר מיום 1.1.2008‏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20XאX4X;31X;98X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ניכויים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