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6AC3C" w14:textId="77777777" w:rsidR="002A24E2" w:rsidRDefault="00C3529E" w:rsidP="00515A33">
      <w:pPr>
        <w:pStyle w:val="big-header"/>
        <w:ind w:left="0" w:right="1134"/>
        <w:rPr>
          <w:rFonts w:cs="FrankRuehl" w:hint="cs"/>
          <w:sz w:val="32"/>
          <w:rtl/>
        </w:rPr>
      </w:pPr>
      <w:r>
        <w:rPr>
          <w:rFonts w:cs="FrankRuehl" w:hint="cs"/>
          <w:sz w:val="32"/>
          <w:rtl/>
        </w:rPr>
        <w:t>תקנות מס הכנסה (פחת מואץ לציוד המשמש בפעילות מזכה) (הוראת שעה)</w:t>
      </w:r>
      <w:r w:rsidR="008C0AEB">
        <w:rPr>
          <w:rFonts w:cs="FrankRuehl" w:hint="cs"/>
          <w:sz w:val="32"/>
          <w:rtl/>
        </w:rPr>
        <w:t>, תשס"ח-2008</w:t>
      </w:r>
    </w:p>
    <w:p w14:paraId="091A38AA" w14:textId="77777777" w:rsidR="004F323E" w:rsidRDefault="004F323E" w:rsidP="004F323E">
      <w:pPr>
        <w:spacing w:line="320" w:lineRule="auto"/>
        <w:rPr>
          <w:rFonts w:hint="cs"/>
          <w:rtl/>
        </w:rPr>
      </w:pPr>
    </w:p>
    <w:p w14:paraId="4DFC9472" w14:textId="77777777" w:rsidR="004F323E" w:rsidRPr="004F323E" w:rsidRDefault="004F323E" w:rsidP="004F323E">
      <w:pPr>
        <w:spacing w:line="320" w:lineRule="auto"/>
        <w:rPr>
          <w:rFonts w:cs="Miriam" w:hint="cs"/>
          <w:szCs w:val="22"/>
          <w:rtl/>
        </w:rPr>
      </w:pPr>
      <w:r w:rsidRPr="004F323E">
        <w:rPr>
          <w:rFonts w:cs="Miriam"/>
          <w:szCs w:val="22"/>
          <w:rtl/>
        </w:rPr>
        <w:t>מסים</w:t>
      </w:r>
      <w:r w:rsidRPr="004F323E">
        <w:rPr>
          <w:rFonts w:cs="FrankRuehl"/>
          <w:szCs w:val="26"/>
          <w:rtl/>
        </w:rPr>
        <w:t xml:space="preserve"> – מס הכנסה – פחת</w:t>
      </w:r>
    </w:p>
    <w:p w14:paraId="6DD7A637"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6672B" w:rsidRPr="0076672B" w14:paraId="175D2A76" w14:textId="77777777">
        <w:tblPrEx>
          <w:tblCellMar>
            <w:top w:w="0" w:type="dxa"/>
            <w:bottom w:w="0" w:type="dxa"/>
          </w:tblCellMar>
        </w:tblPrEx>
        <w:tc>
          <w:tcPr>
            <w:tcW w:w="1247" w:type="dxa"/>
          </w:tcPr>
          <w:p w14:paraId="05106CCB" w14:textId="77777777" w:rsidR="0076672B" w:rsidRPr="0076672B" w:rsidRDefault="0076672B" w:rsidP="0076672B">
            <w:pPr>
              <w:rPr>
                <w:rFonts w:cs="Frankruhel" w:hint="cs"/>
                <w:rtl/>
              </w:rPr>
            </w:pPr>
            <w:r>
              <w:rPr>
                <w:rtl/>
              </w:rPr>
              <w:t xml:space="preserve">סעיף 1 </w:t>
            </w:r>
          </w:p>
        </w:tc>
        <w:tc>
          <w:tcPr>
            <w:tcW w:w="5669" w:type="dxa"/>
          </w:tcPr>
          <w:p w14:paraId="622A4EEF" w14:textId="77777777" w:rsidR="0076672B" w:rsidRPr="0076672B" w:rsidRDefault="0076672B" w:rsidP="0076672B">
            <w:pPr>
              <w:rPr>
                <w:rFonts w:cs="Frankruhel" w:hint="cs"/>
                <w:rtl/>
              </w:rPr>
            </w:pPr>
            <w:r>
              <w:rPr>
                <w:rtl/>
              </w:rPr>
              <w:t>הגדרות</w:t>
            </w:r>
          </w:p>
        </w:tc>
        <w:tc>
          <w:tcPr>
            <w:tcW w:w="567" w:type="dxa"/>
          </w:tcPr>
          <w:p w14:paraId="0C230098" w14:textId="77777777" w:rsidR="0076672B" w:rsidRPr="0076672B" w:rsidRDefault="0076672B" w:rsidP="0076672B">
            <w:pPr>
              <w:rPr>
                <w:rStyle w:val="Hyperlink"/>
                <w:rFonts w:hint="cs"/>
                <w:rtl/>
              </w:rPr>
            </w:pPr>
            <w:hyperlink w:anchor="Seif1" w:tooltip="הגדרות" w:history="1">
              <w:r w:rsidRPr="0076672B">
                <w:rPr>
                  <w:rStyle w:val="Hyperlink"/>
                </w:rPr>
                <w:t>Go</w:t>
              </w:r>
            </w:hyperlink>
          </w:p>
        </w:tc>
        <w:tc>
          <w:tcPr>
            <w:tcW w:w="850" w:type="dxa"/>
          </w:tcPr>
          <w:p w14:paraId="35DA6B8F" w14:textId="77777777" w:rsidR="0076672B" w:rsidRPr="0076672B" w:rsidRDefault="0076672B" w:rsidP="00766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6672B" w:rsidRPr="0076672B" w14:paraId="4683B814" w14:textId="77777777">
        <w:tblPrEx>
          <w:tblCellMar>
            <w:top w:w="0" w:type="dxa"/>
            <w:bottom w:w="0" w:type="dxa"/>
          </w:tblCellMar>
        </w:tblPrEx>
        <w:tc>
          <w:tcPr>
            <w:tcW w:w="1247" w:type="dxa"/>
          </w:tcPr>
          <w:p w14:paraId="6C32BEB7" w14:textId="77777777" w:rsidR="0076672B" w:rsidRPr="0076672B" w:rsidRDefault="0076672B" w:rsidP="0076672B">
            <w:pPr>
              <w:rPr>
                <w:rFonts w:cs="Frankruhel" w:hint="cs"/>
                <w:rtl/>
              </w:rPr>
            </w:pPr>
            <w:r>
              <w:rPr>
                <w:rtl/>
              </w:rPr>
              <w:t xml:space="preserve">סעיף 2 </w:t>
            </w:r>
          </w:p>
        </w:tc>
        <w:tc>
          <w:tcPr>
            <w:tcW w:w="5669" w:type="dxa"/>
          </w:tcPr>
          <w:p w14:paraId="71CB681D" w14:textId="77777777" w:rsidR="0076672B" w:rsidRPr="0076672B" w:rsidRDefault="0076672B" w:rsidP="0076672B">
            <w:pPr>
              <w:rPr>
                <w:rFonts w:cs="Frankruhel" w:hint="cs"/>
                <w:rtl/>
              </w:rPr>
            </w:pPr>
            <w:r>
              <w:rPr>
                <w:rtl/>
              </w:rPr>
              <w:t>פחת מואץ בתקופה הקובעת</w:t>
            </w:r>
          </w:p>
        </w:tc>
        <w:tc>
          <w:tcPr>
            <w:tcW w:w="567" w:type="dxa"/>
          </w:tcPr>
          <w:p w14:paraId="236627A2" w14:textId="77777777" w:rsidR="0076672B" w:rsidRPr="0076672B" w:rsidRDefault="0076672B" w:rsidP="0076672B">
            <w:pPr>
              <w:rPr>
                <w:rStyle w:val="Hyperlink"/>
                <w:rFonts w:hint="cs"/>
                <w:rtl/>
              </w:rPr>
            </w:pPr>
            <w:hyperlink w:anchor="Seif2" w:tooltip="פחת מואץ בתקופה הקובעת" w:history="1">
              <w:r w:rsidRPr="0076672B">
                <w:rPr>
                  <w:rStyle w:val="Hyperlink"/>
                </w:rPr>
                <w:t>Go</w:t>
              </w:r>
            </w:hyperlink>
          </w:p>
        </w:tc>
        <w:tc>
          <w:tcPr>
            <w:tcW w:w="850" w:type="dxa"/>
          </w:tcPr>
          <w:p w14:paraId="210B3883" w14:textId="77777777" w:rsidR="0076672B" w:rsidRPr="0076672B" w:rsidRDefault="0076672B" w:rsidP="00766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76672B" w:rsidRPr="0076672B" w14:paraId="5DA21523" w14:textId="77777777">
        <w:tblPrEx>
          <w:tblCellMar>
            <w:top w:w="0" w:type="dxa"/>
            <w:bottom w:w="0" w:type="dxa"/>
          </w:tblCellMar>
        </w:tblPrEx>
        <w:tc>
          <w:tcPr>
            <w:tcW w:w="1247" w:type="dxa"/>
          </w:tcPr>
          <w:p w14:paraId="4639C3D6" w14:textId="77777777" w:rsidR="0076672B" w:rsidRPr="0076672B" w:rsidRDefault="0076672B" w:rsidP="0076672B">
            <w:pPr>
              <w:rPr>
                <w:rFonts w:cs="Frankruhel" w:hint="cs"/>
                <w:rtl/>
              </w:rPr>
            </w:pPr>
            <w:r>
              <w:rPr>
                <w:rtl/>
              </w:rPr>
              <w:t xml:space="preserve">סעיף 3 </w:t>
            </w:r>
          </w:p>
        </w:tc>
        <w:tc>
          <w:tcPr>
            <w:tcW w:w="5669" w:type="dxa"/>
          </w:tcPr>
          <w:p w14:paraId="311ACA26" w14:textId="77777777" w:rsidR="0076672B" w:rsidRPr="0076672B" w:rsidRDefault="0076672B" w:rsidP="0076672B">
            <w:pPr>
              <w:rPr>
                <w:rFonts w:cs="Frankruhel" w:hint="cs"/>
                <w:rtl/>
              </w:rPr>
            </w:pPr>
            <w:r>
              <w:rPr>
                <w:rtl/>
              </w:rPr>
              <w:t>בחירת הדין החל</w:t>
            </w:r>
          </w:p>
        </w:tc>
        <w:tc>
          <w:tcPr>
            <w:tcW w:w="567" w:type="dxa"/>
          </w:tcPr>
          <w:p w14:paraId="6BC9F2BD" w14:textId="77777777" w:rsidR="0076672B" w:rsidRPr="0076672B" w:rsidRDefault="0076672B" w:rsidP="0076672B">
            <w:pPr>
              <w:rPr>
                <w:rStyle w:val="Hyperlink"/>
                <w:rFonts w:hint="cs"/>
                <w:rtl/>
              </w:rPr>
            </w:pPr>
            <w:hyperlink w:anchor="Seif3" w:tooltip="בחירת הדין החל" w:history="1">
              <w:r w:rsidRPr="0076672B">
                <w:rPr>
                  <w:rStyle w:val="Hyperlink"/>
                </w:rPr>
                <w:t>Go</w:t>
              </w:r>
            </w:hyperlink>
          </w:p>
        </w:tc>
        <w:tc>
          <w:tcPr>
            <w:tcW w:w="850" w:type="dxa"/>
          </w:tcPr>
          <w:p w14:paraId="3D721BD2" w14:textId="77777777" w:rsidR="0076672B" w:rsidRPr="0076672B" w:rsidRDefault="0076672B" w:rsidP="00766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76672B" w:rsidRPr="0076672B" w14:paraId="424D0B86" w14:textId="77777777">
        <w:tblPrEx>
          <w:tblCellMar>
            <w:top w:w="0" w:type="dxa"/>
            <w:bottom w:w="0" w:type="dxa"/>
          </w:tblCellMar>
        </w:tblPrEx>
        <w:tc>
          <w:tcPr>
            <w:tcW w:w="1247" w:type="dxa"/>
          </w:tcPr>
          <w:p w14:paraId="2E11D55B" w14:textId="77777777" w:rsidR="0076672B" w:rsidRPr="0076672B" w:rsidRDefault="0076672B" w:rsidP="0076672B">
            <w:pPr>
              <w:rPr>
                <w:rFonts w:cs="Frankruhel" w:hint="cs"/>
                <w:rtl/>
              </w:rPr>
            </w:pPr>
            <w:r>
              <w:rPr>
                <w:rtl/>
              </w:rPr>
              <w:t xml:space="preserve">סעיף 4 </w:t>
            </w:r>
          </w:p>
        </w:tc>
        <w:tc>
          <w:tcPr>
            <w:tcW w:w="5669" w:type="dxa"/>
          </w:tcPr>
          <w:p w14:paraId="7D32BE46" w14:textId="77777777" w:rsidR="0076672B" w:rsidRPr="0076672B" w:rsidRDefault="0076672B" w:rsidP="0076672B">
            <w:pPr>
              <w:rPr>
                <w:rFonts w:cs="Frankruhel" w:hint="cs"/>
                <w:rtl/>
              </w:rPr>
            </w:pPr>
            <w:r>
              <w:rPr>
                <w:rtl/>
              </w:rPr>
              <w:t>סייג לתחולה</w:t>
            </w:r>
          </w:p>
        </w:tc>
        <w:tc>
          <w:tcPr>
            <w:tcW w:w="567" w:type="dxa"/>
          </w:tcPr>
          <w:p w14:paraId="1EBA88CE" w14:textId="77777777" w:rsidR="0076672B" w:rsidRPr="0076672B" w:rsidRDefault="0076672B" w:rsidP="0076672B">
            <w:pPr>
              <w:rPr>
                <w:rStyle w:val="Hyperlink"/>
                <w:rFonts w:hint="cs"/>
                <w:rtl/>
              </w:rPr>
            </w:pPr>
            <w:hyperlink w:anchor="Seif4" w:tooltip="סייג לתחולה" w:history="1">
              <w:r w:rsidRPr="0076672B">
                <w:rPr>
                  <w:rStyle w:val="Hyperlink"/>
                </w:rPr>
                <w:t>Go</w:t>
              </w:r>
            </w:hyperlink>
          </w:p>
        </w:tc>
        <w:tc>
          <w:tcPr>
            <w:tcW w:w="850" w:type="dxa"/>
          </w:tcPr>
          <w:p w14:paraId="751F0699" w14:textId="77777777" w:rsidR="0076672B" w:rsidRPr="0076672B" w:rsidRDefault="0076672B" w:rsidP="00766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76672B" w:rsidRPr="0076672B" w14:paraId="79575083" w14:textId="77777777">
        <w:tblPrEx>
          <w:tblCellMar>
            <w:top w:w="0" w:type="dxa"/>
            <w:bottom w:w="0" w:type="dxa"/>
          </w:tblCellMar>
        </w:tblPrEx>
        <w:tc>
          <w:tcPr>
            <w:tcW w:w="1247" w:type="dxa"/>
          </w:tcPr>
          <w:p w14:paraId="20BFFBE8" w14:textId="77777777" w:rsidR="0076672B" w:rsidRPr="0076672B" w:rsidRDefault="0076672B" w:rsidP="0076672B">
            <w:pPr>
              <w:rPr>
                <w:rFonts w:cs="Frankruhel" w:hint="cs"/>
                <w:rtl/>
              </w:rPr>
            </w:pPr>
            <w:r>
              <w:rPr>
                <w:rtl/>
              </w:rPr>
              <w:t xml:space="preserve">סעיף 5 </w:t>
            </w:r>
          </w:p>
        </w:tc>
        <w:tc>
          <w:tcPr>
            <w:tcW w:w="5669" w:type="dxa"/>
          </w:tcPr>
          <w:p w14:paraId="002FC029" w14:textId="77777777" w:rsidR="0076672B" w:rsidRPr="0076672B" w:rsidRDefault="0076672B" w:rsidP="0076672B">
            <w:pPr>
              <w:rPr>
                <w:rFonts w:cs="Frankruhel" w:hint="cs"/>
                <w:rtl/>
              </w:rPr>
            </w:pPr>
            <w:r>
              <w:rPr>
                <w:rtl/>
              </w:rPr>
              <w:t>סייג לעניין שימוש</w:t>
            </w:r>
          </w:p>
        </w:tc>
        <w:tc>
          <w:tcPr>
            <w:tcW w:w="567" w:type="dxa"/>
          </w:tcPr>
          <w:p w14:paraId="42EBA64F" w14:textId="77777777" w:rsidR="0076672B" w:rsidRPr="0076672B" w:rsidRDefault="0076672B" w:rsidP="0076672B">
            <w:pPr>
              <w:rPr>
                <w:rStyle w:val="Hyperlink"/>
                <w:rFonts w:hint="cs"/>
                <w:rtl/>
              </w:rPr>
            </w:pPr>
            <w:hyperlink w:anchor="Seif5" w:tooltip="סייג לעניין שימוש" w:history="1">
              <w:r w:rsidRPr="0076672B">
                <w:rPr>
                  <w:rStyle w:val="Hyperlink"/>
                </w:rPr>
                <w:t>Go</w:t>
              </w:r>
            </w:hyperlink>
          </w:p>
        </w:tc>
        <w:tc>
          <w:tcPr>
            <w:tcW w:w="850" w:type="dxa"/>
          </w:tcPr>
          <w:p w14:paraId="6557EE21" w14:textId="77777777" w:rsidR="0076672B" w:rsidRPr="0076672B" w:rsidRDefault="0076672B" w:rsidP="00766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76672B" w:rsidRPr="0076672B" w14:paraId="4E777056" w14:textId="77777777">
        <w:tblPrEx>
          <w:tblCellMar>
            <w:top w:w="0" w:type="dxa"/>
            <w:bottom w:w="0" w:type="dxa"/>
          </w:tblCellMar>
        </w:tblPrEx>
        <w:tc>
          <w:tcPr>
            <w:tcW w:w="1247" w:type="dxa"/>
          </w:tcPr>
          <w:p w14:paraId="25B89A57" w14:textId="77777777" w:rsidR="0076672B" w:rsidRPr="0076672B" w:rsidRDefault="0076672B" w:rsidP="0076672B">
            <w:pPr>
              <w:rPr>
                <w:rFonts w:cs="Frankruhel" w:hint="cs"/>
                <w:rtl/>
              </w:rPr>
            </w:pPr>
            <w:r>
              <w:rPr>
                <w:rtl/>
              </w:rPr>
              <w:t xml:space="preserve">סעיף 6 </w:t>
            </w:r>
          </w:p>
        </w:tc>
        <w:tc>
          <w:tcPr>
            <w:tcW w:w="5669" w:type="dxa"/>
          </w:tcPr>
          <w:p w14:paraId="3605D30C" w14:textId="77777777" w:rsidR="0076672B" w:rsidRPr="0076672B" w:rsidRDefault="0076672B" w:rsidP="0076672B">
            <w:pPr>
              <w:rPr>
                <w:rFonts w:cs="Frankruhel" w:hint="cs"/>
                <w:rtl/>
              </w:rPr>
            </w:pPr>
            <w:r>
              <w:rPr>
                <w:rtl/>
              </w:rPr>
              <w:t>סייג לעניין נישום מסוים</w:t>
            </w:r>
          </w:p>
        </w:tc>
        <w:tc>
          <w:tcPr>
            <w:tcW w:w="567" w:type="dxa"/>
          </w:tcPr>
          <w:p w14:paraId="187E4C3A" w14:textId="77777777" w:rsidR="0076672B" w:rsidRPr="0076672B" w:rsidRDefault="0076672B" w:rsidP="0076672B">
            <w:pPr>
              <w:rPr>
                <w:rStyle w:val="Hyperlink"/>
                <w:rFonts w:hint="cs"/>
                <w:rtl/>
              </w:rPr>
            </w:pPr>
            <w:hyperlink w:anchor="Seif6" w:tooltip="סייג לעניין נישום מסוים" w:history="1">
              <w:r w:rsidRPr="0076672B">
                <w:rPr>
                  <w:rStyle w:val="Hyperlink"/>
                </w:rPr>
                <w:t>Go</w:t>
              </w:r>
            </w:hyperlink>
          </w:p>
        </w:tc>
        <w:tc>
          <w:tcPr>
            <w:tcW w:w="850" w:type="dxa"/>
          </w:tcPr>
          <w:p w14:paraId="403F10E1" w14:textId="77777777" w:rsidR="0076672B" w:rsidRPr="0076672B" w:rsidRDefault="0076672B" w:rsidP="00766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76672B" w:rsidRPr="0076672B" w14:paraId="4AD37797" w14:textId="77777777">
        <w:tblPrEx>
          <w:tblCellMar>
            <w:top w:w="0" w:type="dxa"/>
            <w:bottom w:w="0" w:type="dxa"/>
          </w:tblCellMar>
        </w:tblPrEx>
        <w:tc>
          <w:tcPr>
            <w:tcW w:w="1247" w:type="dxa"/>
          </w:tcPr>
          <w:p w14:paraId="571D82F6" w14:textId="77777777" w:rsidR="0076672B" w:rsidRPr="0076672B" w:rsidRDefault="0076672B" w:rsidP="0076672B">
            <w:pPr>
              <w:rPr>
                <w:rFonts w:cs="Frankruhel" w:hint="cs"/>
                <w:rtl/>
              </w:rPr>
            </w:pPr>
            <w:r>
              <w:rPr>
                <w:rtl/>
              </w:rPr>
              <w:t xml:space="preserve">סעיף 7 </w:t>
            </w:r>
          </w:p>
        </w:tc>
        <w:tc>
          <w:tcPr>
            <w:tcW w:w="5669" w:type="dxa"/>
          </w:tcPr>
          <w:p w14:paraId="2235EA8A" w14:textId="77777777" w:rsidR="0076672B" w:rsidRPr="0076672B" w:rsidRDefault="0076672B" w:rsidP="0076672B">
            <w:pPr>
              <w:rPr>
                <w:rFonts w:cs="Frankruhel" w:hint="cs"/>
                <w:rtl/>
              </w:rPr>
            </w:pPr>
            <w:r>
              <w:rPr>
                <w:rtl/>
              </w:rPr>
              <w:t>הוראה לעניין המחיר המקורי</w:t>
            </w:r>
          </w:p>
        </w:tc>
        <w:tc>
          <w:tcPr>
            <w:tcW w:w="567" w:type="dxa"/>
          </w:tcPr>
          <w:p w14:paraId="09737B70" w14:textId="77777777" w:rsidR="0076672B" w:rsidRPr="0076672B" w:rsidRDefault="0076672B" w:rsidP="0076672B">
            <w:pPr>
              <w:rPr>
                <w:rStyle w:val="Hyperlink"/>
                <w:rFonts w:hint="cs"/>
                <w:rtl/>
              </w:rPr>
            </w:pPr>
            <w:hyperlink w:anchor="Seif7" w:tooltip="הוראה לעניין המחיר המקורי" w:history="1">
              <w:r w:rsidRPr="0076672B">
                <w:rPr>
                  <w:rStyle w:val="Hyperlink"/>
                </w:rPr>
                <w:t>Go</w:t>
              </w:r>
            </w:hyperlink>
          </w:p>
        </w:tc>
        <w:tc>
          <w:tcPr>
            <w:tcW w:w="850" w:type="dxa"/>
          </w:tcPr>
          <w:p w14:paraId="2E534038" w14:textId="77777777" w:rsidR="0076672B" w:rsidRPr="0076672B" w:rsidRDefault="0076672B" w:rsidP="00766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14:paraId="2D9FAE21" w14:textId="77777777" w:rsidR="002A24E2" w:rsidRDefault="002A24E2">
      <w:pPr>
        <w:pStyle w:val="big-header"/>
        <w:ind w:left="0" w:right="1134"/>
        <w:rPr>
          <w:rFonts w:cs="FrankRuehl" w:hint="cs"/>
          <w:sz w:val="32"/>
          <w:rtl/>
        </w:rPr>
      </w:pPr>
    </w:p>
    <w:p w14:paraId="61E7EC65" w14:textId="77777777" w:rsidR="002A24E2" w:rsidRDefault="002A24E2" w:rsidP="004F323E">
      <w:pPr>
        <w:pStyle w:val="big-header"/>
        <w:ind w:left="0" w:right="1134"/>
        <w:rPr>
          <w:rStyle w:val="default"/>
          <w:rFonts w:hint="cs"/>
          <w:sz w:val="22"/>
          <w:szCs w:val="22"/>
          <w:rtl/>
        </w:rPr>
      </w:pPr>
      <w:r>
        <w:rPr>
          <w:rFonts w:cs="FrankRuehl"/>
          <w:sz w:val="32"/>
          <w:rtl/>
        </w:rPr>
        <w:br w:type="page"/>
      </w:r>
      <w:r w:rsidR="00C3529E">
        <w:rPr>
          <w:rFonts w:cs="FrankRuehl" w:hint="cs"/>
          <w:sz w:val="32"/>
          <w:rtl/>
        </w:rPr>
        <w:lastRenderedPageBreak/>
        <w:t>תקנות מס הכנסה (פחת מואץ לציוד המשמש בפעילות מזכה) (הוראת שעה), תשס"ח-2008</w:t>
      </w:r>
      <w:r>
        <w:rPr>
          <w:rStyle w:val="default"/>
          <w:sz w:val="22"/>
          <w:szCs w:val="22"/>
          <w:rtl/>
        </w:rPr>
        <w:footnoteReference w:customMarkFollows="1" w:id="1"/>
        <w:t>*</w:t>
      </w:r>
    </w:p>
    <w:p w14:paraId="1964D8AD" w14:textId="77777777" w:rsidR="000B700B" w:rsidRDefault="00515A33" w:rsidP="00C3529E">
      <w:pPr>
        <w:pStyle w:val="P00"/>
        <w:spacing w:before="72"/>
        <w:ind w:left="0" w:right="1134"/>
        <w:rPr>
          <w:rStyle w:val="default"/>
          <w:rFonts w:cs="FrankRuehl" w:hint="cs"/>
          <w:rtl/>
        </w:rPr>
      </w:pPr>
      <w:r>
        <w:rPr>
          <w:rStyle w:val="default"/>
          <w:rFonts w:cs="FrankRuehl" w:hint="cs"/>
          <w:rtl/>
        </w:rPr>
        <w:tab/>
      </w:r>
      <w:r w:rsidR="000B700B">
        <w:rPr>
          <w:rStyle w:val="default"/>
          <w:rFonts w:cs="FrankRuehl" w:hint="cs"/>
          <w:rtl/>
        </w:rPr>
        <w:t xml:space="preserve">בתוקף סמכותי לפי </w:t>
      </w:r>
      <w:r w:rsidR="00C3529E">
        <w:rPr>
          <w:rStyle w:val="default"/>
          <w:rFonts w:cs="FrankRuehl" w:hint="cs"/>
          <w:rtl/>
        </w:rPr>
        <w:t xml:space="preserve">סעיפים 21 ו-243 לפקודת מס הכנסה (להלן </w:t>
      </w:r>
      <w:r w:rsidR="00C3529E">
        <w:rPr>
          <w:rStyle w:val="default"/>
          <w:rFonts w:cs="FrankRuehl"/>
          <w:rtl/>
        </w:rPr>
        <w:t>–</w:t>
      </w:r>
      <w:r w:rsidR="00C3529E">
        <w:rPr>
          <w:rStyle w:val="default"/>
          <w:rFonts w:cs="FrankRuehl" w:hint="cs"/>
          <w:rtl/>
        </w:rPr>
        <w:t xml:space="preserve"> הפקודה), ובאישור ועדת הכספים של הכנסת, אני מתקין תקנות אלה</w:t>
      </w:r>
      <w:r w:rsidR="000B700B">
        <w:rPr>
          <w:rStyle w:val="default"/>
          <w:rFonts w:cs="FrankRuehl" w:hint="cs"/>
          <w:rtl/>
        </w:rPr>
        <w:t>:</w:t>
      </w:r>
    </w:p>
    <w:p w14:paraId="4CD93399" w14:textId="77777777" w:rsidR="002A24E2" w:rsidRDefault="002A24E2" w:rsidP="001842C2">
      <w:pPr>
        <w:pStyle w:val="P00"/>
        <w:spacing w:before="72"/>
        <w:ind w:left="0" w:right="1134"/>
        <w:rPr>
          <w:rStyle w:val="default"/>
          <w:rFonts w:cs="FrankRuehl" w:hint="cs"/>
          <w:rtl/>
        </w:rPr>
      </w:pPr>
      <w:bookmarkStart w:id="0" w:name="Seif1"/>
      <w:bookmarkEnd w:id="0"/>
      <w:r>
        <w:rPr>
          <w:rFonts w:cs="Miriam"/>
          <w:lang w:val="he-IL"/>
        </w:rPr>
        <w:pict w14:anchorId="15A3C88C">
          <v:rect id="_x0000_s1026" style="position:absolute;left:0;text-align:left;margin-left:464.35pt;margin-top:7.1pt;width:75.05pt;height:9.95pt;z-index:251654656" o:allowincell="f" filled="f" stroked="f" strokecolor="lime" strokeweight=".25pt">
            <v:textbox style="mso-next-textbox:#_x0000_s1026" inset="0,0,0,0">
              <w:txbxContent>
                <w:p w14:paraId="0C2B2206" w14:textId="77777777" w:rsidR="0009382D" w:rsidRDefault="00C3529E" w:rsidP="00B40FB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3529E">
        <w:rPr>
          <w:rStyle w:val="default"/>
          <w:rFonts w:cs="FrankRuehl" w:hint="cs"/>
          <w:rtl/>
        </w:rPr>
        <w:t xml:space="preserve">בתקנות אלה </w:t>
      </w:r>
      <w:r w:rsidR="00C3529E">
        <w:rPr>
          <w:rStyle w:val="default"/>
          <w:rFonts w:cs="FrankRuehl"/>
          <w:rtl/>
        </w:rPr>
        <w:t>–</w:t>
      </w:r>
    </w:p>
    <w:p w14:paraId="439D4AC0" w14:textId="77777777" w:rsidR="00C3529E" w:rsidRDefault="00C3529E" w:rsidP="00C3529E">
      <w:pPr>
        <w:pStyle w:val="P00"/>
        <w:spacing w:before="72"/>
        <w:ind w:left="0" w:right="1134"/>
        <w:rPr>
          <w:rStyle w:val="default"/>
          <w:rFonts w:cs="FrankRuehl" w:hint="cs"/>
          <w:rtl/>
        </w:rPr>
      </w:pPr>
      <w:r>
        <w:rPr>
          <w:rStyle w:val="default"/>
          <w:rFonts w:cs="FrankRuehl" w:hint="cs"/>
          <w:rtl/>
        </w:rPr>
        <w:tab/>
        <w:t xml:space="preserve">"בית מלון" </w:t>
      </w:r>
      <w:r>
        <w:rPr>
          <w:rStyle w:val="default"/>
          <w:rFonts w:cs="FrankRuehl"/>
          <w:rtl/>
        </w:rPr>
        <w:t>–</w:t>
      </w:r>
      <w:r>
        <w:rPr>
          <w:rStyle w:val="default"/>
          <w:rFonts w:cs="FrankRuehl" w:hint="cs"/>
          <w:rtl/>
        </w:rPr>
        <w:t xml:space="preserve"> בית מלון או חניון, כהגדרתם בחוק שירותי תיירות, התשל"ו-1976;</w:t>
      </w:r>
    </w:p>
    <w:p w14:paraId="04497D3F" w14:textId="77777777" w:rsidR="00C3529E" w:rsidRDefault="00C3529E" w:rsidP="00C3529E">
      <w:pPr>
        <w:pStyle w:val="P00"/>
        <w:spacing w:before="72"/>
        <w:ind w:left="0" w:right="1134"/>
        <w:rPr>
          <w:rStyle w:val="default"/>
          <w:rFonts w:cs="FrankRuehl" w:hint="cs"/>
          <w:rtl/>
        </w:rPr>
      </w:pPr>
      <w:r>
        <w:rPr>
          <w:rStyle w:val="default"/>
          <w:rFonts w:cs="FrankRuehl" w:hint="cs"/>
          <w:rtl/>
        </w:rPr>
        <w:tab/>
        <w:t xml:space="preserve">"בניה" </w:t>
      </w:r>
      <w:r>
        <w:rPr>
          <w:rStyle w:val="default"/>
          <w:rFonts w:cs="FrankRuehl"/>
          <w:rtl/>
        </w:rPr>
        <w:t>–</w:t>
      </w:r>
      <w:r>
        <w:rPr>
          <w:rStyle w:val="default"/>
          <w:rFonts w:cs="FrankRuehl" w:hint="cs"/>
          <w:rtl/>
        </w:rPr>
        <w:t xml:space="preserve"> הקמת מבנים, לרבות עבודות חפירה, הריסה, ביוב וניקוז, הנחת צינורות, סלילת כבישים ודרכים ועבודות עפר, ולמעט עבודות שיפוץ ותיקון בבניינים;</w:t>
      </w:r>
    </w:p>
    <w:p w14:paraId="12569708" w14:textId="77777777" w:rsidR="00C3529E" w:rsidRDefault="00C3529E" w:rsidP="00C3529E">
      <w:pPr>
        <w:pStyle w:val="P00"/>
        <w:spacing w:before="72"/>
        <w:ind w:left="0" w:right="1134"/>
        <w:rPr>
          <w:rStyle w:val="default"/>
          <w:rFonts w:cs="FrankRuehl" w:hint="cs"/>
          <w:rtl/>
        </w:rPr>
      </w:pPr>
      <w:r>
        <w:rPr>
          <w:rStyle w:val="default"/>
          <w:rFonts w:cs="FrankRuehl" w:hint="cs"/>
          <w:rtl/>
        </w:rPr>
        <w:tab/>
        <w:t xml:space="preserve">"פעילות מזכה" </w:t>
      </w:r>
      <w:r>
        <w:rPr>
          <w:rStyle w:val="default"/>
          <w:rFonts w:cs="FrankRuehl"/>
          <w:rtl/>
        </w:rPr>
        <w:t>–</w:t>
      </w:r>
      <w:r>
        <w:rPr>
          <w:rStyle w:val="default"/>
          <w:rFonts w:cs="FrankRuehl" w:hint="cs"/>
          <w:rtl/>
        </w:rPr>
        <w:t xml:space="preserve"> כל פעילות מן המפורטות בפסקה (1) או (2), למעט פעילות נלווית לה:</w:t>
      </w:r>
    </w:p>
    <w:p w14:paraId="1EECC9C7" w14:textId="77777777" w:rsidR="00C3529E" w:rsidRDefault="00C3529E" w:rsidP="00C352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פעילות ייצור בישראל בכל אחד מתחומי התעשיה, לרבות ייצור מוצרי תוכנה ופיתוח, חקלאות ובניה, ולמעט </w:t>
      </w:r>
      <w:r>
        <w:rPr>
          <w:rStyle w:val="default"/>
          <w:rFonts w:cs="FrankRuehl"/>
          <w:rtl/>
        </w:rPr>
        <w:t>–</w:t>
      </w:r>
    </w:p>
    <w:p w14:paraId="7D058FC9" w14:textId="77777777" w:rsidR="00C3529E" w:rsidRDefault="00C3529E" w:rsidP="00C3529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אריזה;</w:t>
      </w:r>
    </w:p>
    <w:p w14:paraId="596A1092" w14:textId="77777777" w:rsidR="00C3529E" w:rsidRDefault="00C3529E" w:rsidP="00C3529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מסחר;</w:t>
      </w:r>
    </w:p>
    <w:p w14:paraId="550AA94C" w14:textId="77777777" w:rsidR="00C3529E" w:rsidRDefault="00C3529E" w:rsidP="00C3529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תחבורה;</w:t>
      </w:r>
    </w:p>
    <w:p w14:paraId="150DB6E8" w14:textId="77777777" w:rsidR="00C3529E" w:rsidRDefault="00C3529E" w:rsidP="00C3529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החסנה;</w:t>
      </w:r>
    </w:p>
    <w:p w14:paraId="4A2EA425" w14:textId="77777777" w:rsidR="00C3529E" w:rsidRDefault="00C3529E" w:rsidP="00C3529E">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מתן שירותים בתחום התקשורת, בתחום הסניטרי ובתחום האישי;</w:t>
      </w:r>
    </w:p>
    <w:p w14:paraId="7A5BEC51" w14:textId="77777777" w:rsidR="00C3529E" w:rsidRDefault="00C3529E" w:rsidP="00C3529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הפעלת בית מלון בישראל;</w:t>
      </w:r>
    </w:p>
    <w:p w14:paraId="3385C734" w14:textId="77777777" w:rsidR="00C3529E" w:rsidRDefault="00C3529E" w:rsidP="00C3529E">
      <w:pPr>
        <w:pStyle w:val="P00"/>
        <w:spacing w:before="72"/>
        <w:ind w:left="0" w:right="1134"/>
        <w:rPr>
          <w:rStyle w:val="default"/>
          <w:rFonts w:cs="FrankRuehl" w:hint="cs"/>
          <w:rtl/>
        </w:rPr>
      </w:pPr>
      <w:r>
        <w:rPr>
          <w:rStyle w:val="default"/>
          <w:rFonts w:cs="FrankRuehl" w:hint="cs"/>
          <w:rtl/>
        </w:rPr>
        <w:tab/>
        <w:t xml:space="preserve">"ציוד" </w:t>
      </w:r>
      <w:r>
        <w:rPr>
          <w:rStyle w:val="default"/>
          <w:rFonts w:cs="FrankRuehl"/>
          <w:rtl/>
        </w:rPr>
        <w:t>–</w:t>
      </w:r>
      <w:r>
        <w:rPr>
          <w:rStyle w:val="default"/>
          <w:rFonts w:cs="FrankRuehl" w:hint="cs"/>
          <w:rtl/>
        </w:rPr>
        <w:t xml:space="preserve"> לרבות מכונות ורכב עבודה כהגדרתו בפקודת התעבורה, שאינו משאית, ובלבד שהתקיימו בו שני אלה:</w:t>
      </w:r>
    </w:p>
    <w:p w14:paraId="2E37DF66" w14:textId="77777777" w:rsidR="00C3529E" w:rsidRDefault="00C3529E" w:rsidP="00C352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יום רכישתו הוא בתקופה הקובעת;</w:t>
      </w:r>
    </w:p>
    <w:p w14:paraId="308206CD" w14:textId="77777777" w:rsidR="00C3529E" w:rsidRDefault="00C3529E" w:rsidP="00C3529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החל לשמש בישראל בייצור הכנסה בתוך שישה חודשים מיום רכישתו או עד ליום ח' בסיוון התשס"ט (31 במאי 2009), לפי המאוחר מביניהם;</w:t>
      </w:r>
    </w:p>
    <w:p w14:paraId="074BA98A" w14:textId="77777777" w:rsidR="00C3529E" w:rsidRDefault="00C3529E" w:rsidP="00C3529E">
      <w:pPr>
        <w:pStyle w:val="P00"/>
        <w:spacing w:before="72"/>
        <w:ind w:left="0" w:right="1134"/>
        <w:rPr>
          <w:rStyle w:val="default"/>
          <w:rFonts w:cs="FrankRuehl" w:hint="cs"/>
          <w:rtl/>
        </w:rPr>
      </w:pPr>
      <w:r>
        <w:rPr>
          <w:rStyle w:val="default"/>
          <w:rFonts w:cs="FrankRuehl" w:hint="cs"/>
          <w:rtl/>
        </w:rPr>
        <w:tab/>
        <w:t xml:space="preserve">"נכס", "קרוב" </w:t>
      </w:r>
      <w:r>
        <w:rPr>
          <w:rStyle w:val="default"/>
          <w:rFonts w:cs="FrankRuehl"/>
          <w:rtl/>
        </w:rPr>
        <w:t>–</w:t>
      </w:r>
      <w:r>
        <w:rPr>
          <w:rStyle w:val="default"/>
          <w:rFonts w:cs="FrankRuehl" w:hint="cs"/>
          <w:rtl/>
        </w:rPr>
        <w:t xml:space="preserve"> כהגדרתם בסעיף 88 לפקודה;</w:t>
      </w:r>
    </w:p>
    <w:p w14:paraId="7CB3B60C" w14:textId="77777777" w:rsidR="00C3529E" w:rsidRDefault="00C3529E" w:rsidP="00C3529E">
      <w:pPr>
        <w:pStyle w:val="P00"/>
        <w:spacing w:before="72"/>
        <w:ind w:left="0" w:right="1134"/>
        <w:rPr>
          <w:rStyle w:val="default"/>
          <w:rFonts w:cs="FrankRuehl" w:hint="cs"/>
          <w:rtl/>
        </w:rPr>
      </w:pPr>
      <w:r>
        <w:rPr>
          <w:rStyle w:val="default"/>
          <w:rFonts w:cs="FrankRuehl" w:hint="cs"/>
          <w:rtl/>
        </w:rPr>
        <w:tab/>
        <w:t xml:space="preserve">"התקופה הקובעת" </w:t>
      </w:r>
      <w:r>
        <w:rPr>
          <w:rStyle w:val="default"/>
          <w:rFonts w:cs="FrankRuehl"/>
          <w:rtl/>
        </w:rPr>
        <w:t>–</w:t>
      </w:r>
      <w:r>
        <w:rPr>
          <w:rStyle w:val="default"/>
          <w:rFonts w:cs="FrankRuehl" w:hint="cs"/>
          <w:rtl/>
        </w:rPr>
        <w:t xml:space="preserve"> התקופה שמיום כ"ז באייר התשס"ח (1 ביוני 2008) עד יום ח' בסיוון התשס"ט (31 במאי 2009);</w:t>
      </w:r>
    </w:p>
    <w:p w14:paraId="155BDCED" w14:textId="77777777" w:rsidR="00C3529E" w:rsidRDefault="00C3529E" w:rsidP="00C3529E">
      <w:pPr>
        <w:pStyle w:val="P00"/>
        <w:spacing w:before="72"/>
        <w:ind w:left="0" w:right="1134"/>
        <w:rPr>
          <w:rStyle w:val="default"/>
          <w:rFonts w:cs="FrankRuehl" w:hint="cs"/>
          <w:rtl/>
        </w:rPr>
      </w:pPr>
      <w:r>
        <w:rPr>
          <w:rStyle w:val="default"/>
          <w:rFonts w:cs="FrankRuehl" w:hint="cs"/>
          <w:rtl/>
        </w:rPr>
        <w:tab/>
        <w:t xml:space="preserve">"תקנות הפחת" </w:t>
      </w:r>
      <w:r>
        <w:rPr>
          <w:rStyle w:val="default"/>
          <w:rFonts w:cs="FrankRuehl"/>
          <w:rtl/>
        </w:rPr>
        <w:t>–</w:t>
      </w:r>
      <w:r>
        <w:rPr>
          <w:rStyle w:val="default"/>
          <w:rFonts w:cs="FrankRuehl" w:hint="cs"/>
          <w:rtl/>
        </w:rPr>
        <w:t xml:space="preserve"> כל אחת מאלה:</w:t>
      </w:r>
    </w:p>
    <w:p w14:paraId="00373F9A" w14:textId="77777777" w:rsidR="00C3529E" w:rsidRDefault="00C3529E" w:rsidP="00C352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תקנות מס הכנסה (פחת), 1941;</w:t>
      </w:r>
    </w:p>
    <w:p w14:paraId="628F9FB4" w14:textId="77777777" w:rsidR="00C3529E" w:rsidRDefault="00C3529E" w:rsidP="00C3529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תקנות מס הכנסה (תיאומים בשל אינפלציה) (שיעור פחת), התשמ"ו-1986.</w:t>
      </w:r>
    </w:p>
    <w:p w14:paraId="3AEEB567" w14:textId="77777777" w:rsidR="00C67589" w:rsidRDefault="00C67589" w:rsidP="001842C2">
      <w:pPr>
        <w:pStyle w:val="P00"/>
        <w:spacing w:before="72"/>
        <w:ind w:left="0" w:right="1134"/>
        <w:rPr>
          <w:rStyle w:val="default"/>
          <w:rFonts w:cs="FrankRuehl" w:hint="cs"/>
          <w:rtl/>
        </w:rPr>
      </w:pPr>
      <w:bookmarkStart w:id="1" w:name="Seif2"/>
      <w:bookmarkEnd w:id="1"/>
      <w:r>
        <w:rPr>
          <w:rFonts w:cs="Miriam"/>
          <w:lang w:val="he-IL"/>
        </w:rPr>
        <w:pict w14:anchorId="475156DC">
          <v:rect id="_x0000_s1374" style="position:absolute;left:0;text-align:left;margin-left:464.35pt;margin-top:7.1pt;width:75.05pt;height:20.15pt;z-index:251655680" o:allowincell="f" filled="f" stroked="f" strokecolor="lime" strokeweight=".25pt">
            <v:textbox style="mso-next-textbox:#_x0000_s1374" inset="0,0,0,0">
              <w:txbxContent>
                <w:p w14:paraId="71CA73B1" w14:textId="77777777" w:rsidR="0009382D" w:rsidRDefault="00C3529E" w:rsidP="00C67589">
                  <w:pPr>
                    <w:spacing w:line="160" w:lineRule="exact"/>
                    <w:rPr>
                      <w:rFonts w:cs="Miriam" w:hint="cs"/>
                      <w:noProof/>
                      <w:sz w:val="18"/>
                      <w:szCs w:val="18"/>
                      <w:rtl/>
                    </w:rPr>
                  </w:pPr>
                  <w:r>
                    <w:rPr>
                      <w:rFonts w:cs="Miriam" w:hint="cs"/>
                      <w:sz w:val="18"/>
                      <w:szCs w:val="18"/>
                      <w:rtl/>
                    </w:rPr>
                    <w:t>פחת מואץ בתקופה הקובעת</w:t>
                  </w:r>
                </w:p>
              </w:txbxContent>
            </v:textbox>
            <w10:anchorlock/>
          </v:rect>
        </w:pict>
      </w:r>
      <w:r w:rsidR="001C1203">
        <w:rPr>
          <w:rStyle w:val="big-number"/>
          <w:rFonts w:cs="Miriam" w:hint="cs"/>
          <w:rtl/>
        </w:rPr>
        <w:t>2</w:t>
      </w:r>
      <w:r>
        <w:rPr>
          <w:rStyle w:val="big-number"/>
          <w:rFonts w:cs="FrankRuehl"/>
          <w:sz w:val="26"/>
          <w:szCs w:val="26"/>
          <w:rtl/>
        </w:rPr>
        <w:t>.</w:t>
      </w:r>
      <w:r>
        <w:rPr>
          <w:rStyle w:val="big-number"/>
          <w:rFonts w:cs="FrankRuehl"/>
          <w:sz w:val="26"/>
          <w:szCs w:val="26"/>
          <w:rtl/>
        </w:rPr>
        <w:tab/>
      </w:r>
      <w:r w:rsidR="00C3529E">
        <w:rPr>
          <w:rStyle w:val="default"/>
          <w:rFonts w:cs="FrankRuehl" w:hint="cs"/>
          <w:rtl/>
        </w:rPr>
        <w:t>נישום שעיקר פעילותו בשנת המס היא פעילות מזכה, ועיקר הכנסתו שאינה הכנסה ממכירת נכס או ממכירת זכות במקרקעין או ממכירת זכות באיגוד מקרקעין, היא הכנסה מפעילות מזכה, ואשר רכש ציוד המשמש במישרין בפעילותו המזכה, והוא זכאי בשלו לניכוי בעד פחת, רשאי לבקש בעד אותו ציוד פחת, במקום הפחת שהוא זכאי לו לפי כל דין, בשיעור של 50% ממחירו המקורי של הציוד, ובלבד שסך כל הפחת שיינתן לציוד, לפי הוראות כל דין, לא יעלה על מחירו המקורי.</w:t>
      </w:r>
    </w:p>
    <w:p w14:paraId="72B1FFB0" w14:textId="77777777" w:rsidR="00C67589" w:rsidRDefault="00C67589" w:rsidP="001842C2">
      <w:pPr>
        <w:pStyle w:val="P00"/>
        <w:spacing w:before="72"/>
        <w:ind w:left="0" w:right="1134"/>
        <w:rPr>
          <w:rStyle w:val="default"/>
          <w:rFonts w:cs="FrankRuehl" w:hint="cs"/>
          <w:rtl/>
        </w:rPr>
      </w:pPr>
      <w:bookmarkStart w:id="2" w:name="Seif3"/>
      <w:bookmarkEnd w:id="2"/>
      <w:r>
        <w:rPr>
          <w:rFonts w:cs="Miriam"/>
          <w:lang w:val="he-IL"/>
        </w:rPr>
        <w:pict w14:anchorId="167E1203">
          <v:rect id="_x0000_s1375" style="position:absolute;left:0;text-align:left;margin-left:464.35pt;margin-top:7.1pt;width:75.05pt;height:18.45pt;z-index:251656704" o:allowincell="f" filled="f" stroked="f" strokecolor="lime" strokeweight=".25pt">
            <v:textbox style="mso-next-textbox:#_x0000_s1375" inset="0,0,0,0">
              <w:txbxContent>
                <w:p w14:paraId="5949E20F" w14:textId="77777777" w:rsidR="0009382D" w:rsidRDefault="00C3529E" w:rsidP="00C67589">
                  <w:pPr>
                    <w:spacing w:line="160" w:lineRule="exact"/>
                    <w:rPr>
                      <w:rFonts w:cs="Miriam" w:hint="cs"/>
                      <w:noProof/>
                      <w:sz w:val="18"/>
                      <w:szCs w:val="18"/>
                      <w:rtl/>
                    </w:rPr>
                  </w:pPr>
                  <w:r>
                    <w:rPr>
                      <w:rFonts w:cs="Miriam" w:hint="cs"/>
                      <w:sz w:val="18"/>
                      <w:szCs w:val="18"/>
                      <w:rtl/>
                    </w:rPr>
                    <w:t>בחירת הדין החל</w:t>
                  </w:r>
                </w:p>
              </w:txbxContent>
            </v:textbox>
            <w10:anchorlock/>
          </v:rect>
        </w:pict>
      </w:r>
      <w:r w:rsidR="001C1203">
        <w:rPr>
          <w:rStyle w:val="big-number"/>
          <w:rFonts w:cs="Miriam" w:hint="cs"/>
          <w:rtl/>
        </w:rPr>
        <w:t>3</w:t>
      </w:r>
      <w:r>
        <w:rPr>
          <w:rStyle w:val="big-number"/>
          <w:rFonts w:cs="FrankRuehl"/>
          <w:sz w:val="26"/>
          <w:szCs w:val="26"/>
          <w:rtl/>
        </w:rPr>
        <w:t>.</w:t>
      </w:r>
      <w:r>
        <w:rPr>
          <w:rStyle w:val="big-number"/>
          <w:rFonts w:cs="FrankRuehl"/>
          <w:sz w:val="26"/>
          <w:szCs w:val="26"/>
          <w:rtl/>
        </w:rPr>
        <w:tab/>
      </w:r>
      <w:r w:rsidR="00C3529E">
        <w:rPr>
          <w:rStyle w:val="default"/>
          <w:rFonts w:cs="FrankRuehl" w:hint="cs"/>
          <w:rtl/>
        </w:rPr>
        <w:t>בחר הנישום בניכוי בעד פחת כאמור בתקנה 2, תחול בחירתו על כל הציוד שנרכש בתקופה הקובעת שבעדו רשאי הוא לתבוע כאמור, והוא לא יהיה זכאי בעד אותו ציוד לפחת לפי חוק לעידוד השקעות הון או לפי תקנות הפחת, או להפחתה לפי הוראות הפקודה.</w:t>
      </w:r>
    </w:p>
    <w:p w14:paraId="31AB09E2" w14:textId="77777777" w:rsidR="0035408C" w:rsidRDefault="0035408C" w:rsidP="001842C2">
      <w:pPr>
        <w:pStyle w:val="P00"/>
        <w:spacing w:before="72"/>
        <w:ind w:left="0" w:right="1134"/>
        <w:rPr>
          <w:rStyle w:val="default"/>
          <w:rFonts w:cs="FrankRuehl" w:hint="cs"/>
          <w:rtl/>
        </w:rPr>
      </w:pPr>
      <w:bookmarkStart w:id="3" w:name="Seif4"/>
      <w:bookmarkEnd w:id="3"/>
      <w:r>
        <w:rPr>
          <w:rFonts w:cs="Miriam"/>
          <w:lang w:val="he-IL"/>
        </w:rPr>
        <w:pict w14:anchorId="7D85B9A1">
          <v:rect id="_x0000_s1381" style="position:absolute;left:0;text-align:left;margin-left:464.35pt;margin-top:7.1pt;width:75.05pt;height:20.15pt;z-index:251657728" o:allowincell="f" filled="f" stroked="f" strokecolor="lime" strokeweight=".25pt">
            <v:textbox style="mso-next-textbox:#_x0000_s1381" inset="0,0,0,0">
              <w:txbxContent>
                <w:p w14:paraId="03D0741A" w14:textId="77777777" w:rsidR="0035408C" w:rsidRDefault="00C3529E" w:rsidP="0035408C">
                  <w:pPr>
                    <w:spacing w:line="160" w:lineRule="exact"/>
                    <w:rPr>
                      <w:rFonts w:cs="Miriam" w:hint="cs"/>
                      <w:noProof/>
                      <w:sz w:val="18"/>
                      <w:szCs w:val="18"/>
                      <w:rtl/>
                    </w:rPr>
                  </w:pPr>
                  <w:r>
                    <w:rPr>
                      <w:rFonts w:cs="Miriam" w:hint="cs"/>
                      <w:sz w:val="18"/>
                      <w:szCs w:val="18"/>
                      <w:rtl/>
                    </w:rPr>
                    <w:t>סייג לתחולה</w:t>
                  </w:r>
                </w:p>
              </w:txbxContent>
            </v:textbox>
            <w10:anchorlock/>
          </v:rect>
        </w:pict>
      </w:r>
      <w:r w:rsidR="009E2827">
        <w:rPr>
          <w:rStyle w:val="big-number"/>
          <w:rFonts w:cs="Miriam" w:hint="cs"/>
          <w:rtl/>
        </w:rPr>
        <w:t>4</w:t>
      </w:r>
      <w:r>
        <w:rPr>
          <w:rStyle w:val="big-number"/>
          <w:rFonts w:cs="FrankRuehl"/>
          <w:sz w:val="26"/>
          <w:szCs w:val="26"/>
          <w:rtl/>
        </w:rPr>
        <w:t>.</w:t>
      </w:r>
      <w:r>
        <w:rPr>
          <w:rStyle w:val="big-number"/>
          <w:rFonts w:cs="FrankRuehl"/>
          <w:sz w:val="26"/>
          <w:szCs w:val="26"/>
          <w:rtl/>
        </w:rPr>
        <w:tab/>
      </w:r>
      <w:r w:rsidR="00C3529E">
        <w:rPr>
          <w:rStyle w:val="default"/>
          <w:rFonts w:cs="FrankRuehl" w:hint="cs"/>
          <w:rtl/>
        </w:rPr>
        <w:t>הוראות תקנות אלה לא יחולו על ציוד שרכש הנישום באחת מאלה:</w:t>
      </w:r>
    </w:p>
    <w:p w14:paraId="09A70230" w14:textId="77777777" w:rsidR="00C3529E" w:rsidRDefault="00C3529E" w:rsidP="00C3529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רכישה מקרוב;</w:t>
      </w:r>
    </w:p>
    <w:p w14:paraId="670BB22B" w14:textId="77777777" w:rsidR="00C3529E" w:rsidRDefault="00C3529E" w:rsidP="00C3529E">
      <w:pPr>
        <w:pStyle w:val="P00"/>
        <w:spacing w:before="72"/>
        <w:ind w:left="624" w:right="1134"/>
        <w:rPr>
          <w:rStyle w:val="default"/>
          <w:rFonts w:cs="FrankRuehl" w:hint="cs"/>
          <w:rtl/>
        </w:rPr>
      </w:pPr>
      <w:r>
        <w:rPr>
          <w:rStyle w:val="default"/>
          <w:rFonts w:cs="FrankRuehl" w:hint="cs"/>
          <w:rtl/>
        </w:rPr>
        <w:lastRenderedPageBreak/>
        <w:t>(2)</w:t>
      </w:r>
      <w:r>
        <w:rPr>
          <w:rStyle w:val="default"/>
          <w:rFonts w:cs="FrankRuehl" w:hint="cs"/>
          <w:rtl/>
        </w:rPr>
        <w:tab/>
        <w:t>רכישה בלא תמורה;</w:t>
      </w:r>
    </w:p>
    <w:p w14:paraId="46BF0771" w14:textId="77777777" w:rsidR="00C3529E" w:rsidRDefault="00C3529E" w:rsidP="00C3529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רכישה לפי סעיף 85 לפקודה;</w:t>
      </w:r>
    </w:p>
    <w:p w14:paraId="298D6281" w14:textId="77777777" w:rsidR="00C3529E" w:rsidRDefault="00C3529E" w:rsidP="00C3529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רכישה שחלו עליה הוראות חלק ה2 לפקודה.</w:t>
      </w:r>
    </w:p>
    <w:p w14:paraId="3008AA48" w14:textId="77777777" w:rsidR="00C3529E" w:rsidRDefault="00C3529E" w:rsidP="001842C2">
      <w:pPr>
        <w:pStyle w:val="P00"/>
        <w:spacing w:before="72"/>
        <w:ind w:left="0" w:right="1134"/>
        <w:rPr>
          <w:rStyle w:val="default"/>
          <w:rFonts w:cs="FrankRuehl" w:hint="cs"/>
          <w:rtl/>
        </w:rPr>
      </w:pPr>
      <w:bookmarkStart w:id="4" w:name="Seif5"/>
      <w:bookmarkEnd w:id="4"/>
      <w:r>
        <w:rPr>
          <w:rFonts w:cs="Miriam"/>
          <w:lang w:val="he-IL"/>
        </w:rPr>
        <w:pict w14:anchorId="0E2F4CB4">
          <v:rect id="_x0000_s1385" style="position:absolute;left:0;text-align:left;margin-left:464.35pt;margin-top:7.1pt;width:75.05pt;height:20.15pt;z-index:251658752" o:allowincell="f" filled="f" stroked="f" strokecolor="lime" strokeweight=".25pt">
            <v:textbox style="mso-next-textbox:#_x0000_s1385" inset="0,0,0,0">
              <w:txbxContent>
                <w:p w14:paraId="3081CB0E" w14:textId="77777777" w:rsidR="00C3529E" w:rsidRDefault="00C3529E" w:rsidP="00C3529E">
                  <w:pPr>
                    <w:spacing w:line="160" w:lineRule="exact"/>
                    <w:rPr>
                      <w:rFonts w:cs="Miriam" w:hint="cs"/>
                      <w:noProof/>
                      <w:sz w:val="18"/>
                      <w:szCs w:val="18"/>
                      <w:rtl/>
                    </w:rPr>
                  </w:pPr>
                  <w:r>
                    <w:rPr>
                      <w:rFonts w:cs="Miriam" w:hint="cs"/>
                      <w:sz w:val="18"/>
                      <w:szCs w:val="18"/>
                      <w:rtl/>
                    </w:rPr>
                    <w:t>סייג לעניין שימוש</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האמור בתקנה 2 יחול רק אם הציוד שימש בייצור הכנסה בידי הנישום בפעילות המזכה בכל התקופה שתחילתה במועד שבו החל השימוש בציוד וסיומה בתום שנת המס שבשלה נתבע פחת לפי תקנה 2, לפחות, והנישום הציג אישור מאת מייצג כמשמעותו בסעיף 236 לפקודה, על התקיימות התנאים המזכים בפחת כאמור בתקנות אלה.</w:t>
      </w:r>
    </w:p>
    <w:p w14:paraId="57796791" w14:textId="77777777" w:rsidR="00C3529E" w:rsidRDefault="00C3529E" w:rsidP="001842C2">
      <w:pPr>
        <w:pStyle w:val="P00"/>
        <w:spacing w:before="72"/>
        <w:ind w:left="0" w:right="1134"/>
        <w:rPr>
          <w:rStyle w:val="default"/>
          <w:rFonts w:cs="FrankRuehl" w:hint="cs"/>
          <w:rtl/>
        </w:rPr>
      </w:pPr>
      <w:bookmarkStart w:id="5" w:name="Seif6"/>
      <w:bookmarkEnd w:id="5"/>
      <w:r>
        <w:rPr>
          <w:rFonts w:cs="Miriam"/>
          <w:lang w:val="he-IL"/>
        </w:rPr>
        <w:pict w14:anchorId="479E4891">
          <v:rect id="_x0000_s1386" style="position:absolute;left:0;text-align:left;margin-left:464.35pt;margin-top:7.1pt;width:75.05pt;height:20.15pt;z-index:251659776" o:allowincell="f" filled="f" stroked="f" strokecolor="lime" strokeweight=".25pt">
            <v:textbox style="mso-next-textbox:#_x0000_s1386" inset="0,0,0,0">
              <w:txbxContent>
                <w:p w14:paraId="240B6671" w14:textId="77777777" w:rsidR="00C3529E" w:rsidRDefault="00C3529E" w:rsidP="00C3529E">
                  <w:pPr>
                    <w:spacing w:line="160" w:lineRule="exact"/>
                    <w:rPr>
                      <w:rFonts w:cs="Miriam" w:hint="cs"/>
                      <w:noProof/>
                      <w:sz w:val="18"/>
                      <w:szCs w:val="18"/>
                      <w:rtl/>
                    </w:rPr>
                  </w:pPr>
                  <w:r>
                    <w:rPr>
                      <w:rFonts w:cs="Miriam" w:hint="cs"/>
                      <w:sz w:val="18"/>
                      <w:szCs w:val="18"/>
                      <w:rtl/>
                    </w:rPr>
                    <w:t>סייג לעניין נישום מסוים</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האמור בתקנות אלה לא יחול על נישום שקיבל זיכיון או זיכיון משנה מהמדינה ועל נישום שהמדינה משתתפת, במישרין או בעקיפין, ב-20% או יותר מתקציבו בשנות המס 2008, 2009 או 2010; לעניין תקנה זו, לא יראו מענקים לפי חוק לעידוד השקעות הון כהשתתפות המדינה.</w:t>
      </w:r>
    </w:p>
    <w:p w14:paraId="67871697" w14:textId="77777777" w:rsidR="00C3529E" w:rsidRDefault="00C3529E" w:rsidP="001842C2">
      <w:pPr>
        <w:pStyle w:val="P00"/>
        <w:spacing w:before="72"/>
        <w:ind w:left="0" w:right="1134"/>
        <w:rPr>
          <w:rStyle w:val="default"/>
          <w:rFonts w:cs="FrankRuehl" w:hint="cs"/>
          <w:rtl/>
        </w:rPr>
      </w:pPr>
      <w:bookmarkStart w:id="6" w:name="Seif7"/>
      <w:bookmarkEnd w:id="6"/>
      <w:r>
        <w:rPr>
          <w:rFonts w:cs="Miriam"/>
          <w:lang w:val="he-IL"/>
        </w:rPr>
        <w:pict w14:anchorId="1E52BED7">
          <v:rect id="_x0000_s1387" style="position:absolute;left:0;text-align:left;margin-left:464.35pt;margin-top:7.1pt;width:75.05pt;height:20.15pt;z-index:251660800" o:allowincell="f" filled="f" stroked="f" strokecolor="lime" strokeweight=".25pt">
            <v:textbox style="mso-next-textbox:#_x0000_s1387" inset="0,0,0,0">
              <w:txbxContent>
                <w:p w14:paraId="39F15215" w14:textId="77777777" w:rsidR="00C3529E" w:rsidRDefault="00C3529E" w:rsidP="00C3529E">
                  <w:pPr>
                    <w:spacing w:line="160" w:lineRule="exact"/>
                    <w:rPr>
                      <w:rFonts w:cs="Miriam" w:hint="cs"/>
                      <w:noProof/>
                      <w:sz w:val="18"/>
                      <w:szCs w:val="18"/>
                      <w:rtl/>
                    </w:rPr>
                  </w:pPr>
                  <w:r>
                    <w:rPr>
                      <w:rFonts w:cs="Miriam" w:hint="cs"/>
                      <w:sz w:val="18"/>
                      <w:szCs w:val="18"/>
                      <w:rtl/>
                    </w:rPr>
                    <w:t>הוראה לעניין המחיר המקורי</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נמכר ציוד לקרוב לאחר שנתבע בעדו פחת לפי תקנה 2 בתוך ארבע שנים מיום רכישתו, יקראו את המחיר המקורי של הציוד בידי הרוכש הקרוב כאפס.</w:t>
      </w:r>
    </w:p>
    <w:p w14:paraId="447A94CB" w14:textId="77777777" w:rsidR="000B700B" w:rsidRDefault="000B700B">
      <w:pPr>
        <w:pStyle w:val="P00"/>
        <w:spacing w:before="72"/>
        <w:ind w:left="0" w:right="1134"/>
        <w:rPr>
          <w:rStyle w:val="default"/>
          <w:rFonts w:cs="FrankRuehl" w:hint="cs"/>
          <w:rtl/>
        </w:rPr>
      </w:pPr>
    </w:p>
    <w:p w14:paraId="2DAB05D7" w14:textId="77777777" w:rsidR="002A24E2" w:rsidRDefault="002A24E2">
      <w:pPr>
        <w:pStyle w:val="P00"/>
        <w:spacing w:before="72"/>
        <w:ind w:left="0" w:right="1134"/>
        <w:rPr>
          <w:rStyle w:val="default"/>
          <w:rFonts w:cs="FrankRuehl" w:hint="cs"/>
          <w:rtl/>
        </w:rPr>
      </w:pPr>
    </w:p>
    <w:p w14:paraId="150BD7A2" w14:textId="77777777" w:rsidR="00B808FF" w:rsidRDefault="00C3529E" w:rsidP="00C3529E">
      <w:pPr>
        <w:pStyle w:val="sig-0"/>
        <w:tabs>
          <w:tab w:val="clear" w:pos="4820"/>
          <w:tab w:val="center" w:pos="5103"/>
        </w:tabs>
        <w:ind w:left="0" w:right="1134"/>
        <w:rPr>
          <w:rFonts w:cs="FrankRuehl" w:hint="cs"/>
          <w:sz w:val="26"/>
          <w:rtl/>
        </w:rPr>
      </w:pPr>
      <w:r>
        <w:rPr>
          <w:rFonts w:cs="FrankRuehl" w:hint="cs"/>
          <w:sz w:val="26"/>
          <w:rtl/>
        </w:rPr>
        <w:t>י"ט בסיוון</w:t>
      </w:r>
      <w:r w:rsidR="0076285C">
        <w:rPr>
          <w:rFonts w:cs="FrankRuehl" w:hint="cs"/>
          <w:sz w:val="26"/>
          <w:rtl/>
        </w:rPr>
        <w:t xml:space="preserve"> התשס"ח (</w:t>
      </w:r>
      <w:r>
        <w:rPr>
          <w:rFonts w:cs="FrankRuehl" w:hint="cs"/>
          <w:sz w:val="26"/>
          <w:rtl/>
        </w:rPr>
        <w:t>22 ביוני</w:t>
      </w:r>
      <w:r w:rsidR="0076285C">
        <w:rPr>
          <w:rFonts w:cs="FrankRuehl" w:hint="cs"/>
          <w:sz w:val="26"/>
          <w:rtl/>
        </w:rPr>
        <w:t xml:space="preserve"> 2008)</w:t>
      </w:r>
      <w:r w:rsidR="00B808FF">
        <w:rPr>
          <w:rFonts w:cs="FrankRuehl" w:hint="cs"/>
          <w:sz w:val="26"/>
          <w:rtl/>
        </w:rPr>
        <w:tab/>
      </w:r>
      <w:r>
        <w:rPr>
          <w:rFonts w:cs="FrankRuehl" w:hint="cs"/>
          <w:sz w:val="26"/>
          <w:rtl/>
        </w:rPr>
        <w:t>רוני בר-און</w:t>
      </w:r>
    </w:p>
    <w:p w14:paraId="025C231E" w14:textId="77777777" w:rsidR="00B808FF" w:rsidRDefault="00B808FF" w:rsidP="00C3529E">
      <w:pPr>
        <w:pStyle w:val="sig-0"/>
        <w:tabs>
          <w:tab w:val="clear" w:pos="4820"/>
          <w:tab w:val="center" w:pos="5103"/>
        </w:tabs>
        <w:ind w:left="0" w:right="1134"/>
        <w:rPr>
          <w:rFonts w:cs="FrankRuehl" w:hint="cs"/>
          <w:sz w:val="22"/>
          <w:szCs w:val="22"/>
          <w:rtl/>
        </w:rPr>
      </w:pPr>
      <w:r>
        <w:rPr>
          <w:rFonts w:cs="FrankRuehl" w:hint="cs"/>
          <w:sz w:val="22"/>
          <w:szCs w:val="22"/>
          <w:rtl/>
        </w:rPr>
        <w:tab/>
      </w:r>
      <w:r w:rsidR="0076285C">
        <w:rPr>
          <w:rFonts w:cs="FrankRuehl" w:hint="cs"/>
          <w:sz w:val="22"/>
          <w:szCs w:val="22"/>
          <w:rtl/>
        </w:rPr>
        <w:t xml:space="preserve">שר </w:t>
      </w:r>
      <w:r w:rsidR="00C3529E">
        <w:rPr>
          <w:rFonts w:cs="FrankRuehl" w:hint="cs"/>
          <w:sz w:val="22"/>
          <w:szCs w:val="22"/>
          <w:rtl/>
        </w:rPr>
        <w:t>האוצר</w:t>
      </w:r>
    </w:p>
    <w:p w14:paraId="23BBF165" w14:textId="77777777" w:rsidR="00C3529E" w:rsidRDefault="00C3529E">
      <w:pPr>
        <w:pStyle w:val="P00"/>
        <w:spacing w:before="72"/>
        <w:ind w:left="0" w:right="1134"/>
        <w:rPr>
          <w:rStyle w:val="default"/>
          <w:rFonts w:cs="FrankRuehl" w:hint="cs"/>
          <w:rtl/>
        </w:rPr>
      </w:pPr>
    </w:p>
    <w:p w14:paraId="7C286BB5" w14:textId="77777777" w:rsidR="00A022B1" w:rsidRDefault="00A022B1">
      <w:pPr>
        <w:pStyle w:val="P00"/>
        <w:spacing w:before="72"/>
        <w:ind w:left="0" w:right="1134"/>
        <w:rPr>
          <w:rStyle w:val="default"/>
          <w:rFonts w:cs="FrankRuehl" w:hint="cs"/>
          <w:rtl/>
        </w:rPr>
      </w:pPr>
    </w:p>
    <w:p w14:paraId="35B9028E" w14:textId="77777777" w:rsidR="00B808FF" w:rsidRDefault="00B808FF">
      <w:pPr>
        <w:pStyle w:val="P00"/>
        <w:spacing w:before="72"/>
        <w:ind w:left="0" w:right="1134"/>
        <w:rPr>
          <w:rStyle w:val="default"/>
          <w:rFonts w:cs="FrankRuehl" w:hint="cs"/>
          <w:rtl/>
        </w:rPr>
      </w:pPr>
    </w:p>
    <w:sectPr w:rsidR="00B808F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F854F" w14:textId="77777777" w:rsidR="00DE458E" w:rsidRDefault="00DE458E">
      <w:r>
        <w:separator/>
      </w:r>
    </w:p>
  </w:endnote>
  <w:endnote w:type="continuationSeparator" w:id="0">
    <w:p w14:paraId="5BCC50D9" w14:textId="77777777" w:rsidR="00DE458E" w:rsidRDefault="00DE4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AE1F" w14:textId="77777777"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94AA465" w14:textId="77777777"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F9174F5" w14:textId="77777777"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6672B">
      <w:rPr>
        <w:rFonts w:cs="TopType Jerushalmi"/>
        <w:noProof/>
        <w:color w:val="000000"/>
        <w:sz w:val="14"/>
        <w:szCs w:val="14"/>
      </w:rPr>
      <w:t>Z:\000000000000-law\yael\08-07-22\tav\999_971.doc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37E4" w14:textId="77777777"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842C2">
      <w:rPr>
        <w:rFonts w:hAnsi="FrankRuehl" w:cs="FrankRuehl"/>
        <w:noProof/>
        <w:sz w:val="24"/>
        <w:szCs w:val="24"/>
        <w:rtl/>
      </w:rPr>
      <w:t>3</w:t>
    </w:r>
    <w:r>
      <w:rPr>
        <w:rFonts w:hAnsi="FrankRuehl" w:cs="FrankRuehl"/>
        <w:sz w:val="24"/>
        <w:szCs w:val="24"/>
        <w:rtl/>
      </w:rPr>
      <w:fldChar w:fldCharType="end"/>
    </w:r>
  </w:p>
  <w:p w14:paraId="2F5403A4" w14:textId="77777777"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1C6DF0" w14:textId="77777777"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6672B">
      <w:rPr>
        <w:rFonts w:cs="TopType Jerushalmi"/>
        <w:noProof/>
        <w:color w:val="000000"/>
        <w:sz w:val="14"/>
        <w:szCs w:val="14"/>
      </w:rPr>
      <w:t>Z:\000000000000-law\yael\08-07-22\tav\999_971.doc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0019D" w14:textId="77777777" w:rsidR="00DE458E" w:rsidRDefault="00DE458E">
      <w:pPr>
        <w:spacing w:before="60"/>
        <w:ind w:right="1134"/>
      </w:pPr>
      <w:r>
        <w:separator/>
      </w:r>
    </w:p>
  </w:footnote>
  <w:footnote w:type="continuationSeparator" w:id="0">
    <w:p w14:paraId="081BC078" w14:textId="77777777" w:rsidR="00DE458E" w:rsidRDefault="00DE458E">
      <w:r>
        <w:continuationSeparator/>
      </w:r>
    </w:p>
  </w:footnote>
  <w:footnote w:id="1">
    <w:p w14:paraId="41F26CEF" w14:textId="77777777" w:rsidR="00C064DB" w:rsidRDefault="0009382D" w:rsidP="00C06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C3529E">
        <w:rPr>
          <w:rFonts w:cs="FrankRuehl" w:hint="cs"/>
          <w:rtl/>
        </w:rPr>
        <w:t xml:space="preserve"> פורסמו</w:t>
      </w:r>
      <w:r>
        <w:rPr>
          <w:rFonts w:cs="FrankRuehl" w:hint="cs"/>
          <w:rtl/>
        </w:rPr>
        <w:t xml:space="preserve"> </w:t>
      </w:r>
      <w:hyperlink r:id="rId1" w:history="1">
        <w:r w:rsidR="000B700B" w:rsidRPr="00C064DB">
          <w:rPr>
            <w:rStyle w:val="Hyperlink"/>
            <w:rFonts w:cs="FrankRuehl" w:hint="cs"/>
            <w:rtl/>
          </w:rPr>
          <w:t xml:space="preserve">ק"ת תשס"ח מס' </w:t>
        </w:r>
        <w:r w:rsidR="00515A33" w:rsidRPr="00C064DB">
          <w:rPr>
            <w:rStyle w:val="Hyperlink"/>
            <w:rFonts w:cs="FrankRuehl" w:hint="cs"/>
            <w:rtl/>
          </w:rPr>
          <w:t>669</w:t>
        </w:r>
        <w:r w:rsidR="00C3529E" w:rsidRPr="00C064DB">
          <w:rPr>
            <w:rStyle w:val="Hyperlink"/>
            <w:rFonts w:cs="FrankRuehl" w:hint="cs"/>
            <w:rtl/>
          </w:rPr>
          <w:t>3</w:t>
        </w:r>
      </w:hyperlink>
      <w:r w:rsidR="000B700B">
        <w:rPr>
          <w:rFonts w:cs="FrankRuehl" w:hint="cs"/>
          <w:rtl/>
        </w:rPr>
        <w:t xml:space="preserve"> מיום </w:t>
      </w:r>
      <w:r w:rsidR="00515A33">
        <w:rPr>
          <w:rFonts w:cs="FrankRuehl" w:hint="cs"/>
          <w:rtl/>
        </w:rPr>
        <w:t>1</w:t>
      </w:r>
      <w:r w:rsidR="00C3529E">
        <w:rPr>
          <w:rFonts w:cs="FrankRuehl" w:hint="cs"/>
          <w:rtl/>
        </w:rPr>
        <w:t>7</w:t>
      </w:r>
      <w:r w:rsidR="000B700B">
        <w:rPr>
          <w:rFonts w:cs="FrankRuehl" w:hint="cs"/>
          <w:rtl/>
        </w:rPr>
        <w:t xml:space="preserve">.7.2008 עמ' </w:t>
      </w:r>
      <w:r w:rsidR="00C3529E">
        <w:rPr>
          <w:rFonts w:cs="FrankRuehl" w:hint="cs"/>
          <w:rtl/>
        </w:rPr>
        <w:t>1138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C83DE" w14:textId="77777777" w:rsidR="0009382D" w:rsidRDefault="0009382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F1BB02A"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423744"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E30A5" w14:textId="77777777" w:rsidR="0009382D" w:rsidRDefault="00C3529E" w:rsidP="00A3786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 הכנסה (פחת מואץ לציוד המשמש בפעילות מזכה) (הוראת שעה)</w:t>
    </w:r>
    <w:r w:rsidR="0009382D">
      <w:rPr>
        <w:rFonts w:hAnsi="FrankRuehl" w:cs="FrankRuehl" w:hint="cs"/>
        <w:color w:val="000000"/>
        <w:sz w:val="28"/>
        <w:szCs w:val="28"/>
        <w:rtl/>
      </w:rPr>
      <w:t xml:space="preserve">, </w:t>
    </w:r>
    <w:r>
      <w:rPr>
        <w:rFonts w:hAnsi="FrankRuehl" w:cs="FrankRuehl"/>
        <w:color w:val="000000"/>
        <w:sz w:val="28"/>
        <w:szCs w:val="28"/>
        <w:rtl/>
      </w:rPr>
      <w:br/>
    </w:r>
    <w:r w:rsidR="0009382D">
      <w:rPr>
        <w:rFonts w:hAnsi="FrankRuehl" w:cs="FrankRuehl" w:hint="cs"/>
        <w:color w:val="000000"/>
        <w:sz w:val="28"/>
        <w:szCs w:val="28"/>
        <w:rtl/>
      </w:rPr>
      <w:t>תשס"ח-2008</w:t>
    </w:r>
  </w:p>
  <w:p w14:paraId="3B7D098D"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E4375F"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7234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10E90"/>
    <w:rsid w:val="00031B81"/>
    <w:rsid w:val="00057985"/>
    <w:rsid w:val="00057ED8"/>
    <w:rsid w:val="00065DCA"/>
    <w:rsid w:val="0009382D"/>
    <w:rsid w:val="00097C86"/>
    <w:rsid w:val="000B700B"/>
    <w:rsid w:val="000E32ED"/>
    <w:rsid w:val="00102D7B"/>
    <w:rsid w:val="00125926"/>
    <w:rsid w:val="00167D7D"/>
    <w:rsid w:val="00171228"/>
    <w:rsid w:val="00172348"/>
    <w:rsid w:val="001842C2"/>
    <w:rsid w:val="001C1203"/>
    <w:rsid w:val="00274CD2"/>
    <w:rsid w:val="002A24E2"/>
    <w:rsid w:val="002E1294"/>
    <w:rsid w:val="00301E9A"/>
    <w:rsid w:val="0035408C"/>
    <w:rsid w:val="0037728C"/>
    <w:rsid w:val="00393C15"/>
    <w:rsid w:val="003A2EEE"/>
    <w:rsid w:val="003D6ED9"/>
    <w:rsid w:val="003E6F5E"/>
    <w:rsid w:val="003F05BB"/>
    <w:rsid w:val="003F5BF4"/>
    <w:rsid w:val="00427C98"/>
    <w:rsid w:val="00475AAF"/>
    <w:rsid w:val="004803D1"/>
    <w:rsid w:val="004A0287"/>
    <w:rsid w:val="004F323E"/>
    <w:rsid w:val="00515A33"/>
    <w:rsid w:val="00521F54"/>
    <w:rsid w:val="005403F4"/>
    <w:rsid w:val="00554D12"/>
    <w:rsid w:val="005563B9"/>
    <w:rsid w:val="00571C5E"/>
    <w:rsid w:val="005B0420"/>
    <w:rsid w:val="005B11AD"/>
    <w:rsid w:val="005F5D28"/>
    <w:rsid w:val="0060704F"/>
    <w:rsid w:val="0064715C"/>
    <w:rsid w:val="00683744"/>
    <w:rsid w:val="006F3807"/>
    <w:rsid w:val="0070464D"/>
    <w:rsid w:val="0073388B"/>
    <w:rsid w:val="0076285C"/>
    <w:rsid w:val="00763C55"/>
    <w:rsid w:val="0076672B"/>
    <w:rsid w:val="007741C4"/>
    <w:rsid w:val="007828A6"/>
    <w:rsid w:val="007C706E"/>
    <w:rsid w:val="007E3338"/>
    <w:rsid w:val="0083137E"/>
    <w:rsid w:val="00835ABE"/>
    <w:rsid w:val="00846224"/>
    <w:rsid w:val="00852A6A"/>
    <w:rsid w:val="00865054"/>
    <w:rsid w:val="0087434F"/>
    <w:rsid w:val="0088411C"/>
    <w:rsid w:val="008925C2"/>
    <w:rsid w:val="008932BA"/>
    <w:rsid w:val="008972BA"/>
    <w:rsid w:val="008A3D64"/>
    <w:rsid w:val="008C0AEB"/>
    <w:rsid w:val="008C70D8"/>
    <w:rsid w:val="008E2528"/>
    <w:rsid w:val="008E7BC6"/>
    <w:rsid w:val="008F2E1F"/>
    <w:rsid w:val="009101B9"/>
    <w:rsid w:val="00913D60"/>
    <w:rsid w:val="009D4881"/>
    <w:rsid w:val="009E2827"/>
    <w:rsid w:val="009E2C07"/>
    <w:rsid w:val="00A022B1"/>
    <w:rsid w:val="00A0385D"/>
    <w:rsid w:val="00A03A4B"/>
    <w:rsid w:val="00A04B99"/>
    <w:rsid w:val="00A12354"/>
    <w:rsid w:val="00A127EF"/>
    <w:rsid w:val="00A148C2"/>
    <w:rsid w:val="00A278B4"/>
    <w:rsid w:val="00A37867"/>
    <w:rsid w:val="00A40CC8"/>
    <w:rsid w:val="00A44743"/>
    <w:rsid w:val="00A60C88"/>
    <w:rsid w:val="00A652F6"/>
    <w:rsid w:val="00A77CD2"/>
    <w:rsid w:val="00A805B8"/>
    <w:rsid w:val="00AA1CFE"/>
    <w:rsid w:val="00AC4A27"/>
    <w:rsid w:val="00B232C0"/>
    <w:rsid w:val="00B3508E"/>
    <w:rsid w:val="00B40FB9"/>
    <w:rsid w:val="00B44AD0"/>
    <w:rsid w:val="00B45044"/>
    <w:rsid w:val="00B4671C"/>
    <w:rsid w:val="00B808FF"/>
    <w:rsid w:val="00B850C0"/>
    <w:rsid w:val="00B875EF"/>
    <w:rsid w:val="00B96D4B"/>
    <w:rsid w:val="00BC46B4"/>
    <w:rsid w:val="00BD6587"/>
    <w:rsid w:val="00BF6AEE"/>
    <w:rsid w:val="00C064DB"/>
    <w:rsid w:val="00C14019"/>
    <w:rsid w:val="00C3529E"/>
    <w:rsid w:val="00C352E0"/>
    <w:rsid w:val="00C67589"/>
    <w:rsid w:val="00C71924"/>
    <w:rsid w:val="00C81D3E"/>
    <w:rsid w:val="00C86F61"/>
    <w:rsid w:val="00CA0B1C"/>
    <w:rsid w:val="00CA6DA2"/>
    <w:rsid w:val="00D33934"/>
    <w:rsid w:val="00D8315B"/>
    <w:rsid w:val="00DA50D6"/>
    <w:rsid w:val="00DE458E"/>
    <w:rsid w:val="00E209EF"/>
    <w:rsid w:val="00E847D7"/>
    <w:rsid w:val="00EB5437"/>
    <w:rsid w:val="00ED7468"/>
    <w:rsid w:val="00F01B28"/>
    <w:rsid w:val="00F23090"/>
    <w:rsid w:val="00F6096E"/>
    <w:rsid w:val="00F6179F"/>
    <w:rsid w:val="00F86FF2"/>
    <w:rsid w:val="00FA71C3"/>
    <w:rsid w:val="00FB2F08"/>
    <w:rsid w:val="00FB7945"/>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6B747E2"/>
  <w15:chartTrackingRefBased/>
  <w15:docId w15:val="{429A2B88-AF3D-4424-836D-338C6EAB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6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3623</CharactersWithSpaces>
  <SharedDoc>false</SharedDoc>
  <HLinks>
    <vt:vector size="48" baseType="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7733261</vt:i4>
      </vt:variant>
      <vt:variant>
        <vt:i4>0</vt:i4>
      </vt:variant>
      <vt:variant>
        <vt:i4>0</vt:i4>
      </vt:variant>
      <vt:variant>
        <vt:i4>5</vt:i4>
      </vt:variant>
      <vt:variant>
        <vt:lpwstr>http://www.nevo.co.il/Law_word/law06/tak-6693.pdf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(פחת מואץ לציוד המשמש בפעילות מזכה) (הוראת שעה), תשס"ח-2008</vt:lpwstr>
  </property>
  <property fmtid="{D5CDD505-2E9C-101B-9397-08002B2CF9AE}" pid="4" name="LAWNUMBER">
    <vt:lpwstr>0971</vt:lpwstr>
  </property>
  <property fmtid="{D5CDD505-2E9C-101B-9397-08002B2CF9AE}" pid="5" name="TYPE">
    <vt:lpwstr>01</vt:lpwstr>
  </property>
  <property fmtid="{D5CDD505-2E9C-101B-9397-08002B2CF9AE}" pid="6" name="CHNAME">
    <vt:lpwstr>מס הכנסה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http://www.nevo.co.il/Law_word/law06/tak-6693.pdf;‎רשומות - תקנות כלליות#פורסמו ק"ת ‏תשס"ח מס' 6693 #מיום 17.7.2008 עמ' 1138‏</vt:lpwstr>
  </property>
  <property fmtid="{D5CDD505-2E9C-101B-9397-08002B2CF9AE}" pid="22" name="MEKOR_NAME1">
    <vt:lpwstr>פקודת מס הכנסה </vt:lpwstr>
  </property>
  <property fmtid="{D5CDD505-2E9C-101B-9397-08002B2CF9AE}" pid="23" name="MEKOR_SAIF1">
    <vt:lpwstr>21X;243X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פחת</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