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F0A" w:rsidRDefault="00C14F0A" w:rsidP="000B6EB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תקנות מס הכנסה (פטור ממס לריבית המשתלמת על מילווה מדינה),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תשס"ה-2004</w:t>
      </w:r>
    </w:p>
    <w:p w:rsidR="00CB5673" w:rsidRPr="00CB5673" w:rsidRDefault="00CB5673" w:rsidP="00CB5673">
      <w:pPr>
        <w:spacing w:line="320" w:lineRule="auto"/>
        <w:rPr>
          <w:rFonts w:cs="FrankRuehl"/>
          <w:szCs w:val="26"/>
          <w:rtl/>
        </w:rPr>
      </w:pPr>
    </w:p>
    <w:p w:rsidR="00CB5673" w:rsidRDefault="00CB5673" w:rsidP="00CB5673">
      <w:pPr>
        <w:spacing w:line="320" w:lineRule="auto"/>
        <w:rPr>
          <w:rtl/>
        </w:rPr>
      </w:pPr>
    </w:p>
    <w:p w:rsidR="00CB5673" w:rsidRDefault="00CB5673" w:rsidP="00CB5673">
      <w:pPr>
        <w:spacing w:line="320" w:lineRule="auto"/>
        <w:rPr>
          <w:rFonts w:cs="FrankRuehl"/>
          <w:szCs w:val="26"/>
          <w:rtl/>
        </w:rPr>
      </w:pPr>
      <w:r w:rsidRPr="00CB5673">
        <w:rPr>
          <w:rFonts w:cs="Miriam"/>
          <w:szCs w:val="22"/>
          <w:rtl/>
        </w:rPr>
        <w:t>מסים</w:t>
      </w:r>
      <w:r w:rsidRPr="00CB5673">
        <w:rPr>
          <w:rFonts w:cs="FrankRuehl"/>
          <w:szCs w:val="26"/>
          <w:rtl/>
        </w:rPr>
        <w:t xml:space="preserve"> – מס הכנסה – פטור ממס: ריבית והצ' – מילווה</w:t>
      </w:r>
    </w:p>
    <w:p w:rsidR="00CB5673" w:rsidRDefault="00CB5673" w:rsidP="00CB5673">
      <w:pPr>
        <w:spacing w:line="320" w:lineRule="auto"/>
        <w:rPr>
          <w:rFonts w:cs="FrankRuehl"/>
          <w:szCs w:val="26"/>
          <w:rtl/>
        </w:rPr>
      </w:pPr>
      <w:r w:rsidRPr="00CB5673">
        <w:rPr>
          <w:rFonts w:cs="Miriam"/>
          <w:szCs w:val="22"/>
          <w:rtl/>
        </w:rPr>
        <w:t>משפט פרטי וכלכלה</w:t>
      </w:r>
      <w:r w:rsidRPr="00CB5673">
        <w:rPr>
          <w:rFonts w:cs="FrankRuehl"/>
          <w:szCs w:val="26"/>
          <w:rtl/>
        </w:rPr>
        <w:t xml:space="preserve"> – כספים – ריבית – מיסוי ופטור ממס</w:t>
      </w:r>
    </w:p>
    <w:p w:rsidR="00CB5673" w:rsidRDefault="00CB5673" w:rsidP="00CB5673">
      <w:pPr>
        <w:spacing w:line="320" w:lineRule="auto"/>
        <w:rPr>
          <w:rFonts w:cs="FrankRuehl"/>
          <w:szCs w:val="26"/>
          <w:rtl/>
        </w:rPr>
      </w:pPr>
      <w:r w:rsidRPr="00CB5673">
        <w:rPr>
          <w:rFonts w:cs="Miriam"/>
          <w:szCs w:val="22"/>
          <w:rtl/>
        </w:rPr>
        <w:t>משפט פרטי וכלכלה</w:t>
      </w:r>
      <w:r w:rsidRPr="00CB5673">
        <w:rPr>
          <w:rFonts w:cs="FrankRuehl"/>
          <w:szCs w:val="26"/>
          <w:rtl/>
        </w:rPr>
        <w:t xml:space="preserve"> – כספים – מילווים</w:t>
      </w:r>
    </w:p>
    <w:p w:rsidR="00CB5673" w:rsidRPr="00CB5673" w:rsidRDefault="00CB5673" w:rsidP="00CB5673">
      <w:pPr>
        <w:spacing w:line="320" w:lineRule="auto"/>
        <w:rPr>
          <w:rFonts w:cs="Miriam"/>
          <w:szCs w:val="22"/>
          <w:rtl/>
        </w:rPr>
      </w:pPr>
      <w:r w:rsidRPr="00CB5673">
        <w:rPr>
          <w:rFonts w:cs="Miriam"/>
          <w:szCs w:val="22"/>
          <w:rtl/>
        </w:rPr>
        <w:t>מסים</w:t>
      </w:r>
      <w:r w:rsidRPr="00CB5673">
        <w:rPr>
          <w:rFonts w:cs="FrankRuehl"/>
          <w:szCs w:val="26"/>
          <w:rtl/>
        </w:rPr>
        <w:t xml:space="preserve"> – מילווים – מילווה מדינה</w:t>
      </w:r>
    </w:p>
    <w:p w:rsidR="000B6EBC" w:rsidRDefault="000B6EBC" w:rsidP="000B6EB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14F0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14F0A" w:rsidRDefault="00C14F0A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big-number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separate"/>
            </w:r>
            <w:r w:rsidR="00972C89">
              <w:rPr>
                <w:rStyle w:val="big-number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14F0A" w:rsidRDefault="00C14F0A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14F0A" w:rsidRDefault="00C14F0A">
            <w:pPr>
              <w:rPr>
                <w:rStyle w:val="big-number"/>
                <w:rFonts w:cs="FrankRuehl"/>
                <w:sz w:val="24"/>
                <w:szCs w:val="24"/>
                <w:rtl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t>הגדרות</w:t>
            </w:r>
          </w:p>
        </w:tc>
        <w:tc>
          <w:tcPr>
            <w:tcW w:w="1247" w:type="dxa"/>
          </w:tcPr>
          <w:p w:rsidR="00C14F0A" w:rsidRDefault="00C14F0A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C14F0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14F0A" w:rsidRDefault="00C14F0A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big-number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separate"/>
            </w:r>
            <w:r w:rsidR="00972C89">
              <w:rPr>
                <w:rStyle w:val="big-number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14F0A" w:rsidRDefault="00C14F0A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hyperlink w:anchor="Seif1" w:tooltip="פטור ממ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14F0A" w:rsidRDefault="00C14F0A">
            <w:pPr>
              <w:rPr>
                <w:rStyle w:val="big-number"/>
                <w:rFonts w:cs="FrankRuehl"/>
                <w:sz w:val="24"/>
                <w:szCs w:val="24"/>
                <w:rtl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t>פטור ממס</w:t>
            </w:r>
          </w:p>
        </w:tc>
        <w:tc>
          <w:tcPr>
            <w:tcW w:w="1247" w:type="dxa"/>
          </w:tcPr>
          <w:p w:rsidR="00C14F0A" w:rsidRDefault="00C14F0A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  <w:tr w:rsidR="00C14F0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14F0A" w:rsidRDefault="00C14F0A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big-number"/>
                <w:rFonts w:cs="FrankRuehl"/>
                <w:sz w:val="24"/>
                <w:szCs w:val="24"/>
              </w:rPr>
              <w:instrText>PAGEREF Seif2</w:instrTex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separate"/>
            </w:r>
            <w:r w:rsidR="00972C89">
              <w:rPr>
                <w:rStyle w:val="big-number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14F0A" w:rsidRDefault="00C14F0A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hyperlink w:anchor="Seif2" w:tooltip="סיג ל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14F0A" w:rsidRDefault="00C14F0A">
            <w:pPr>
              <w:rPr>
                <w:rStyle w:val="big-number"/>
                <w:rFonts w:cs="FrankRuehl"/>
                <w:sz w:val="24"/>
                <w:szCs w:val="24"/>
                <w:rtl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t>סיג לפטור</w:t>
            </w:r>
          </w:p>
        </w:tc>
        <w:tc>
          <w:tcPr>
            <w:tcW w:w="1247" w:type="dxa"/>
          </w:tcPr>
          <w:p w:rsidR="00C14F0A" w:rsidRDefault="00C14F0A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t xml:space="preserve">סעיף 3 </w:t>
            </w:r>
          </w:p>
        </w:tc>
      </w:tr>
      <w:tr w:rsidR="00C14F0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14F0A" w:rsidRDefault="00C14F0A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big-number"/>
                <w:rFonts w:cs="FrankRuehl"/>
                <w:sz w:val="24"/>
                <w:szCs w:val="24"/>
              </w:rPr>
              <w:instrText>PAGEREF Seif3</w:instrTex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separate"/>
            </w:r>
            <w:r w:rsidR="00972C89">
              <w:rPr>
                <w:rStyle w:val="big-number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14F0A" w:rsidRDefault="00C14F0A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14F0A" w:rsidRDefault="00C14F0A">
            <w:pPr>
              <w:rPr>
                <w:rStyle w:val="big-number"/>
                <w:rFonts w:cs="FrankRuehl"/>
                <w:sz w:val="24"/>
                <w:szCs w:val="24"/>
                <w:rtl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t>תחילה</w:t>
            </w:r>
          </w:p>
        </w:tc>
        <w:tc>
          <w:tcPr>
            <w:tcW w:w="1247" w:type="dxa"/>
          </w:tcPr>
          <w:p w:rsidR="00C14F0A" w:rsidRDefault="00C14F0A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t xml:space="preserve">סעיף 4 </w:t>
            </w:r>
          </w:p>
        </w:tc>
      </w:tr>
    </w:tbl>
    <w:p w:rsidR="000B6EBC" w:rsidRDefault="000B6EBC" w:rsidP="000B6EBC">
      <w:pPr>
        <w:pStyle w:val="big-header"/>
        <w:ind w:left="0" w:right="1134"/>
        <w:rPr>
          <w:rFonts w:cs="FrankRuehl"/>
          <w:sz w:val="32"/>
          <w:rtl/>
        </w:rPr>
      </w:pPr>
    </w:p>
    <w:p w:rsidR="000B6EBC" w:rsidRDefault="000B6EBC" w:rsidP="000B6EB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תקנות מס הכנסה (פטור ממס לריבית המשתלמת על מילווה מדינה),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תשס"ה-2004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C14F0A" w:rsidRDefault="00C14F0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בתוקף סמכותי לפי סעיפים 15 ו-243 לפקודת מס הכנסה (להלן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הפקודה), ובאישור ועדת הכספים של הכנסת, אני מתקין תקנות אלה:</w:t>
      </w:r>
    </w:p>
    <w:p w:rsidR="00C14F0A" w:rsidRDefault="00C14F0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8pt;margin-top:8.05pt;width:70.55pt;height:8.95pt;z-index:251655680" filled="f" stroked="f" strokecolor="lime" strokeweight=".25pt">
            <v:textbox style="mso-next-textbox:#_x0000_s1026" inset="1mm,0,1mm,0">
              <w:txbxContent>
                <w:p w:rsidR="00C14F0A" w:rsidRDefault="00C14F0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בתקנות אלה </w:t>
      </w:r>
      <w:r>
        <w:rPr>
          <w:rStyle w:val="big-number"/>
          <w:rFonts w:cs="FrankRuehl"/>
          <w:sz w:val="26"/>
          <w:szCs w:val="26"/>
          <w:rtl/>
        </w:rPr>
        <w:t>–</w:t>
      </w:r>
    </w:p>
    <w:p w:rsidR="00C14F0A" w:rsidRDefault="00221D28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4" type="#_x0000_t202" style="position:absolute;left:0;text-align:left;margin-left:470.35pt;margin-top:7.1pt;width:1in;height:10.05pt;z-index:251659776" filled="f" stroked="f">
            <v:textbox inset="1mm,0,1mm,0">
              <w:txbxContent>
                <w:p w:rsidR="00221D28" w:rsidRDefault="00221D28" w:rsidP="00221D28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תשע"א-2011</w:t>
                  </w:r>
                </w:p>
              </w:txbxContent>
            </v:textbox>
            <w10:anchorlock/>
          </v:shape>
        </w:pict>
      </w:r>
      <w:r w:rsidR="00C14F0A">
        <w:rPr>
          <w:rStyle w:val="big-number"/>
          <w:rFonts w:cs="FrankRuehl" w:hint="cs"/>
          <w:sz w:val="26"/>
          <w:szCs w:val="26"/>
          <w:rtl/>
        </w:rPr>
        <w:tab/>
        <w:t xml:space="preserve">"מילווה מדינה" </w:t>
      </w:r>
      <w:r w:rsidR="00C14F0A">
        <w:rPr>
          <w:rStyle w:val="big-number"/>
          <w:rFonts w:cs="FrankRuehl"/>
          <w:sz w:val="26"/>
          <w:szCs w:val="26"/>
          <w:rtl/>
        </w:rPr>
        <w:t>–</w:t>
      </w:r>
      <w:r w:rsidR="00C14F0A">
        <w:rPr>
          <w:rStyle w:val="big-number"/>
          <w:rFonts w:cs="FrankRuehl" w:hint="cs"/>
          <w:sz w:val="26"/>
          <w:szCs w:val="26"/>
          <w:rtl/>
        </w:rPr>
        <w:t xml:space="preserve"> איגרת חוב או מילווה שהוצאו על</w:t>
      </w:r>
      <w:r w:rsidR="00355C2E">
        <w:rPr>
          <w:rStyle w:val="big-number"/>
          <w:rFonts w:cs="FrankRuehl" w:hint="cs"/>
          <w:sz w:val="26"/>
          <w:szCs w:val="26"/>
          <w:rtl/>
        </w:rPr>
        <w:t xml:space="preserve"> </w:t>
      </w:r>
      <w:r w:rsidR="00C14F0A">
        <w:rPr>
          <w:rStyle w:val="big-number"/>
          <w:rFonts w:cs="FrankRuehl" w:hint="cs"/>
          <w:sz w:val="26"/>
          <w:szCs w:val="26"/>
          <w:rtl/>
        </w:rPr>
        <w:t>ידי המדינה או בערבותה ביום ג' באייר התש"ס (8 במאי 2000) ואילך, הרשומים למסחר בבורסה בישראל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 w:rsidRPr="00221D28">
        <w:rPr>
          <w:rStyle w:val="big-number"/>
          <w:rFonts w:cs="FrankRuehl" w:hint="cs"/>
          <w:sz w:val="26"/>
          <w:szCs w:val="26"/>
          <w:rtl/>
        </w:rPr>
        <w:t>ושהמועד לפדיונם עולה על 13 חודשים מלאים מיום הוצאתם</w:t>
      </w:r>
      <w:r w:rsidR="00C14F0A">
        <w:rPr>
          <w:rStyle w:val="big-number"/>
          <w:rFonts w:cs="FrankRuehl" w:hint="cs"/>
          <w:sz w:val="26"/>
          <w:szCs w:val="26"/>
          <w:rtl/>
        </w:rPr>
        <w:t>;</w:t>
      </w:r>
    </w:p>
    <w:p w:rsidR="00221D28" w:rsidRPr="00221D28" w:rsidRDefault="00221D28" w:rsidP="00221D28">
      <w:pPr>
        <w:pStyle w:val="P00"/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5"/>
      <w:r w:rsidRPr="00221D28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7.7.2011</w:t>
      </w:r>
    </w:p>
    <w:p w:rsidR="00221D28" w:rsidRPr="00221D28" w:rsidRDefault="00221D28" w:rsidP="00221D28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221D28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תשע"א-2011</w:t>
      </w:r>
    </w:p>
    <w:p w:rsidR="00221D28" w:rsidRPr="00221D28" w:rsidRDefault="00221D28" w:rsidP="00221D28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221D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7006</w:t>
        </w:r>
      </w:hyperlink>
      <w:r w:rsidRPr="00221D28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16.6.2011 עמ' 1058</w:t>
      </w:r>
    </w:p>
    <w:p w:rsidR="00221D28" w:rsidRPr="00221D28" w:rsidRDefault="00221D28" w:rsidP="00221D28">
      <w:pPr>
        <w:pStyle w:val="P00"/>
        <w:ind w:left="0" w:right="1134"/>
        <w:rPr>
          <w:rStyle w:val="big-number"/>
          <w:rFonts w:cs="FrankRuehl" w:hint="cs"/>
          <w:sz w:val="2"/>
          <w:szCs w:val="2"/>
          <w:rtl/>
        </w:rPr>
      </w:pPr>
      <w:r w:rsidRPr="00221D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"מילווה מדינה" </w:t>
      </w:r>
      <w:r w:rsidRPr="00221D2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221D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איגרת חוב או מילווה שהוצאו על ידי המדינה או בערבותה ביום ג' באייר התש"ס (8 במאי 2000) ואילך, הרשומים למסחר בבורסה בישראל </w:t>
      </w:r>
      <w:r w:rsidRPr="00221D28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ושהמועד לפדיונם עולה על 13 חודשים מלאים מיום הוצאתם</w:t>
      </w:r>
      <w:r w:rsidRPr="00221D2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1"/>
    </w:p>
    <w:p w:rsidR="00C14F0A" w:rsidRDefault="00C14F0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"תושב חוץ"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מי שהיה תושב חוץ ביום הרכישה של מילווה המדינה וביום מכירתו;</w:t>
      </w:r>
    </w:p>
    <w:p w:rsidR="00C14F0A" w:rsidRDefault="00C14F0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"תחליף ריבית"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כמשמעותו בצו מס הכנסה (קביעת דמי השאלה כהכנסה), התשס"ג-2002.</w:t>
      </w:r>
    </w:p>
    <w:p w:rsidR="00C14F0A" w:rsidRDefault="00C14F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rFonts w:cs="Miriam"/>
          <w:lang w:val="he-IL"/>
        </w:rPr>
        <w:pict>
          <v:rect id="_x0000_s1215" style="position:absolute;left:0;text-align:left;margin-left:468pt;margin-top:8.05pt;width:70.55pt;height:12.9pt;z-index:251656704" filled="f" stroked="f" strokecolor="lime" strokeweight=".25pt">
            <v:textbox style="mso-next-textbox:#_x0000_s1215" inset="1mm,0,1mm,0">
              <w:txbxContent>
                <w:p w:rsidR="00C14F0A" w:rsidRDefault="00C14F0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ממס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ריבית, דמי ניכיון או הפרשי הצמדה, המשולמים לתושב חוץ על מילווה מדינה שאינו במפעל קבע של תושב החוץ בישראל ושאינם מהווים בידיו הכנסה לפי סעיף 2(1) לפקודה, יהיו פטורים ממס.</w:t>
      </w:r>
    </w:p>
    <w:p w:rsidR="00C14F0A" w:rsidRDefault="00C14F0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3" w:name="Seif2"/>
      <w:bookmarkEnd w:id="3"/>
      <w:r>
        <w:rPr>
          <w:rFonts w:cs="Miriam"/>
          <w:lang w:val="he-IL"/>
        </w:rPr>
        <w:pict>
          <v:rect id="_x0000_s1218" style="position:absolute;left:0;text-align:left;margin-left:468pt;margin-top:8.05pt;width:70.55pt;height:8.95pt;z-index:251657728" filled="f" stroked="f" strokecolor="lime" strokeweight=".25pt">
            <v:textbox style="mso-next-textbox:#_x0000_s1218" inset="1mm,0,1mm,0">
              <w:txbxContent>
                <w:p w:rsidR="00C14F0A" w:rsidRDefault="00C14F0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סיג לפטור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פטור ממס לפי תקנה 2 לא יחול על תחליף ריבית המשולם לתושב חוץ בשל השאלת מילווה מדינה.</w:t>
      </w:r>
    </w:p>
    <w:p w:rsidR="00C14F0A" w:rsidRDefault="00C14F0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4" w:name="Seif3"/>
      <w:bookmarkEnd w:id="4"/>
      <w:r>
        <w:rPr>
          <w:rFonts w:cs="Miriam"/>
          <w:lang w:val="he-IL"/>
        </w:rPr>
        <w:pict>
          <v:rect id="_x0000_s1219" style="position:absolute;left:0;text-align:left;margin-left:468pt;margin-top:8.05pt;width:70.55pt;height:8.95pt;z-index:251658752" filled="f" stroked="f" strokecolor="lime" strokeweight=".25pt">
            <v:textbox style="mso-next-textbox:#_x0000_s1219" inset="1mm,0,1mm,0">
              <w:txbxContent>
                <w:p w:rsidR="00C14F0A" w:rsidRDefault="00C14F0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תחילתן של תקנות אלה ביום ז' בטבת התשס"ד (1 בינואר 2004).</w:t>
      </w:r>
    </w:p>
    <w:p w:rsidR="00C14F0A" w:rsidRDefault="00C14F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14F0A" w:rsidRDefault="00C14F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14F0A" w:rsidRDefault="00C14F0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ה' בתשרי התשס"ה (20 בספטמבר 2004)</w:t>
      </w:r>
    </w:p>
    <w:p w:rsidR="00C14F0A" w:rsidRDefault="00C14F0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בנימין נתניהו</w:t>
      </w:r>
    </w:p>
    <w:p w:rsidR="00C14F0A" w:rsidRDefault="00C14F0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 האוצר</w:t>
      </w:r>
    </w:p>
    <w:p w:rsidR="00C14F0A" w:rsidRPr="00355C2E" w:rsidRDefault="00C14F0A" w:rsidP="00355C2E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:rsidR="00355C2E" w:rsidRPr="00355C2E" w:rsidRDefault="00355C2E" w:rsidP="00355C2E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:rsidR="00355C2E" w:rsidRPr="00355C2E" w:rsidRDefault="00355C2E" w:rsidP="00355C2E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sectPr w:rsidR="00355C2E" w:rsidRPr="00355C2E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6FDB" w:rsidRDefault="00DA6FDB">
      <w:r>
        <w:separator/>
      </w:r>
    </w:p>
  </w:endnote>
  <w:endnote w:type="continuationSeparator" w:id="0">
    <w:p w:rsidR="00DA6FDB" w:rsidRDefault="00DA6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4F0A" w:rsidRDefault="00C14F0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14F0A" w:rsidRDefault="00C14F0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14F0A" w:rsidRDefault="00C14F0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72C89">
      <w:rPr>
        <w:rFonts w:cs="TopType Jerushalmi"/>
        <w:noProof/>
        <w:color w:val="000000"/>
        <w:sz w:val="14"/>
        <w:szCs w:val="14"/>
      </w:rPr>
      <w:t>D:\Yael\hakika\Revadim</w:t>
    </w:r>
    <w:r w:rsidR="00972C89">
      <w:rPr>
        <w:rFonts w:cs="TopType Jerushalmi"/>
        <w:noProof/>
        <w:color w:val="000000"/>
        <w:sz w:val="14"/>
        <w:szCs w:val="14"/>
        <w:rtl/>
      </w:rPr>
      <w:t>\קישורים\999_365.</w:t>
    </w:r>
    <w:r w:rsidR="00972C89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4F0A" w:rsidRDefault="00C14F0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8468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14F0A" w:rsidRDefault="00C14F0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14F0A" w:rsidRDefault="00C14F0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72C89">
      <w:rPr>
        <w:rFonts w:cs="TopType Jerushalmi"/>
        <w:noProof/>
        <w:color w:val="000000"/>
        <w:sz w:val="14"/>
        <w:szCs w:val="14"/>
      </w:rPr>
      <w:t>D:\Yael\hakika\Revadim</w:t>
    </w:r>
    <w:r w:rsidR="00972C89">
      <w:rPr>
        <w:rFonts w:cs="TopType Jerushalmi"/>
        <w:noProof/>
        <w:color w:val="000000"/>
        <w:sz w:val="14"/>
        <w:szCs w:val="14"/>
        <w:rtl/>
      </w:rPr>
      <w:t>\קישורים\999_365.</w:t>
    </w:r>
    <w:r w:rsidR="00972C89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6FDB" w:rsidRDefault="00DA6FDB" w:rsidP="00972C89">
      <w:pPr>
        <w:spacing w:before="60"/>
        <w:ind w:right="1134"/>
      </w:pPr>
      <w:r>
        <w:separator/>
      </w:r>
    </w:p>
  </w:footnote>
  <w:footnote w:type="continuationSeparator" w:id="0">
    <w:p w:rsidR="00DA6FDB" w:rsidRDefault="00DA6FDB">
      <w:r>
        <w:continuationSeparator/>
      </w:r>
    </w:p>
  </w:footnote>
  <w:footnote w:id="1">
    <w:p w:rsidR="000B6EBC" w:rsidRDefault="000B6EBC" w:rsidP="000B6E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FF07A5">
        <w:rPr>
          <w:rFonts w:cs="FrankRuehl" w:hint="cs"/>
          <w:rtl/>
        </w:rPr>
        <w:t xml:space="preserve">פורסמו </w:t>
      </w:r>
      <w:hyperlink r:id="rId1" w:history="1">
        <w:r>
          <w:rPr>
            <w:rStyle w:val="Hyperlink"/>
            <w:rFonts w:cs="FrankRuehl" w:hint="cs"/>
            <w:rtl/>
          </w:rPr>
          <w:t>ק"ת תשס"ה מס' 6351</w:t>
        </w:r>
      </w:hyperlink>
      <w:r>
        <w:rPr>
          <w:rFonts w:cs="FrankRuehl" w:hint="cs"/>
          <w:rtl/>
        </w:rPr>
        <w:t xml:space="preserve"> מיום 2.12.2004 עמ' 183.</w:t>
      </w:r>
    </w:p>
    <w:p w:rsidR="00B8468C" w:rsidRDefault="00221D28" w:rsidP="00B846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B8468C">
          <w:rPr>
            <w:rStyle w:val="Hyperlink"/>
            <w:rFonts w:cs="FrankRuehl" w:hint="cs"/>
            <w:rtl/>
          </w:rPr>
          <w:t>ק"ת תשע"א מס' 7006</w:t>
        </w:r>
      </w:hyperlink>
      <w:r>
        <w:rPr>
          <w:rFonts w:cs="FrankRuehl" w:hint="cs"/>
          <w:rtl/>
        </w:rPr>
        <w:t xml:space="preserve"> מיום 16.6.2011 עמ' 1058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תשע"א-2011; תחילתן ביום 7.7.2011 ור' תקנה 3 לענין הוראת מעבר.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4F0A" w:rsidRDefault="00C14F0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C14F0A" w:rsidRDefault="00C14F0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14F0A" w:rsidRDefault="00C14F0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4F0A" w:rsidRDefault="00C14F0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מס הכנסה (פטור ממס לריבית המשתלמת על מילווה מדינה), תשס"ה-2004</w:t>
    </w:r>
  </w:p>
  <w:p w:rsidR="00C14F0A" w:rsidRDefault="00C14F0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14F0A" w:rsidRDefault="00C14F0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0307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6EBC"/>
    <w:rsid w:val="00060F83"/>
    <w:rsid w:val="000B6EBC"/>
    <w:rsid w:val="00143482"/>
    <w:rsid w:val="00161671"/>
    <w:rsid w:val="00221D28"/>
    <w:rsid w:val="00355C2E"/>
    <w:rsid w:val="003E7680"/>
    <w:rsid w:val="005B3C30"/>
    <w:rsid w:val="006E4C20"/>
    <w:rsid w:val="00795CB4"/>
    <w:rsid w:val="00972C89"/>
    <w:rsid w:val="00A42466"/>
    <w:rsid w:val="00B8468C"/>
    <w:rsid w:val="00C14F0A"/>
    <w:rsid w:val="00CB5673"/>
    <w:rsid w:val="00D47ABF"/>
    <w:rsid w:val="00DA6FDB"/>
    <w:rsid w:val="00E47815"/>
    <w:rsid w:val="00FF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79381E1-349A-4240-95D3-40146CFE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700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006.pdf" TargetMode="External"/><Relationship Id="rId1" Type="http://schemas.openxmlformats.org/officeDocument/2006/relationships/hyperlink" Target="http://www.nevo.co.il/Law_word/law06/tak-63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1836</CharactersWithSpaces>
  <SharedDoc>false</SharedDoc>
  <HLinks>
    <vt:vector size="42" baseType="variant">
      <vt:variant>
        <vt:i4>8257550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http://www.nevo.co.il/Law_word/law06/tak-7006.pdf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8257550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http://www.nevo.co.il/Law_word/law06/tak-7006.pdf</vt:lpwstr>
      </vt:variant>
      <vt:variant>
        <vt:lpwstr/>
      </vt:variant>
      <vt:variant>
        <vt:i4>7995402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מס הכנסה (פטור ממס לריבית המשתלמת על מילווה מדינה), תשס"ה-2004</vt:lpwstr>
  </property>
  <property fmtid="{D5CDD505-2E9C-101B-9397-08002B2CF9AE}" pid="4" name="LAWNUMBER">
    <vt:lpwstr>0365</vt:lpwstr>
  </property>
  <property fmtid="{D5CDD505-2E9C-101B-9397-08002B2CF9AE}" pid="5" name="TYPE">
    <vt:lpwstr>01</vt:lpwstr>
  </property>
  <property fmtid="{D5CDD505-2E9C-101B-9397-08002B2CF9AE}" pid="6" name="CHNAME">
    <vt:lpwstr>מסים</vt:lpwstr>
  </property>
  <property fmtid="{D5CDD505-2E9C-101B-9397-08002B2CF9AE}" pid="7" name="LINKK1">
    <vt:lpwstr>http://www.nevo.co.il/Law_word/law06/tak-6351.pdf;רשומות - תקנות כלליות#פורסמו ק"ת תשס"ה מס' 6351#מיום 2.12.2004#עמ' 183</vt:lpwstr>
  </property>
  <property fmtid="{D5CDD505-2E9C-101B-9397-08002B2CF9AE}" pid="8" name="LINKK2">
    <vt:lpwstr>http://www.nevo.co.il/Law_word/law06/tak-7006.pdf;‎רשומות - תקנות כלליות#תוקנו ק"ת תשע"א ‏מס' 7006 #מיום 16.6.2011 עמ' 1058 – תק' תשע"א-2011; תחילתן ביום 7.7.2011 ור' תקנה 3 לענין הוראת מעבר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NOSE11">
    <vt:lpwstr>מסים</vt:lpwstr>
  </property>
  <property fmtid="{D5CDD505-2E9C-101B-9397-08002B2CF9AE}" pid="18" name="NOSE21">
    <vt:lpwstr>מס הכנסה</vt:lpwstr>
  </property>
  <property fmtid="{D5CDD505-2E9C-101B-9397-08002B2CF9AE}" pid="19" name="NOSE31">
    <vt:lpwstr>פטור ממס: ריבית והצ'</vt:lpwstr>
  </property>
  <property fmtid="{D5CDD505-2E9C-101B-9397-08002B2CF9AE}" pid="20" name="NOSE41">
    <vt:lpwstr>מילווה</vt:lpwstr>
  </property>
  <property fmtid="{D5CDD505-2E9C-101B-9397-08002B2CF9AE}" pid="21" name="NOSE12">
    <vt:lpwstr>משפט פרטי וכלכלה</vt:lpwstr>
  </property>
  <property fmtid="{D5CDD505-2E9C-101B-9397-08002B2CF9AE}" pid="22" name="NOSE22">
    <vt:lpwstr>כספים</vt:lpwstr>
  </property>
  <property fmtid="{D5CDD505-2E9C-101B-9397-08002B2CF9AE}" pid="23" name="NOSE32">
    <vt:lpwstr>ריבית</vt:lpwstr>
  </property>
  <property fmtid="{D5CDD505-2E9C-101B-9397-08002B2CF9AE}" pid="24" name="NOSE42">
    <vt:lpwstr>מיסוי ופטור ממס</vt:lpwstr>
  </property>
  <property fmtid="{D5CDD505-2E9C-101B-9397-08002B2CF9AE}" pid="25" name="NOSE13">
    <vt:lpwstr>משפט פרטי וכלכלה</vt:lpwstr>
  </property>
  <property fmtid="{D5CDD505-2E9C-101B-9397-08002B2CF9AE}" pid="26" name="NOSE23">
    <vt:lpwstr>כספים</vt:lpwstr>
  </property>
  <property fmtid="{D5CDD505-2E9C-101B-9397-08002B2CF9AE}" pid="27" name="NOSE33">
    <vt:lpwstr>מילווים</vt:lpwstr>
  </property>
  <property fmtid="{D5CDD505-2E9C-101B-9397-08002B2CF9AE}" pid="28" name="NOSE43">
    <vt:lpwstr/>
  </property>
  <property fmtid="{D5CDD505-2E9C-101B-9397-08002B2CF9AE}" pid="29" name="NOSE14">
    <vt:lpwstr>מסים</vt:lpwstr>
  </property>
  <property fmtid="{D5CDD505-2E9C-101B-9397-08002B2CF9AE}" pid="30" name="NOSE24">
    <vt:lpwstr>מילווים</vt:lpwstr>
  </property>
  <property fmtid="{D5CDD505-2E9C-101B-9397-08002B2CF9AE}" pid="31" name="NOSE34">
    <vt:lpwstr>מילווה מדינה</vt:lpwstr>
  </property>
  <property fmtid="{D5CDD505-2E9C-101B-9397-08002B2CF9AE}" pid="32" name="NOSE44">
    <vt:lpwstr/>
  </property>
  <property fmtid="{D5CDD505-2E9C-101B-9397-08002B2CF9AE}" pid="33" name="NOSE15">
    <vt:lpwstr/>
  </property>
  <property fmtid="{D5CDD505-2E9C-101B-9397-08002B2CF9AE}" pid="34" name="NOSE25">
    <vt:lpwstr/>
  </property>
  <property fmtid="{D5CDD505-2E9C-101B-9397-08002B2CF9AE}" pid="35" name="NOSE35">
    <vt:lpwstr/>
  </property>
  <property fmtid="{D5CDD505-2E9C-101B-9397-08002B2CF9AE}" pid="36" name="NOSE45">
    <vt:lpwstr/>
  </property>
  <property fmtid="{D5CDD505-2E9C-101B-9397-08002B2CF9AE}" pid="37" name="NOSE16">
    <vt:lpwstr/>
  </property>
  <property fmtid="{D5CDD505-2E9C-101B-9397-08002B2CF9AE}" pid="38" name="NOSE26">
    <vt:lpwstr/>
  </property>
  <property fmtid="{D5CDD505-2E9C-101B-9397-08002B2CF9AE}" pid="39" name="NOSE36">
    <vt:lpwstr/>
  </property>
  <property fmtid="{D5CDD505-2E9C-101B-9397-08002B2CF9AE}" pid="40" name="NOSE46">
    <vt:lpwstr/>
  </property>
  <property fmtid="{D5CDD505-2E9C-101B-9397-08002B2CF9AE}" pid="41" name="NOSE17">
    <vt:lpwstr/>
  </property>
  <property fmtid="{D5CDD505-2E9C-101B-9397-08002B2CF9AE}" pid="42" name="NOSE27">
    <vt:lpwstr/>
  </property>
  <property fmtid="{D5CDD505-2E9C-101B-9397-08002B2CF9AE}" pid="43" name="NOSE37">
    <vt:lpwstr/>
  </property>
  <property fmtid="{D5CDD505-2E9C-101B-9397-08002B2CF9AE}" pid="44" name="NOSE47">
    <vt:lpwstr/>
  </property>
  <property fmtid="{D5CDD505-2E9C-101B-9397-08002B2CF9AE}" pid="45" name="NOSE18">
    <vt:lpwstr/>
  </property>
  <property fmtid="{D5CDD505-2E9C-101B-9397-08002B2CF9AE}" pid="46" name="NOSE28">
    <vt:lpwstr/>
  </property>
  <property fmtid="{D5CDD505-2E9C-101B-9397-08002B2CF9AE}" pid="47" name="NOSE38">
    <vt:lpwstr/>
  </property>
  <property fmtid="{D5CDD505-2E9C-101B-9397-08002B2CF9AE}" pid="48" name="NOSE48">
    <vt:lpwstr/>
  </property>
  <property fmtid="{D5CDD505-2E9C-101B-9397-08002B2CF9AE}" pid="49" name="NOSE19">
    <vt:lpwstr/>
  </property>
  <property fmtid="{D5CDD505-2E9C-101B-9397-08002B2CF9AE}" pid="50" name="NOSE29">
    <vt:lpwstr/>
  </property>
  <property fmtid="{D5CDD505-2E9C-101B-9397-08002B2CF9AE}" pid="51" name="NOSE39">
    <vt:lpwstr/>
  </property>
  <property fmtid="{D5CDD505-2E9C-101B-9397-08002B2CF9AE}" pid="52" name="NOSE49">
    <vt:lpwstr/>
  </property>
  <property fmtid="{D5CDD505-2E9C-101B-9397-08002B2CF9AE}" pid="53" name="NOSE110">
    <vt:lpwstr/>
  </property>
  <property fmtid="{D5CDD505-2E9C-101B-9397-08002B2CF9AE}" pid="54" name="NOSE210">
    <vt:lpwstr/>
  </property>
  <property fmtid="{D5CDD505-2E9C-101B-9397-08002B2CF9AE}" pid="55" name="NOSE310">
    <vt:lpwstr/>
  </property>
  <property fmtid="{D5CDD505-2E9C-101B-9397-08002B2CF9AE}" pid="56" name="NOSE410">
    <vt:lpwstr/>
  </property>
  <property fmtid="{D5CDD505-2E9C-101B-9397-08002B2CF9AE}" pid="57" name="MEKOR_NAME1">
    <vt:lpwstr>פקודת מס הכנסה </vt:lpwstr>
  </property>
  <property fmtid="{D5CDD505-2E9C-101B-9397-08002B2CF9AE}" pid="58" name="MEKOR_SAIF1">
    <vt:lpwstr>15X;243X</vt:lpwstr>
  </property>
  <property fmtid="{D5CDD505-2E9C-101B-9397-08002B2CF9AE}" pid="59" name="MEKORSAMCHUT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