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128" w:rsidRDefault="003A5128">
      <w:pPr>
        <w:pStyle w:val="big-header"/>
        <w:ind w:left="0" w:right="1134"/>
        <w:rPr>
          <w:rFonts w:hint="cs"/>
          <w:rtl/>
        </w:rPr>
      </w:pPr>
      <w:r>
        <w:rPr>
          <w:rFonts w:hint="cs"/>
          <w:rtl/>
        </w:rPr>
        <w:t>תקנות מס הכנסה (קביעת אגרה בעד בקשת אישור העברת נכסים והחלפת מניות), תשס"ג-2003</w:t>
      </w:r>
    </w:p>
    <w:p w:rsidR="003A5128" w:rsidRDefault="003A5128">
      <w:pPr>
        <w:pStyle w:val="big-header"/>
        <w:ind w:left="0" w:right="1134"/>
        <w:rPr>
          <w:color w:val="008000"/>
        </w:rPr>
      </w:pPr>
      <w:r>
        <w:rPr>
          <w:rFonts w:hint="cs"/>
          <w:color w:val="008000"/>
          <w:rtl/>
        </w:rPr>
        <w:t>רבדים בחקיקה</w:t>
      </w:r>
    </w:p>
    <w:p w:rsidR="005E2F97" w:rsidRDefault="005E2F97" w:rsidP="005E2F97">
      <w:pPr>
        <w:spacing w:line="320" w:lineRule="auto"/>
        <w:jc w:val="left"/>
        <w:rPr>
          <w:rStyle w:val="default"/>
          <w:sz w:val="22"/>
          <w:szCs w:val="22"/>
          <w:rtl/>
        </w:rPr>
      </w:pPr>
    </w:p>
    <w:p w:rsidR="005E2F97" w:rsidRDefault="005E2F97" w:rsidP="005E2F97">
      <w:pPr>
        <w:spacing w:line="320" w:lineRule="auto"/>
        <w:jc w:val="left"/>
        <w:rPr>
          <w:rStyle w:val="default"/>
          <w:rFonts w:cs="FrankRuehl"/>
          <w:sz w:val="22"/>
          <w:rtl/>
        </w:rPr>
      </w:pPr>
      <w:r w:rsidRPr="005E2F97">
        <w:rPr>
          <w:rStyle w:val="default"/>
          <w:rFonts w:cs="Miriam"/>
          <w:sz w:val="22"/>
          <w:szCs w:val="22"/>
          <w:rtl/>
        </w:rPr>
        <w:t>מסים</w:t>
      </w:r>
      <w:r w:rsidRPr="005E2F97">
        <w:rPr>
          <w:rStyle w:val="default"/>
          <w:rFonts w:cs="FrankRuehl"/>
          <w:sz w:val="22"/>
          <w:rtl/>
        </w:rPr>
        <w:t xml:space="preserve"> – מס הכנסה – קביעות וכללים</w:t>
      </w:r>
    </w:p>
    <w:p w:rsidR="005E2F97" w:rsidRPr="005E2F97" w:rsidRDefault="005E2F97" w:rsidP="005E2F97">
      <w:pPr>
        <w:spacing w:line="320" w:lineRule="auto"/>
        <w:jc w:val="left"/>
        <w:rPr>
          <w:rStyle w:val="default"/>
          <w:rFonts w:cs="Miriam"/>
          <w:sz w:val="22"/>
          <w:szCs w:val="22"/>
          <w:rtl/>
        </w:rPr>
      </w:pPr>
      <w:r w:rsidRPr="005E2F97">
        <w:rPr>
          <w:rStyle w:val="default"/>
          <w:rFonts w:cs="Miriam"/>
          <w:sz w:val="22"/>
          <w:szCs w:val="22"/>
          <w:rtl/>
        </w:rPr>
        <w:t>מסים</w:t>
      </w:r>
      <w:r w:rsidRPr="005E2F97">
        <w:rPr>
          <w:rStyle w:val="default"/>
          <w:rFonts w:cs="FrankRuehl"/>
          <w:sz w:val="22"/>
          <w:rtl/>
        </w:rPr>
        <w:t xml:space="preserve"> – מס הכנסה – אגרה</w:t>
      </w:r>
    </w:p>
    <w:p w:rsidR="003A5128" w:rsidRDefault="003A5128">
      <w:pPr>
        <w:pStyle w:val="big-header"/>
        <w:ind w:left="0" w:right="1134"/>
        <w:rPr>
          <w:rFonts w:hint="cs"/>
          <w:sz w:val="32"/>
          <w:rtl/>
        </w:rPr>
      </w:pPr>
      <w:r>
        <w:rPr>
          <w:rFonts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A5128">
        <w:tblPrEx>
          <w:tblCellMar>
            <w:top w:w="0" w:type="dxa"/>
            <w:bottom w:w="0" w:type="dxa"/>
          </w:tblCellMar>
        </w:tblPrEx>
        <w:trPr>
          <w:jc w:val="right"/>
        </w:trPr>
        <w:tc>
          <w:tcPr>
            <w:tcW w:w="850" w:type="dxa"/>
          </w:tcPr>
          <w:p w:rsidR="003A5128" w:rsidRDefault="003A5128">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5128" w:rsidRDefault="003A5128">
            <w:pPr>
              <w:spacing w:line="240" w:lineRule="auto"/>
              <w:jc w:val="left"/>
              <w:rPr>
                <w:rFonts w:hint="cs"/>
                <w:sz w:val="24"/>
              </w:rPr>
            </w:pPr>
            <w:hyperlink w:anchor="Seif0" w:tooltip="קביעת האגרה הודעה תשסז 2006" w:history="1">
              <w:r>
                <w:rPr>
                  <w:rStyle w:val="Hyperlink"/>
                </w:rPr>
                <w:t>Go</w:t>
              </w:r>
            </w:hyperlink>
          </w:p>
        </w:tc>
        <w:tc>
          <w:tcPr>
            <w:tcW w:w="5669" w:type="dxa"/>
          </w:tcPr>
          <w:p w:rsidR="003A5128" w:rsidRDefault="003A5128">
            <w:pPr>
              <w:spacing w:line="240" w:lineRule="auto"/>
              <w:jc w:val="left"/>
              <w:rPr>
                <w:rFonts w:hint="cs"/>
                <w:sz w:val="24"/>
                <w:rtl/>
              </w:rPr>
            </w:pPr>
            <w:r>
              <w:rPr>
                <w:sz w:val="24"/>
                <w:rtl/>
              </w:rPr>
              <w:t>קביעת האגרה</w:t>
            </w:r>
          </w:p>
        </w:tc>
        <w:tc>
          <w:tcPr>
            <w:tcW w:w="1247" w:type="dxa"/>
          </w:tcPr>
          <w:p w:rsidR="003A5128" w:rsidRDefault="003A5128">
            <w:pPr>
              <w:spacing w:line="240" w:lineRule="auto"/>
              <w:jc w:val="left"/>
              <w:rPr>
                <w:rFonts w:hint="cs"/>
                <w:sz w:val="24"/>
              </w:rPr>
            </w:pPr>
            <w:r>
              <w:rPr>
                <w:sz w:val="24"/>
                <w:rtl/>
              </w:rPr>
              <w:t xml:space="preserve">סעיף 1 </w:t>
            </w:r>
          </w:p>
        </w:tc>
      </w:tr>
      <w:tr w:rsidR="003A5128">
        <w:tblPrEx>
          <w:tblCellMar>
            <w:top w:w="0" w:type="dxa"/>
            <w:bottom w:w="0" w:type="dxa"/>
          </w:tblCellMar>
        </w:tblPrEx>
        <w:trPr>
          <w:jc w:val="right"/>
        </w:trPr>
        <w:tc>
          <w:tcPr>
            <w:tcW w:w="850" w:type="dxa"/>
          </w:tcPr>
          <w:p w:rsidR="003A5128" w:rsidRDefault="003A5128">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A5128" w:rsidRDefault="003A5128">
            <w:pPr>
              <w:spacing w:line="240" w:lineRule="auto"/>
              <w:jc w:val="left"/>
              <w:rPr>
                <w:rFonts w:hint="cs"/>
                <w:sz w:val="24"/>
              </w:rPr>
            </w:pPr>
            <w:hyperlink w:anchor="Seif1" w:tooltip="תיאום סכום האגרה" w:history="1">
              <w:r>
                <w:rPr>
                  <w:rStyle w:val="Hyperlink"/>
                </w:rPr>
                <w:t>Go</w:t>
              </w:r>
            </w:hyperlink>
          </w:p>
        </w:tc>
        <w:tc>
          <w:tcPr>
            <w:tcW w:w="5669" w:type="dxa"/>
          </w:tcPr>
          <w:p w:rsidR="003A5128" w:rsidRDefault="003A5128">
            <w:pPr>
              <w:spacing w:line="240" w:lineRule="auto"/>
              <w:jc w:val="left"/>
              <w:rPr>
                <w:sz w:val="24"/>
                <w:rtl/>
              </w:rPr>
            </w:pPr>
            <w:r>
              <w:rPr>
                <w:sz w:val="24"/>
                <w:rtl/>
              </w:rPr>
              <w:t>תיאום סכום האגרה</w:t>
            </w:r>
          </w:p>
        </w:tc>
        <w:tc>
          <w:tcPr>
            <w:tcW w:w="1247" w:type="dxa"/>
          </w:tcPr>
          <w:p w:rsidR="003A5128" w:rsidRDefault="003A5128">
            <w:pPr>
              <w:spacing w:line="240" w:lineRule="auto"/>
              <w:jc w:val="left"/>
              <w:rPr>
                <w:rFonts w:hint="cs"/>
                <w:sz w:val="24"/>
              </w:rPr>
            </w:pPr>
            <w:r>
              <w:rPr>
                <w:sz w:val="24"/>
                <w:rtl/>
              </w:rPr>
              <w:t xml:space="preserve">סעיף 2 </w:t>
            </w:r>
          </w:p>
        </w:tc>
      </w:tr>
    </w:tbl>
    <w:p w:rsidR="003A5128" w:rsidRDefault="003A5128">
      <w:pPr>
        <w:pStyle w:val="big-header"/>
        <w:ind w:left="0" w:right="1134"/>
        <w:rPr>
          <w:rFonts w:hint="cs"/>
          <w:sz w:val="32"/>
          <w:rtl/>
        </w:rPr>
      </w:pPr>
    </w:p>
    <w:p w:rsidR="003A5128" w:rsidRDefault="003A5128" w:rsidP="005E2F97">
      <w:pPr>
        <w:pStyle w:val="big-header"/>
        <w:ind w:left="0" w:right="1134"/>
        <w:rPr>
          <w:rStyle w:val="default"/>
          <w:rFonts w:hint="cs"/>
          <w:sz w:val="22"/>
          <w:szCs w:val="22"/>
          <w:rtl/>
        </w:rPr>
      </w:pPr>
      <w:r>
        <w:rPr>
          <w:sz w:val="32"/>
          <w:rtl/>
        </w:rPr>
        <w:br w:type="page"/>
      </w:r>
      <w:r>
        <w:rPr>
          <w:rFonts w:hint="cs"/>
          <w:rtl/>
        </w:rPr>
        <w:lastRenderedPageBreak/>
        <w:t>תקנות מס הכנסה (קביעת אגרה בעד בקשת אישור העברת נכסים והחלפת מניות), תשס"ג-2003</w:t>
      </w:r>
      <w:r>
        <w:rPr>
          <w:rStyle w:val="default"/>
          <w:sz w:val="22"/>
          <w:szCs w:val="22"/>
          <w:rtl/>
        </w:rPr>
        <w:footnoteReference w:customMarkFollows="1" w:id="1"/>
        <w:t>*</w:t>
      </w:r>
    </w:p>
    <w:p w:rsidR="003A5128" w:rsidRDefault="003A5128">
      <w:pPr>
        <w:pStyle w:val="P00"/>
        <w:spacing w:before="72"/>
        <w:ind w:left="0" w:right="1134"/>
        <w:rPr>
          <w:rStyle w:val="default"/>
          <w:rFonts w:cs="FrankRuehl" w:hint="cs"/>
          <w:rtl/>
        </w:rPr>
      </w:pPr>
      <w:r>
        <w:rPr>
          <w:rStyle w:val="default"/>
          <w:rFonts w:cs="FrankRuehl"/>
          <w:rtl/>
        </w:rPr>
        <w:tab/>
        <w:t>ב</w:t>
      </w:r>
      <w:r>
        <w:rPr>
          <w:rStyle w:val="default"/>
          <w:rFonts w:cs="FrankRuehl" w:hint="cs"/>
          <w:rtl/>
        </w:rPr>
        <w:t xml:space="preserve">תוקף סמכותי לפי סעיף 104ז(ד) לפקודת מס הכנסה (להלן </w:t>
      </w:r>
      <w:r>
        <w:rPr>
          <w:rStyle w:val="default"/>
          <w:rFonts w:cs="FrankRuehl"/>
          <w:rtl/>
        </w:rPr>
        <w:t>–</w:t>
      </w:r>
      <w:r>
        <w:rPr>
          <w:rStyle w:val="default"/>
          <w:rFonts w:cs="FrankRuehl" w:hint="cs"/>
          <w:rtl/>
        </w:rPr>
        <w:t xml:space="preserve"> הפקודה), ובאישור ועדת הכספים של הכנסת לפי סעיף 1(ב) לחוק-יסוד: משק המדינה, אני מתקין תקנות אלה:</w:t>
      </w:r>
    </w:p>
    <w:p w:rsidR="003A5128" w:rsidRDefault="003A5128" w:rsidP="001569BB">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70.25pt;margin-top:8.05pt;width:69.3pt;height:17.6pt;z-index:251657216" o:allowincell="f" filled="f" stroked="f" strokecolor="lime" strokeweight=".25pt">
            <v:textbox inset="0,0,0,0">
              <w:txbxContent>
                <w:p w:rsidR="003A5128" w:rsidRDefault="003A5128">
                  <w:pPr>
                    <w:spacing w:line="160" w:lineRule="exact"/>
                    <w:jc w:val="left"/>
                    <w:rPr>
                      <w:rFonts w:cs="Miriam" w:hint="cs"/>
                      <w:szCs w:val="18"/>
                      <w:rtl/>
                    </w:rPr>
                  </w:pPr>
                  <w:r>
                    <w:rPr>
                      <w:rFonts w:cs="Miriam" w:hint="cs"/>
                      <w:szCs w:val="18"/>
                      <w:rtl/>
                    </w:rPr>
                    <w:t>קביעת האגרה</w:t>
                  </w:r>
                </w:p>
                <w:p w:rsidR="008E1730" w:rsidRDefault="008E1730" w:rsidP="001569BB">
                  <w:pPr>
                    <w:spacing w:line="160" w:lineRule="exact"/>
                    <w:jc w:val="left"/>
                    <w:rPr>
                      <w:rFonts w:cs="Miriam" w:hint="cs"/>
                      <w:noProof/>
                      <w:szCs w:val="18"/>
                      <w:rtl/>
                    </w:rPr>
                  </w:pPr>
                  <w:r>
                    <w:rPr>
                      <w:rFonts w:cs="Miriam" w:hint="cs"/>
                      <w:szCs w:val="18"/>
                      <w:rtl/>
                    </w:rPr>
                    <w:t xml:space="preserve">הודעה </w:t>
                  </w:r>
                  <w:r w:rsidR="001569BB">
                    <w:rPr>
                      <w:rFonts w:cs="Miriam" w:hint="cs"/>
                      <w:szCs w:val="18"/>
                      <w:rtl/>
                    </w:rPr>
                    <w:t>תש"ע-2009</w:t>
                  </w:r>
                </w:p>
              </w:txbxContent>
            </v:textbox>
            <w10:anchorlock/>
          </v:rect>
        </w:pict>
      </w:r>
      <w:r>
        <w:rPr>
          <w:rStyle w:val="big-number"/>
          <w:rtl/>
        </w:rPr>
        <w:t>1.</w:t>
      </w:r>
      <w:r>
        <w:rPr>
          <w:rStyle w:val="big-number"/>
          <w:rtl/>
        </w:rPr>
        <w:tab/>
      </w:r>
      <w:r>
        <w:rPr>
          <w:rStyle w:val="default"/>
          <w:rFonts w:cs="FrankRuehl" w:hint="cs"/>
          <w:rtl/>
        </w:rPr>
        <w:t>(א)</w:t>
      </w:r>
      <w:r>
        <w:rPr>
          <w:rStyle w:val="default"/>
          <w:rFonts w:cs="FrankRuehl" w:hint="cs"/>
          <w:rtl/>
        </w:rPr>
        <w:tab/>
        <w:t xml:space="preserve">אגרת בקשה לאישור הנציב לפי סעיף 104ז(ד) לפקודה (להלן </w:t>
      </w:r>
      <w:r>
        <w:rPr>
          <w:rStyle w:val="default"/>
          <w:rFonts w:cs="FrankRuehl"/>
          <w:rtl/>
        </w:rPr>
        <w:t>–</w:t>
      </w:r>
      <w:r>
        <w:rPr>
          <w:rStyle w:val="default"/>
          <w:rFonts w:cs="FrankRuehl" w:hint="cs"/>
          <w:rtl/>
        </w:rPr>
        <w:t xml:space="preserve"> אגרת בקשה), תהיה בסך </w:t>
      </w:r>
      <w:r w:rsidR="00B644EA">
        <w:rPr>
          <w:rStyle w:val="default"/>
          <w:rFonts w:cs="FrankRuehl" w:hint="cs"/>
          <w:rtl/>
        </w:rPr>
        <w:t>9,</w:t>
      </w:r>
      <w:r w:rsidR="001569BB">
        <w:rPr>
          <w:rStyle w:val="default"/>
          <w:rFonts w:cs="FrankRuehl" w:hint="cs"/>
          <w:rtl/>
        </w:rPr>
        <w:t>690</w:t>
      </w:r>
      <w:r>
        <w:rPr>
          <w:rStyle w:val="default"/>
          <w:rFonts w:cs="FrankRuehl" w:hint="cs"/>
          <w:rtl/>
        </w:rPr>
        <w:t xml:space="preserve"> שקלים חדשים.</w:t>
      </w:r>
    </w:p>
    <w:p w:rsidR="003A5128" w:rsidRDefault="003A5128" w:rsidP="001569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אגרת בקשה להחלפת מניות כאמור בסעיף 104ח, תהיה בסך </w:t>
      </w:r>
      <w:r w:rsidR="001569BB">
        <w:rPr>
          <w:rStyle w:val="default"/>
          <w:rFonts w:cs="FrankRuehl" w:hint="cs"/>
          <w:rtl/>
        </w:rPr>
        <w:t>19,420</w:t>
      </w:r>
      <w:r>
        <w:rPr>
          <w:rStyle w:val="default"/>
          <w:rFonts w:cs="FrankRuehl" w:hint="cs"/>
          <w:rtl/>
        </w:rPr>
        <w:t xml:space="preserve"> שקלים חדשים.</w:t>
      </w:r>
    </w:p>
    <w:p w:rsidR="003A5128" w:rsidRPr="001569BB" w:rsidRDefault="003A5128">
      <w:pPr>
        <w:pStyle w:val="P00"/>
        <w:spacing w:before="0"/>
        <w:ind w:left="0" w:right="1134"/>
        <w:rPr>
          <w:rStyle w:val="default"/>
          <w:rFonts w:cs="FrankRuehl" w:hint="cs"/>
          <w:vanish/>
          <w:color w:val="FF0000"/>
          <w:szCs w:val="20"/>
          <w:shd w:val="clear" w:color="auto" w:fill="FFFF99"/>
          <w:rtl/>
        </w:rPr>
      </w:pPr>
      <w:bookmarkStart w:id="1" w:name="Rov3"/>
      <w:r w:rsidRPr="001569BB">
        <w:rPr>
          <w:rStyle w:val="default"/>
          <w:rFonts w:cs="FrankRuehl" w:hint="cs"/>
          <w:vanish/>
          <w:color w:val="FF0000"/>
          <w:szCs w:val="20"/>
          <w:shd w:val="clear" w:color="auto" w:fill="FFFF99"/>
          <w:rtl/>
        </w:rPr>
        <w:t>מיום 1.1.2007</w:t>
      </w:r>
    </w:p>
    <w:p w:rsidR="003A5128" w:rsidRPr="001569BB" w:rsidRDefault="003A5128">
      <w:pPr>
        <w:pStyle w:val="P00"/>
        <w:spacing w:before="0"/>
        <w:ind w:left="0" w:right="1134"/>
        <w:rPr>
          <w:rStyle w:val="default"/>
          <w:rFonts w:cs="FrankRuehl" w:hint="cs"/>
          <w:vanish/>
          <w:szCs w:val="20"/>
          <w:shd w:val="clear" w:color="auto" w:fill="FFFF99"/>
          <w:rtl/>
        </w:rPr>
      </w:pPr>
      <w:r w:rsidRPr="001569BB">
        <w:rPr>
          <w:rStyle w:val="default"/>
          <w:rFonts w:cs="FrankRuehl" w:hint="cs"/>
          <w:b/>
          <w:bCs/>
          <w:vanish/>
          <w:szCs w:val="20"/>
          <w:shd w:val="clear" w:color="auto" w:fill="FFFF99"/>
          <w:rtl/>
        </w:rPr>
        <w:t>הודעה תשס"ז-2006</w:t>
      </w:r>
    </w:p>
    <w:p w:rsidR="003A5128" w:rsidRPr="001569BB" w:rsidRDefault="003A5128">
      <w:pPr>
        <w:pStyle w:val="P00"/>
        <w:spacing w:before="0"/>
        <w:ind w:left="0" w:right="1134"/>
        <w:rPr>
          <w:rStyle w:val="default"/>
          <w:rFonts w:cs="FrankRuehl" w:hint="cs"/>
          <w:vanish/>
          <w:szCs w:val="20"/>
          <w:shd w:val="clear" w:color="auto" w:fill="FFFF99"/>
          <w:rtl/>
        </w:rPr>
      </w:pPr>
      <w:hyperlink r:id="rId6" w:history="1">
        <w:r w:rsidRPr="001569BB">
          <w:rPr>
            <w:rStyle w:val="Hyperlink"/>
            <w:rFonts w:hint="cs"/>
            <w:vanish/>
            <w:szCs w:val="20"/>
            <w:shd w:val="clear" w:color="auto" w:fill="FFFF99"/>
            <w:rtl/>
          </w:rPr>
          <w:t>ק"ת תשס"ז מס' 6544</w:t>
        </w:r>
      </w:hyperlink>
      <w:r w:rsidRPr="001569BB">
        <w:rPr>
          <w:rStyle w:val="default"/>
          <w:rFonts w:cs="FrankRuehl" w:hint="cs"/>
          <w:vanish/>
          <w:szCs w:val="20"/>
          <w:shd w:val="clear" w:color="auto" w:fill="FFFF99"/>
          <w:rtl/>
        </w:rPr>
        <w:t xml:space="preserve"> מיום 12.12.2006 עמ' 378</w:t>
      </w:r>
    </w:p>
    <w:p w:rsidR="003A5128" w:rsidRPr="001569BB" w:rsidRDefault="003A5128">
      <w:pPr>
        <w:pStyle w:val="P00"/>
        <w:ind w:left="0" w:right="1134"/>
        <w:rPr>
          <w:rStyle w:val="default"/>
          <w:rFonts w:cs="FrankRuehl" w:hint="cs"/>
          <w:vanish/>
          <w:sz w:val="22"/>
          <w:szCs w:val="22"/>
          <w:shd w:val="clear" w:color="auto" w:fill="FFFF99"/>
          <w:rtl/>
        </w:rPr>
      </w:pPr>
      <w:r w:rsidRPr="001569BB">
        <w:rPr>
          <w:rStyle w:val="big-number"/>
          <w:rFonts w:cs="FrankRuehl"/>
          <w:vanish/>
          <w:sz w:val="22"/>
          <w:szCs w:val="22"/>
          <w:shd w:val="clear" w:color="auto" w:fill="FFFF99"/>
          <w:rtl/>
        </w:rPr>
        <w:t>1.</w:t>
      </w:r>
      <w:r w:rsidRPr="001569BB">
        <w:rPr>
          <w:rStyle w:val="big-number"/>
          <w:rFonts w:cs="FrankRuehl"/>
          <w:vanish/>
          <w:sz w:val="22"/>
          <w:szCs w:val="22"/>
          <w:shd w:val="clear" w:color="auto" w:fill="FFFF99"/>
          <w:rtl/>
        </w:rPr>
        <w:tab/>
      </w:r>
      <w:r w:rsidRPr="001569BB">
        <w:rPr>
          <w:rStyle w:val="default"/>
          <w:rFonts w:cs="FrankRuehl" w:hint="cs"/>
          <w:vanish/>
          <w:sz w:val="22"/>
          <w:szCs w:val="22"/>
          <w:shd w:val="clear" w:color="auto" w:fill="FFFF99"/>
          <w:rtl/>
        </w:rPr>
        <w:t>(א)</w:t>
      </w:r>
      <w:r w:rsidRPr="001569BB">
        <w:rPr>
          <w:rStyle w:val="default"/>
          <w:rFonts w:cs="FrankRuehl" w:hint="cs"/>
          <w:vanish/>
          <w:sz w:val="22"/>
          <w:szCs w:val="22"/>
          <w:shd w:val="clear" w:color="auto" w:fill="FFFF99"/>
          <w:rtl/>
        </w:rPr>
        <w:tab/>
        <w:t xml:space="preserve">אגרת בקשה לאישור הנציב לפי סעיף 104ז(ד) לפקודה (להלן </w:t>
      </w:r>
      <w:r w:rsidRPr="001569BB">
        <w:rPr>
          <w:rStyle w:val="default"/>
          <w:rFonts w:cs="FrankRuehl"/>
          <w:vanish/>
          <w:sz w:val="22"/>
          <w:szCs w:val="22"/>
          <w:shd w:val="clear" w:color="auto" w:fill="FFFF99"/>
          <w:rtl/>
        </w:rPr>
        <w:t>–</w:t>
      </w:r>
      <w:r w:rsidRPr="001569BB">
        <w:rPr>
          <w:rStyle w:val="default"/>
          <w:rFonts w:cs="FrankRuehl" w:hint="cs"/>
          <w:vanish/>
          <w:sz w:val="22"/>
          <w:szCs w:val="22"/>
          <w:shd w:val="clear" w:color="auto" w:fill="FFFF99"/>
          <w:rtl/>
        </w:rPr>
        <w:t xml:space="preserve"> אגרת בקשה), תהיה בסך </w:t>
      </w:r>
      <w:r w:rsidRPr="001569BB">
        <w:rPr>
          <w:rStyle w:val="default"/>
          <w:rFonts w:cs="FrankRuehl" w:hint="cs"/>
          <w:strike/>
          <w:vanish/>
          <w:sz w:val="22"/>
          <w:szCs w:val="22"/>
          <w:shd w:val="clear" w:color="auto" w:fill="FFFF99"/>
          <w:rtl/>
        </w:rPr>
        <w:t>8,790</w:t>
      </w:r>
      <w:r w:rsidRPr="001569BB">
        <w:rPr>
          <w:rStyle w:val="default"/>
          <w:rFonts w:cs="FrankRuehl" w:hint="cs"/>
          <w:vanish/>
          <w:sz w:val="22"/>
          <w:szCs w:val="22"/>
          <w:shd w:val="clear" w:color="auto" w:fill="FFFF99"/>
          <w:rtl/>
        </w:rPr>
        <w:t xml:space="preserve"> </w:t>
      </w:r>
      <w:r w:rsidRPr="001569BB">
        <w:rPr>
          <w:rStyle w:val="default"/>
          <w:rFonts w:cs="FrankRuehl" w:hint="cs"/>
          <w:vanish/>
          <w:sz w:val="22"/>
          <w:szCs w:val="22"/>
          <w:u w:val="single"/>
          <w:shd w:val="clear" w:color="auto" w:fill="FFFF99"/>
          <w:rtl/>
        </w:rPr>
        <w:t>9,110</w:t>
      </w:r>
      <w:r w:rsidRPr="001569BB">
        <w:rPr>
          <w:rStyle w:val="default"/>
          <w:rFonts w:cs="FrankRuehl" w:hint="cs"/>
          <w:vanish/>
          <w:sz w:val="22"/>
          <w:szCs w:val="22"/>
          <w:shd w:val="clear" w:color="auto" w:fill="FFFF99"/>
          <w:rtl/>
        </w:rPr>
        <w:t xml:space="preserve"> שקלים חדשים.</w:t>
      </w:r>
    </w:p>
    <w:p w:rsidR="003A5128" w:rsidRPr="001569BB" w:rsidRDefault="003A5128">
      <w:pPr>
        <w:pStyle w:val="P00"/>
        <w:spacing w:before="0"/>
        <w:ind w:left="0" w:right="1134"/>
        <w:rPr>
          <w:rStyle w:val="default"/>
          <w:rFonts w:cs="FrankRuehl" w:hint="cs"/>
          <w:vanish/>
          <w:sz w:val="22"/>
          <w:szCs w:val="22"/>
          <w:shd w:val="clear" w:color="auto" w:fill="FFFF99"/>
          <w:rtl/>
        </w:rPr>
      </w:pPr>
      <w:r w:rsidRPr="001569BB">
        <w:rPr>
          <w:rStyle w:val="default"/>
          <w:rFonts w:cs="FrankRuehl" w:hint="cs"/>
          <w:vanish/>
          <w:sz w:val="22"/>
          <w:szCs w:val="22"/>
          <w:shd w:val="clear" w:color="auto" w:fill="FFFF99"/>
          <w:rtl/>
        </w:rPr>
        <w:tab/>
        <w:t>(ב)</w:t>
      </w:r>
      <w:r w:rsidRPr="001569BB">
        <w:rPr>
          <w:rStyle w:val="default"/>
          <w:rFonts w:cs="FrankRuehl" w:hint="cs"/>
          <w:vanish/>
          <w:sz w:val="22"/>
          <w:szCs w:val="22"/>
          <w:shd w:val="clear" w:color="auto" w:fill="FFFF99"/>
          <w:rtl/>
        </w:rPr>
        <w:tab/>
        <w:t xml:space="preserve">על אף האמור בתקנת משנה (א), אגרת בקשה להחלפת מניות כאמור בסעיף 104ח, תהיה בסך </w:t>
      </w:r>
      <w:r w:rsidRPr="001569BB">
        <w:rPr>
          <w:rStyle w:val="default"/>
          <w:rFonts w:cs="FrankRuehl" w:hint="cs"/>
          <w:strike/>
          <w:vanish/>
          <w:sz w:val="22"/>
          <w:szCs w:val="22"/>
          <w:shd w:val="clear" w:color="auto" w:fill="FFFF99"/>
          <w:rtl/>
        </w:rPr>
        <w:t>17,600</w:t>
      </w:r>
      <w:r w:rsidRPr="001569BB">
        <w:rPr>
          <w:rStyle w:val="default"/>
          <w:rFonts w:cs="FrankRuehl" w:hint="cs"/>
          <w:vanish/>
          <w:sz w:val="22"/>
          <w:szCs w:val="22"/>
          <w:shd w:val="clear" w:color="auto" w:fill="FFFF99"/>
          <w:rtl/>
        </w:rPr>
        <w:t xml:space="preserve"> </w:t>
      </w:r>
      <w:r w:rsidRPr="001569BB">
        <w:rPr>
          <w:rStyle w:val="default"/>
          <w:rFonts w:cs="FrankRuehl" w:hint="cs"/>
          <w:vanish/>
          <w:sz w:val="22"/>
          <w:szCs w:val="22"/>
          <w:u w:val="single"/>
          <w:shd w:val="clear" w:color="auto" w:fill="FFFF99"/>
          <w:rtl/>
        </w:rPr>
        <w:t>18,240</w:t>
      </w:r>
      <w:r w:rsidRPr="001569BB">
        <w:rPr>
          <w:rStyle w:val="default"/>
          <w:rFonts w:cs="FrankRuehl" w:hint="cs"/>
          <w:vanish/>
          <w:sz w:val="22"/>
          <w:szCs w:val="22"/>
          <w:shd w:val="clear" w:color="auto" w:fill="FFFF99"/>
          <w:rtl/>
        </w:rPr>
        <w:t xml:space="preserve"> שקלים חדשים.</w:t>
      </w:r>
    </w:p>
    <w:p w:rsidR="008E1730" w:rsidRPr="001569BB" w:rsidRDefault="008E1730">
      <w:pPr>
        <w:pStyle w:val="P00"/>
        <w:spacing w:before="0"/>
        <w:ind w:left="0" w:right="1134"/>
        <w:rPr>
          <w:rStyle w:val="default"/>
          <w:rFonts w:cs="FrankRuehl" w:hint="cs"/>
          <w:vanish/>
          <w:szCs w:val="20"/>
          <w:shd w:val="clear" w:color="auto" w:fill="FFFF99"/>
          <w:rtl/>
        </w:rPr>
      </w:pPr>
    </w:p>
    <w:p w:rsidR="008E1730" w:rsidRPr="001569BB" w:rsidRDefault="008E1730">
      <w:pPr>
        <w:pStyle w:val="P00"/>
        <w:spacing w:before="0"/>
        <w:ind w:left="0" w:right="1134"/>
        <w:rPr>
          <w:rStyle w:val="default"/>
          <w:rFonts w:cs="FrankRuehl" w:hint="cs"/>
          <w:vanish/>
          <w:color w:val="FF0000"/>
          <w:szCs w:val="20"/>
          <w:shd w:val="clear" w:color="auto" w:fill="FFFF99"/>
          <w:rtl/>
        </w:rPr>
      </w:pPr>
      <w:r w:rsidRPr="001569BB">
        <w:rPr>
          <w:rStyle w:val="default"/>
          <w:rFonts w:cs="FrankRuehl" w:hint="cs"/>
          <w:vanish/>
          <w:color w:val="FF0000"/>
          <w:szCs w:val="20"/>
          <w:shd w:val="clear" w:color="auto" w:fill="FFFF99"/>
          <w:rtl/>
        </w:rPr>
        <w:t>מיום 1.1.2009</w:t>
      </w:r>
    </w:p>
    <w:p w:rsidR="008E1730" w:rsidRPr="001569BB" w:rsidRDefault="008E1730">
      <w:pPr>
        <w:pStyle w:val="P00"/>
        <w:spacing w:before="0"/>
        <w:ind w:left="0" w:right="1134"/>
        <w:rPr>
          <w:rStyle w:val="default"/>
          <w:rFonts w:cs="FrankRuehl" w:hint="cs"/>
          <w:vanish/>
          <w:szCs w:val="20"/>
          <w:shd w:val="clear" w:color="auto" w:fill="FFFF99"/>
          <w:rtl/>
        </w:rPr>
      </w:pPr>
      <w:r w:rsidRPr="001569BB">
        <w:rPr>
          <w:rStyle w:val="default"/>
          <w:rFonts w:cs="FrankRuehl" w:hint="cs"/>
          <w:b/>
          <w:bCs/>
          <w:vanish/>
          <w:szCs w:val="20"/>
          <w:shd w:val="clear" w:color="auto" w:fill="FFFF99"/>
          <w:rtl/>
        </w:rPr>
        <w:t>הודעה תשס"ח-2008</w:t>
      </w:r>
    </w:p>
    <w:p w:rsidR="008E1730" w:rsidRPr="001569BB" w:rsidRDefault="008E1730">
      <w:pPr>
        <w:pStyle w:val="P00"/>
        <w:spacing w:before="0"/>
        <w:ind w:left="0" w:right="1134"/>
        <w:rPr>
          <w:rStyle w:val="default"/>
          <w:rFonts w:cs="FrankRuehl" w:hint="cs"/>
          <w:vanish/>
          <w:szCs w:val="20"/>
          <w:shd w:val="clear" w:color="auto" w:fill="FFFF99"/>
          <w:rtl/>
        </w:rPr>
      </w:pPr>
      <w:hyperlink r:id="rId7" w:history="1">
        <w:r w:rsidRPr="001569BB">
          <w:rPr>
            <w:rStyle w:val="Hyperlink"/>
            <w:rFonts w:hint="cs"/>
            <w:vanish/>
            <w:szCs w:val="20"/>
            <w:shd w:val="clear" w:color="auto" w:fill="FFFF99"/>
            <w:rtl/>
          </w:rPr>
          <w:t>ק"ת תשס"ח מס' 6691</w:t>
        </w:r>
      </w:hyperlink>
      <w:r w:rsidRPr="001569BB">
        <w:rPr>
          <w:rStyle w:val="default"/>
          <w:rFonts w:cs="FrankRuehl" w:hint="cs"/>
          <w:vanish/>
          <w:szCs w:val="20"/>
          <w:shd w:val="clear" w:color="auto" w:fill="FFFF99"/>
          <w:rtl/>
        </w:rPr>
        <w:t xml:space="preserve"> מיום 14.7.2008 עמ' 1131</w:t>
      </w:r>
    </w:p>
    <w:p w:rsidR="001569BB" w:rsidRPr="001569BB" w:rsidRDefault="001569BB" w:rsidP="001569BB">
      <w:pPr>
        <w:pStyle w:val="P00"/>
        <w:ind w:left="0" w:right="1134"/>
        <w:rPr>
          <w:rStyle w:val="default"/>
          <w:rFonts w:cs="FrankRuehl" w:hint="cs"/>
          <w:vanish/>
          <w:sz w:val="22"/>
          <w:szCs w:val="22"/>
          <w:shd w:val="clear" w:color="auto" w:fill="FFFF99"/>
          <w:rtl/>
        </w:rPr>
      </w:pPr>
      <w:r w:rsidRPr="001569BB">
        <w:rPr>
          <w:rStyle w:val="big-number"/>
          <w:rFonts w:cs="FrankRuehl"/>
          <w:vanish/>
          <w:sz w:val="22"/>
          <w:szCs w:val="22"/>
          <w:shd w:val="clear" w:color="auto" w:fill="FFFF99"/>
          <w:rtl/>
        </w:rPr>
        <w:t>1.</w:t>
      </w:r>
      <w:r w:rsidRPr="001569BB">
        <w:rPr>
          <w:rStyle w:val="big-number"/>
          <w:rFonts w:cs="FrankRuehl"/>
          <w:vanish/>
          <w:sz w:val="22"/>
          <w:szCs w:val="22"/>
          <w:shd w:val="clear" w:color="auto" w:fill="FFFF99"/>
          <w:rtl/>
        </w:rPr>
        <w:tab/>
      </w:r>
      <w:r w:rsidRPr="001569BB">
        <w:rPr>
          <w:rStyle w:val="default"/>
          <w:rFonts w:cs="FrankRuehl" w:hint="cs"/>
          <w:vanish/>
          <w:sz w:val="22"/>
          <w:szCs w:val="22"/>
          <w:shd w:val="clear" w:color="auto" w:fill="FFFF99"/>
          <w:rtl/>
        </w:rPr>
        <w:t>(א)</w:t>
      </w:r>
      <w:r w:rsidRPr="001569BB">
        <w:rPr>
          <w:rStyle w:val="default"/>
          <w:rFonts w:cs="FrankRuehl" w:hint="cs"/>
          <w:vanish/>
          <w:sz w:val="22"/>
          <w:szCs w:val="22"/>
          <w:shd w:val="clear" w:color="auto" w:fill="FFFF99"/>
          <w:rtl/>
        </w:rPr>
        <w:tab/>
        <w:t xml:space="preserve">אגרת בקשה לאישור הנציב לפי סעיף 104ז(ד) לפקודה (להלן </w:t>
      </w:r>
      <w:r w:rsidRPr="001569BB">
        <w:rPr>
          <w:rStyle w:val="default"/>
          <w:rFonts w:cs="FrankRuehl"/>
          <w:vanish/>
          <w:sz w:val="22"/>
          <w:szCs w:val="22"/>
          <w:shd w:val="clear" w:color="auto" w:fill="FFFF99"/>
          <w:rtl/>
        </w:rPr>
        <w:t>–</w:t>
      </w:r>
      <w:r w:rsidRPr="001569BB">
        <w:rPr>
          <w:rStyle w:val="default"/>
          <w:rFonts w:cs="FrankRuehl" w:hint="cs"/>
          <w:vanish/>
          <w:sz w:val="22"/>
          <w:szCs w:val="22"/>
          <w:shd w:val="clear" w:color="auto" w:fill="FFFF99"/>
          <w:rtl/>
        </w:rPr>
        <w:t xml:space="preserve"> אגרת בקשה), תהיה בסך </w:t>
      </w:r>
      <w:r w:rsidRPr="001569BB">
        <w:rPr>
          <w:rStyle w:val="default"/>
          <w:rFonts w:cs="FrankRuehl" w:hint="cs"/>
          <w:strike/>
          <w:vanish/>
          <w:sz w:val="22"/>
          <w:szCs w:val="22"/>
          <w:shd w:val="clear" w:color="auto" w:fill="FFFF99"/>
          <w:rtl/>
        </w:rPr>
        <w:t>9,110</w:t>
      </w:r>
      <w:r w:rsidRPr="001569BB">
        <w:rPr>
          <w:rStyle w:val="default"/>
          <w:rFonts w:cs="FrankRuehl" w:hint="cs"/>
          <w:vanish/>
          <w:sz w:val="22"/>
          <w:szCs w:val="22"/>
          <w:shd w:val="clear" w:color="auto" w:fill="FFFF99"/>
          <w:rtl/>
        </w:rPr>
        <w:t xml:space="preserve"> </w:t>
      </w:r>
      <w:r w:rsidRPr="001569BB">
        <w:rPr>
          <w:rStyle w:val="default"/>
          <w:rFonts w:cs="FrankRuehl" w:hint="cs"/>
          <w:vanish/>
          <w:sz w:val="22"/>
          <w:szCs w:val="22"/>
          <w:u w:val="single"/>
          <w:shd w:val="clear" w:color="auto" w:fill="FFFF99"/>
          <w:rtl/>
        </w:rPr>
        <w:t>9,360</w:t>
      </w:r>
      <w:r w:rsidRPr="001569BB">
        <w:rPr>
          <w:rStyle w:val="default"/>
          <w:rFonts w:cs="FrankRuehl" w:hint="cs"/>
          <w:vanish/>
          <w:sz w:val="22"/>
          <w:szCs w:val="22"/>
          <w:shd w:val="clear" w:color="auto" w:fill="FFFF99"/>
          <w:rtl/>
        </w:rPr>
        <w:t xml:space="preserve"> שקלים חדשים.</w:t>
      </w:r>
    </w:p>
    <w:p w:rsidR="001569BB" w:rsidRPr="001569BB" w:rsidRDefault="001569BB" w:rsidP="001569BB">
      <w:pPr>
        <w:pStyle w:val="P00"/>
        <w:spacing w:before="0"/>
        <w:ind w:left="0" w:right="1134"/>
        <w:rPr>
          <w:rStyle w:val="default"/>
          <w:rFonts w:cs="FrankRuehl" w:hint="cs"/>
          <w:vanish/>
          <w:sz w:val="22"/>
          <w:szCs w:val="22"/>
          <w:shd w:val="clear" w:color="auto" w:fill="FFFF99"/>
          <w:rtl/>
        </w:rPr>
      </w:pPr>
      <w:r w:rsidRPr="001569BB">
        <w:rPr>
          <w:rStyle w:val="default"/>
          <w:rFonts w:cs="FrankRuehl" w:hint="cs"/>
          <w:vanish/>
          <w:sz w:val="22"/>
          <w:szCs w:val="22"/>
          <w:shd w:val="clear" w:color="auto" w:fill="FFFF99"/>
          <w:rtl/>
        </w:rPr>
        <w:tab/>
        <w:t>(ב)</w:t>
      </w:r>
      <w:r w:rsidRPr="001569BB">
        <w:rPr>
          <w:rStyle w:val="default"/>
          <w:rFonts w:cs="FrankRuehl" w:hint="cs"/>
          <w:vanish/>
          <w:sz w:val="22"/>
          <w:szCs w:val="22"/>
          <w:shd w:val="clear" w:color="auto" w:fill="FFFF99"/>
          <w:rtl/>
        </w:rPr>
        <w:tab/>
        <w:t xml:space="preserve">על אף האמור בתקנת משנה (א), אגרת בקשה להחלפת מניות כאמור בסעיף 104ח, תהיה בסך </w:t>
      </w:r>
      <w:r w:rsidRPr="001569BB">
        <w:rPr>
          <w:rStyle w:val="default"/>
          <w:rFonts w:cs="FrankRuehl" w:hint="cs"/>
          <w:strike/>
          <w:vanish/>
          <w:sz w:val="22"/>
          <w:szCs w:val="22"/>
          <w:shd w:val="clear" w:color="auto" w:fill="FFFF99"/>
          <w:rtl/>
        </w:rPr>
        <w:t>18,240</w:t>
      </w:r>
      <w:r w:rsidRPr="001569BB">
        <w:rPr>
          <w:rStyle w:val="default"/>
          <w:rFonts w:cs="FrankRuehl" w:hint="cs"/>
          <w:vanish/>
          <w:sz w:val="22"/>
          <w:szCs w:val="22"/>
          <w:shd w:val="clear" w:color="auto" w:fill="FFFF99"/>
          <w:rtl/>
        </w:rPr>
        <w:t xml:space="preserve"> </w:t>
      </w:r>
      <w:r w:rsidRPr="001569BB">
        <w:rPr>
          <w:rStyle w:val="default"/>
          <w:rFonts w:cs="FrankRuehl" w:hint="cs"/>
          <w:vanish/>
          <w:sz w:val="22"/>
          <w:szCs w:val="22"/>
          <w:u w:val="single"/>
          <w:shd w:val="clear" w:color="auto" w:fill="FFFF99"/>
          <w:rtl/>
        </w:rPr>
        <w:t>18,750</w:t>
      </w:r>
      <w:r w:rsidRPr="001569BB">
        <w:rPr>
          <w:rStyle w:val="default"/>
          <w:rFonts w:cs="FrankRuehl" w:hint="cs"/>
          <w:vanish/>
          <w:sz w:val="22"/>
          <w:szCs w:val="22"/>
          <w:shd w:val="clear" w:color="auto" w:fill="FFFF99"/>
          <w:rtl/>
        </w:rPr>
        <w:t xml:space="preserve"> שקלים חדשים.</w:t>
      </w:r>
    </w:p>
    <w:p w:rsidR="001569BB" w:rsidRPr="001569BB" w:rsidRDefault="001569BB">
      <w:pPr>
        <w:pStyle w:val="P00"/>
        <w:spacing w:before="0"/>
        <w:ind w:left="0" w:right="1134"/>
        <w:rPr>
          <w:rStyle w:val="default"/>
          <w:rFonts w:cs="FrankRuehl" w:hint="cs"/>
          <w:vanish/>
          <w:szCs w:val="20"/>
          <w:shd w:val="clear" w:color="auto" w:fill="FFFF99"/>
          <w:rtl/>
        </w:rPr>
      </w:pPr>
    </w:p>
    <w:p w:rsidR="001569BB" w:rsidRPr="001569BB" w:rsidRDefault="001569BB">
      <w:pPr>
        <w:pStyle w:val="P00"/>
        <w:spacing w:before="0"/>
        <w:ind w:left="0" w:right="1134"/>
        <w:rPr>
          <w:rStyle w:val="default"/>
          <w:rFonts w:cs="FrankRuehl" w:hint="cs"/>
          <w:vanish/>
          <w:color w:val="FF0000"/>
          <w:szCs w:val="20"/>
          <w:shd w:val="clear" w:color="auto" w:fill="FFFF99"/>
          <w:rtl/>
        </w:rPr>
      </w:pPr>
      <w:r w:rsidRPr="001569BB">
        <w:rPr>
          <w:rStyle w:val="default"/>
          <w:rFonts w:cs="FrankRuehl" w:hint="cs"/>
          <w:vanish/>
          <w:color w:val="FF0000"/>
          <w:szCs w:val="20"/>
          <w:shd w:val="clear" w:color="auto" w:fill="FFFF99"/>
          <w:rtl/>
        </w:rPr>
        <w:t>מיום 1.1.2010</w:t>
      </w:r>
    </w:p>
    <w:p w:rsidR="001569BB" w:rsidRPr="001569BB" w:rsidRDefault="001569BB">
      <w:pPr>
        <w:pStyle w:val="P00"/>
        <w:spacing w:before="0"/>
        <w:ind w:left="0" w:right="1134"/>
        <w:rPr>
          <w:rStyle w:val="default"/>
          <w:rFonts w:cs="FrankRuehl" w:hint="cs"/>
          <w:vanish/>
          <w:szCs w:val="20"/>
          <w:shd w:val="clear" w:color="auto" w:fill="FFFF99"/>
          <w:rtl/>
        </w:rPr>
      </w:pPr>
      <w:r w:rsidRPr="001569BB">
        <w:rPr>
          <w:rStyle w:val="default"/>
          <w:rFonts w:cs="FrankRuehl" w:hint="cs"/>
          <w:b/>
          <w:bCs/>
          <w:vanish/>
          <w:szCs w:val="20"/>
          <w:shd w:val="clear" w:color="auto" w:fill="FFFF99"/>
          <w:rtl/>
        </w:rPr>
        <w:t>הודעה תש"ע-2009</w:t>
      </w:r>
    </w:p>
    <w:p w:rsidR="001569BB" w:rsidRPr="001569BB" w:rsidRDefault="001569BB">
      <w:pPr>
        <w:pStyle w:val="P00"/>
        <w:spacing w:before="0"/>
        <w:ind w:left="0" w:right="1134"/>
        <w:rPr>
          <w:rStyle w:val="default"/>
          <w:rFonts w:cs="FrankRuehl" w:hint="cs"/>
          <w:vanish/>
          <w:szCs w:val="20"/>
          <w:shd w:val="clear" w:color="auto" w:fill="FFFF99"/>
          <w:rtl/>
        </w:rPr>
      </w:pPr>
      <w:hyperlink r:id="rId8" w:history="1">
        <w:r w:rsidRPr="001569BB">
          <w:rPr>
            <w:rStyle w:val="Hyperlink"/>
            <w:rFonts w:hint="cs"/>
            <w:vanish/>
            <w:szCs w:val="20"/>
            <w:shd w:val="clear" w:color="auto" w:fill="FFFF99"/>
            <w:rtl/>
          </w:rPr>
          <w:t>ק"ת תש"ע מס' 6826</w:t>
        </w:r>
      </w:hyperlink>
      <w:r w:rsidRPr="001569BB">
        <w:rPr>
          <w:rStyle w:val="default"/>
          <w:rFonts w:cs="FrankRuehl" w:hint="cs"/>
          <w:vanish/>
          <w:szCs w:val="20"/>
          <w:shd w:val="clear" w:color="auto" w:fill="FFFF99"/>
          <w:rtl/>
        </w:rPr>
        <w:t xml:space="preserve"> מיום 16.11.2009 עמ' 118</w:t>
      </w:r>
    </w:p>
    <w:p w:rsidR="008E1730" w:rsidRPr="001569BB" w:rsidRDefault="008E1730" w:rsidP="001569BB">
      <w:pPr>
        <w:pStyle w:val="P00"/>
        <w:ind w:left="0" w:right="1134"/>
        <w:rPr>
          <w:rStyle w:val="default"/>
          <w:rFonts w:cs="FrankRuehl" w:hint="cs"/>
          <w:vanish/>
          <w:sz w:val="22"/>
          <w:szCs w:val="22"/>
          <w:shd w:val="clear" w:color="auto" w:fill="FFFF99"/>
          <w:rtl/>
        </w:rPr>
      </w:pPr>
      <w:r w:rsidRPr="001569BB">
        <w:rPr>
          <w:rStyle w:val="big-number"/>
          <w:rFonts w:cs="FrankRuehl"/>
          <w:vanish/>
          <w:sz w:val="22"/>
          <w:szCs w:val="22"/>
          <w:shd w:val="clear" w:color="auto" w:fill="FFFF99"/>
          <w:rtl/>
        </w:rPr>
        <w:t>1.</w:t>
      </w:r>
      <w:r w:rsidRPr="001569BB">
        <w:rPr>
          <w:rStyle w:val="big-number"/>
          <w:rFonts w:cs="FrankRuehl"/>
          <w:vanish/>
          <w:sz w:val="22"/>
          <w:szCs w:val="22"/>
          <w:shd w:val="clear" w:color="auto" w:fill="FFFF99"/>
          <w:rtl/>
        </w:rPr>
        <w:tab/>
      </w:r>
      <w:r w:rsidRPr="001569BB">
        <w:rPr>
          <w:rStyle w:val="default"/>
          <w:rFonts w:cs="FrankRuehl" w:hint="cs"/>
          <w:vanish/>
          <w:sz w:val="22"/>
          <w:szCs w:val="22"/>
          <w:shd w:val="clear" w:color="auto" w:fill="FFFF99"/>
          <w:rtl/>
        </w:rPr>
        <w:t>(א)</w:t>
      </w:r>
      <w:r w:rsidRPr="001569BB">
        <w:rPr>
          <w:rStyle w:val="default"/>
          <w:rFonts w:cs="FrankRuehl" w:hint="cs"/>
          <w:vanish/>
          <w:sz w:val="22"/>
          <w:szCs w:val="22"/>
          <w:shd w:val="clear" w:color="auto" w:fill="FFFF99"/>
          <w:rtl/>
        </w:rPr>
        <w:tab/>
        <w:t xml:space="preserve">אגרת בקשה לאישור הנציב לפי סעיף 104ז(ד) לפקודה (להלן </w:t>
      </w:r>
      <w:r w:rsidRPr="001569BB">
        <w:rPr>
          <w:rStyle w:val="default"/>
          <w:rFonts w:cs="FrankRuehl"/>
          <w:vanish/>
          <w:sz w:val="22"/>
          <w:szCs w:val="22"/>
          <w:shd w:val="clear" w:color="auto" w:fill="FFFF99"/>
          <w:rtl/>
        </w:rPr>
        <w:t>–</w:t>
      </w:r>
      <w:r w:rsidRPr="001569BB">
        <w:rPr>
          <w:rStyle w:val="default"/>
          <w:rFonts w:cs="FrankRuehl" w:hint="cs"/>
          <w:vanish/>
          <w:sz w:val="22"/>
          <w:szCs w:val="22"/>
          <w:shd w:val="clear" w:color="auto" w:fill="FFFF99"/>
          <w:rtl/>
        </w:rPr>
        <w:t xml:space="preserve"> אגרת בקשה), תהיה בסך </w:t>
      </w:r>
      <w:r w:rsidRPr="001569BB">
        <w:rPr>
          <w:rStyle w:val="default"/>
          <w:rFonts w:cs="FrankRuehl" w:hint="cs"/>
          <w:strike/>
          <w:vanish/>
          <w:sz w:val="22"/>
          <w:szCs w:val="22"/>
          <w:shd w:val="clear" w:color="auto" w:fill="FFFF99"/>
          <w:rtl/>
        </w:rPr>
        <w:t>9,</w:t>
      </w:r>
      <w:r w:rsidR="001569BB" w:rsidRPr="001569BB">
        <w:rPr>
          <w:rStyle w:val="default"/>
          <w:rFonts w:cs="FrankRuehl" w:hint="cs"/>
          <w:strike/>
          <w:vanish/>
          <w:sz w:val="22"/>
          <w:szCs w:val="22"/>
          <w:shd w:val="clear" w:color="auto" w:fill="FFFF99"/>
          <w:rtl/>
        </w:rPr>
        <w:t>360</w:t>
      </w:r>
      <w:r w:rsidRPr="001569BB">
        <w:rPr>
          <w:rStyle w:val="default"/>
          <w:rFonts w:cs="FrankRuehl" w:hint="cs"/>
          <w:vanish/>
          <w:sz w:val="22"/>
          <w:szCs w:val="22"/>
          <w:shd w:val="clear" w:color="auto" w:fill="FFFF99"/>
          <w:rtl/>
        </w:rPr>
        <w:t xml:space="preserve"> </w:t>
      </w:r>
      <w:r w:rsidRPr="001569BB">
        <w:rPr>
          <w:rStyle w:val="default"/>
          <w:rFonts w:cs="FrankRuehl" w:hint="cs"/>
          <w:vanish/>
          <w:sz w:val="22"/>
          <w:szCs w:val="22"/>
          <w:u w:val="single"/>
          <w:shd w:val="clear" w:color="auto" w:fill="FFFF99"/>
          <w:rtl/>
        </w:rPr>
        <w:t>9,</w:t>
      </w:r>
      <w:r w:rsidR="001569BB" w:rsidRPr="001569BB">
        <w:rPr>
          <w:rStyle w:val="default"/>
          <w:rFonts w:cs="FrankRuehl" w:hint="cs"/>
          <w:vanish/>
          <w:sz w:val="22"/>
          <w:szCs w:val="22"/>
          <w:u w:val="single"/>
          <w:shd w:val="clear" w:color="auto" w:fill="FFFF99"/>
          <w:rtl/>
        </w:rPr>
        <w:t>690</w:t>
      </w:r>
      <w:r w:rsidRPr="001569BB">
        <w:rPr>
          <w:rStyle w:val="default"/>
          <w:rFonts w:cs="FrankRuehl" w:hint="cs"/>
          <w:vanish/>
          <w:sz w:val="22"/>
          <w:szCs w:val="22"/>
          <w:shd w:val="clear" w:color="auto" w:fill="FFFF99"/>
          <w:rtl/>
        </w:rPr>
        <w:t xml:space="preserve"> שקלים חדשים.</w:t>
      </w:r>
    </w:p>
    <w:p w:rsidR="008E1730" w:rsidRPr="008E1730" w:rsidRDefault="008E1730" w:rsidP="001569BB">
      <w:pPr>
        <w:pStyle w:val="P00"/>
        <w:spacing w:before="0"/>
        <w:ind w:left="0" w:right="1134"/>
        <w:rPr>
          <w:rStyle w:val="default"/>
          <w:rFonts w:cs="FrankRuehl" w:hint="cs"/>
          <w:sz w:val="2"/>
          <w:szCs w:val="2"/>
          <w:shd w:val="clear" w:color="auto" w:fill="FFFF99"/>
          <w:rtl/>
        </w:rPr>
      </w:pPr>
      <w:r w:rsidRPr="001569BB">
        <w:rPr>
          <w:rStyle w:val="default"/>
          <w:rFonts w:cs="FrankRuehl" w:hint="cs"/>
          <w:vanish/>
          <w:sz w:val="22"/>
          <w:szCs w:val="22"/>
          <w:shd w:val="clear" w:color="auto" w:fill="FFFF99"/>
          <w:rtl/>
        </w:rPr>
        <w:tab/>
        <w:t>(ב)</w:t>
      </w:r>
      <w:r w:rsidRPr="001569BB">
        <w:rPr>
          <w:rStyle w:val="default"/>
          <w:rFonts w:cs="FrankRuehl" w:hint="cs"/>
          <w:vanish/>
          <w:sz w:val="22"/>
          <w:szCs w:val="22"/>
          <w:shd w:val="clear" w:color="auto" w:fill="FFFF99"/>
          <w:rtl/>
        </w:rPr>
        <w:tab/>
        <w:t xml:space="preserve">על אף האמור בתקנת משנה (א), אגרת בקשה להחלפת מניות כאמור בסעיף 104ח, תהיה בסך </w:t>
      </w:r>
      <w:r w:rsidRPr="001569BB">
        <w:rPr>
          <w:rStyle w:val="default"/>
          <w:rFonts w:cs="FrankRuehl" w:hint="cs"/>
          <w:strike/>
          <w:vanish/>
          <w:sz w:val="22"/>
          <w:szCs w:val="22"/>
          <w:shd w:val="clear" w:color="auto" w:fill="FFFF99"/>
          <w:rtl/>
        </w:rPr>
        <w:t>18,</w:t>
      </w:r>
      <w:r w:rsidR="001569BB" w:rsidRPr="001569BB">
        <w:rPr>
          <w:rStyle w:val="default"/>
          <w:rFonts w:cs="FrankRuehl" w:hint="cs"/>
          <w:strike/>
          <w:vanish/>
          <w:sz w:val="22"/>
          <w:szCs w:val="22"/>
          <w:shd w:val="clear" w:color="auto" w:fill="FFFF99"/>
          <w:rtl/>
        </w:rPr>
        <w:t>750</w:t>
      </w:r>
      <w:r w:rsidRPr="001569BB">
        <w:rPr>
          <w:rStyle w:val="default"/>
          <w:rFonts w:cs="FrankRuehl" w:hint="cs"/>
          <w:vanish/>
          <w:sz w:val="22"/>
          <w:szCs w:val="22"/>
          <w:shd w:val="clear" w:color="auto" w:fill="FFFF99"/>
          <w:rtl/>
        </w:rPr>
        <w:t xml:space="preserve"> </w:t>
      </w:r>
      <w:r w:rsidR="001569BB" w:rsidRPr="001569BB">
        <w:rPr>
          <w:rStyle w:val="default"/>
          <w:rFonts w:cs="FrankRuehl" w:hint="cs"/>
          <w:vanish/>
          <w:sz w:val="22"/>
          <w:szCs w:val="22"/>
          <w:u w:val="single"/>
          <w:shd w:val="clear" w:color="auto" w:fill="FFFF99"/>
          <w:rtl/>
        </w:rPr>
        <w:t>19,420</w:t>
      </w:r>
      <w:r w:rsidRPr="001569BB">
        <w:rPr>
          <w:rStyle w:val="default"/>
          <w:rFonts w:cs="FrankRuehl" w:hint="cs"/>
          <w:vanish/>
          <w:sz w:val="22"/>
          <w:szCs w:val="22"/>
          <w:shd w:val="clear" w:color="auto" w:fill="FFFF99"/>
          <w:rtl/>
        </w:rPr>
        <w:t xml:space="preserve"> שקלים חדשים.</w:t>
      </w:r>
      <w:bookmarkEnd w:id="1"/>
    </w:p>
    <w:p w:rsidR="003A5128" w:rsidRDefault="003A5128">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70.25pt;margin-top:8.05pt;width:69.3pt;height:9.7pt;z-index:251658240" o:allowincell="f" filled="f" stroked="f" strokecolor="lime" strokeweight=".25pt">
            <v:textbox inset="0,0,0,0">
              <w:txbxContent>
                <w:p w:rsidR="003A5128" w:rsidRDefault="003A5128">
                  <w:pPr>
                    <w:spacing w:line="160" w:lineRule="exact"/>
                    <w:jc w:val="left"/>
                    <w:rPr>
                      <w:rFonts w:cs="Miriam" w:hint="cs"/>
                      <w:noProof/>
                      <w:szCs w:val="18"/>
                      <w:rtl/>
                    </w:rPr>
                  </w:pPr>
                  <w:r>
                    <w:rPr>
                      <w:rFonts w:cs="Miriam" w:hint="cs"/>
                      <w:szCs w:val="18"/>
                      <w:rtl/>
                    </w:rPr>
                    <w:t>תיאום סכום האגרה</w:t>
                  </w:r>
                </w:p>
              </w:txbxContent>
            </v:textbox>
            <w10:anchorlock/>
          </v:rect>
        </w:pict>
      </w:r>
      <w:r>
        <w:rPr>
          <w:rStyle w:val="big-number"/>
          <w:rtl/>
        </w:rPr>
        <w:t>2.</w:t>
      </w:r>
      <w:r>
        <w:rPr>
          <w:rStyle w:val="big-number"/>
          <w:rtl/>
        </w:rPr>
        <w:tab/>
      </w:r>
      <w:r>
        <w:rPr>
          <w:rStyle w:val="default"/>
          <w:rFonts w:cs="FrankRuehl" w:hint="cs"/>
          <w:rtl/>
        </w:rPr>
        <w:t>(א)</w:t>
      </w:r>
      <w:r>
        <w:rPr>
          <w:rStyle w:val="default"/>
          <w:rFonts w:cs="FrankRuehl" w:hint="cs"/>
          <w:rtl/>
        </w:rPr>
        <w:tab/>
        <w:t>עלה מדד המחירים לצרכן שפרסמה הלשכה המרכזית לסטטיסטיקה לחודש מרס של שנת המס 2002, או של שנת מס שלאחריה, לעומת מדד המחירים לצרכן לחודש מרס של שנת המס הקודמת לה, יגדלו הסכומים הנקובים בתקנה 1, ב-1 בינואר של שנת המס הבאה, לפי שיעור עליית המדד; סכום מוגדל כאמור, יעוגל לסכום הקרוב שהוא מכפלה של 10 שקלים חדשים.</w:t>
      </w:r>
    </w:p>
    <w:p w:rsidR="003A5128" w:rsidRDefault="003A51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נציב מס הכנסה יפרסם בהודעה ברשומות את נוסח תקנה 1, כפי שהשתנה עקב האמור בתקנת משנה (א).</w:t>
      </w:r>
    </w:p>
    <w:p w:rsidR="003A5128" w:rsidRDefault="003A5128">
      <w:pPr>
        <w:pStyle w:val="P00"/>
        <w:spacing w:before="72"/>
        <w:ind w:left="0" w:right="1134"/>
        <w:rPr>
          <w:rStyle w:val="default"/>
          <w:rFonts w:cs="FrankRuehl" w:hint="cs"/>
          <w:rtl/>
        </w:rPr>
      </w:pPr>
    </w:p>
    <w:p w:rsidR="003A5128" w:rsidRDefault="003A5128">
      <w:pPr>
        <w:pStyle w:val="P00"/>
        <w:spacing w:before="72"/>
        <w:ind w:left="0" w:right="1134"/>
        <w:rPr>
          <w:rStyle w:val="default"/>
          <w:rFonts w:cs="FrankRuehl"/>
          <w:rtl/>
        </w:rPr>
      </w:pPr>
    </w:p>
    <w:p w:rsidR="003A5128" w:rsidRDefault="003A5128">
      <w:pPr>
        <w:pStyle w:val="sig-1"/>
        <w:ind w:left="0" w:right="1134"/>
        <w:rPr>
          <w:rStyle w:val="default"/>
          <w:rFonts w:cs="FrankRuehl" w:hint="cs"/>
          <w:rtl/>
        </w:rPr>
      </w:pPr>
      <w:r>
        <w:rPr>
          <w:rStyle w:val="default"/>
          <w:rFonts w:cs="FrankRuehl" w:hint="cs"/>
          <w:rtl/>
        </w:rPr>
        <w:t>י"ב בסיון התשס"ג (12 ביוני 2003)</w:t>
      </w:r>
    </w:p>
    <w:p w:rsidR="003A5128" w:rsidRDefault="003A5128">
      <w:pPr>
        <w:pStyle w:val="sig-1"/>
        <w:tabs>
          <w:tab w:val="clear" w:pos="851"/>
          <w:tab w:val="clear" w:pos="2835"/>
          <w:tab w:val="clear" w:pos="4820"/>
          <w:tab w:val="center" w:pos="4536"/>
        </w:tabs>
        <w:ind w:left="0" w:right="1134"/>
        <w:rPr>
          <w:rStyle w:val="default"/>
          <w:rFonts w:cs="FrankRuehl" w:hint="cs"/>
          <w:rtl/>
        </w:rPr>
      </w:pPr>
      <w:r>
        <w:rPr>
          <w:rStyle w:val="default"/>
          <w:rFonts w:cs="FrankRuehl" w:hint="cs"/>
          <w:rtl/>
        </w:rPr>
        <w:tab/>
        <w:t>בנימין נתניהו</w:t>
      </w:r>
    </w:p>
    <w:p w:rsidR="003A5128" w:rsidRDefault="003A5128">
      <w:pPr>
        <w:pStyle w:val="sig-1"/>
        <w:tabs>
          <w:tab w:val="clear" w:pos="851"/>
          <w:tab w:val="clear" w:pos="2835"/>
          <w:tab w:val="clear" w:pos="4820"/>
          <w:tab w:val="center" w:pos="4536"/>
        </w:tabs>
        <w:ind w:left="0" w:right="1134"/>
        <w:rPr>
          <w:rStyle w:val="default"/>
          <w:rFonts w:cs="FrankRuehl" w:hint="cs"/>
          <w:sz w:val="22"/>
          <w:szCs w:val="22"/>
          <w:rtl/>
        </w:rPr>
      </w:pPr>
      <w:r>
        <w:rPr>
          <w:rStyle w:val="default"/>
          <w:rFonts w:cs="FrankRuehl" w:hint="cs"/>
          <w:sz w:val="22"/>
          <w:szCs w:val="22"/>
          <w:rtl/>
        </w:rPr>
        <w:tab/>
        <w:t>שר האוצר</w:t>
      </w:r>
    </w:p>
    <w:p w:rsidR="003A5128" w:rsidRDefault="003A5128">
      <w:pPr>
        <w:pStyle w:val="sig-1"/>
        <w:tabs>
          <w:tab w:val="clear" w:pos="851"/>
          <w:tab w:val="clear" w:pos="2835"/>
          <w:tab w:val="clear" w:pos="4820"/>
          <w:tab w:val="center" w:pos="3402"/>
          <w:tab w:val="center" w:pos="5670"/>
        </w:tabs>
        <w:ind w:left="0" w:right="1134"/>
        <w:rPr>
          <w:rStyle w:val="default"/>
          <w:rFonts w:cs="FrankRuehl" w:hint="cs"/>
          <w:rtl/>
        </w:rPr>
      </w:pPr>
    </w:p>
    <w:sectPr w:rsidR="003A512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349D" w:rsidRDefault="000A349D" w:rsidP="009159E0">
      <w:pPr>
        <w:pStyle w:val="big-header"/>
      </w:pPr>
      <w:r>
        <w:separator/>
      </w:r>
    </w:p>
  </w:endnote>
  <w:endnote w:type="continuationSeparator" w:id="0">
    <w:p w:rsidR="000A349D" w:rsidRDefault="000A349D" w:rsidP="009159E0">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128" w:rsidRDefault="003A512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A5128" w:rsidRDefault="003A512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A5128" w:rsidRDefault="003A512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Z:\000000000000-law\yael\06-12-13\999_163.doc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128" w:rsidRDefault="003A512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E2F97">
      <w:rPr>
        <w:rFonts w:hAnsi="FrankRuehl" w:cs="FrankRuehl"/>
        <w:noProof/>
        <w:sz w:val="24"/>
        <w:szCs w:val="24"/>
        <w:rtl/>
      </w:rPr>
      <w:t>2</w:t>
    </w:r>
    <w:r>
      <w:rPr>
        <w:rFonts w:hAnsi="FrankRuehl" w:cs="FrankRuehl"/>
        <w:sz w:val="24"/>
        <w:szCs w:val="24"/>
        <w:rtl/>
      </w:rPr>
      <w:fldChar w:fldCharType="end"/>
    </w:r>
  </w:p>
  <w:p w:rsidR="003A5128" w:rsidRDefault="003A512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A5128" w:rsidRDefault="003A512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Z:\000000000000-law\yael\06-12-13\999_163.doc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349D" w:rsidRDefault="000A349D">
      <w:pPr>
        <w:spacing w:before="60" w:line="240" w:lineRule="auto"/>
        <w:ind w:right="1134"/>
      </w:pPr>
      <w:r>
        <w:separator/>
      </w:r>
    </w:p>
  </w:footnote>
  <w:footnote w:type="continuationSeparator" w:id="0">
    <w:p w:rsidR="000A349D" w:rsidRDefault="000A349D">
      <w:pPr>
        <w:spacing w:before="60" w:line="240" w:lineRule="auto"/>
        <w:ind w:right="1134"/>
      </w:pPr>
      <w:r>
        <w:separator/>
      </w:r>
    </w:p>
  </w:footnote>
  <w:footnote w:id="1">
    <w:p w:rsidR="003A5128" w:rsidRDefault="003A51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EB3BC3">
          <w:rPr>
            <w:rStyle w:val="Hyperlink"/>
            <w:rFonts w:hint="cs"/>
            <w:sz w:val="20"/>
            <w:rtl/>
          </w:rPr>
          <w:t>ק"ת תשס"ג מס' 6245</w:t>
        </w:r>
      </w:hyperlink>
      <w:r>
        <w:rPr>
          <w:rFonts w:hint="cs"/>
          <w:sz w:val="20"/>
          <w:rtl/>
        </w:rPr>
        <w:t xml:space="preserve"> מיום 26.6.2003 עמ' 788.</w:t>
      </w:r>
    </w:p>
    <w:p w:rsidR="003A5128" w:rsidRDefault="003A51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תשס"ז מס' 6544</w:t>
        </w:r>
      </w:hyperlink>
      <w:r>
        <w:rPr>
          <w:rFonts w:hint="cs"/>
          <w:sz w:val="20"/>
          <w:rtl/>
        </w:rPr>
        <w:t xml:space="preserve"> מיום 12.12.2006 עמ' 378 </w:t>
      </w:r>
      <w:r>
        <w:rPr>
          <w:sz w:val="20"/>
          <w:rtl/>
        </w:rPr>
        <w:t>–</w:t>
      </w:r>
      <w:r>
        <w:rPr>
          <w:rFonts w:hint="cs"/>
          <w:sz w:val="20"/>
          <w:rtl/>
        </w:rPr>
        <w:t xml:space="preserve"> הודעה תשס"ז-2006; תחילתה ביום 1.1.2007.</w:t>
      </w:r>
    </w:p>
    <w:p w:rsidR="00353B69" w:rsidRDefault="00353B69" w:rsidP="00353B6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8E1730" w:rsidRPr="00353B69">
          <w:rPr>
            <w:rStyle w:val="Hyperlink"/>
            <w:rFonts w:hint="cs"/>
            <w:sz w:val="20"/>
            <w:rtl/>
          </w:rPr>
          <w:t>ק"ת תשס"ח מס' 6691</w:t>
        </w:r>
      </w:hyperlink>
      <w:r w:rsidR="008E1730">
        <w:rPr>
          <w:rFonts w:hint="cs"/>
          <w:sz w:val="20"/>
          <w:rtl/>
        </w:rPr>
        <w:t xml:space="preserve"> מיום 14.7.2008 עמ' 1131 </w:t>
      </w:r>
      <w:r w:rsidR="008E1730">
        <w:rPr>
          <w:sz w:val="20"/>
          <w:rtl/>
        </w:rPr>
        <w:t>–</w:t>
      </w:r>
      <w:r w:rsidR="008E1730">
        <w:rPr>
          <w:rFonts w:hint="cs"/>
          <w:sz w:val="20"/>
          <w:rtl/>
        </w:rPr>
        <w:t xml:space="preserve"> הודעה תשס"ח-2008; תחילתה ביום 1.1.2009.</w:t>
      </w:r>
    </w:p>
    <w:p w:rsidR="00EC2C41" w:rsidRDefault="00EC2C41" w:rsidP="00EC2C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DE6F1C" w:rsidRPr="00EC2C41">
          <w:rPr>
            <w:rStyle w:val="Hyperlink"/>
            <w:rFonts w:hint="cs"/>
            <w:sz w:val="20"/>
            <w:rtl/>
          </w:rPr>
          <w:t>ק"ת תש"ע מס' 6826</w:t>
        </w:r>
      </w:hyperlink>
      <w:r w:rsidR="00DE6F1C">
        <w:rPr>
          <w:rFonts w:hint="cs"/>
          <w:sz w:val="20"/>
          <w:rtl/>
        </w:rPr>
        <w:t xml:space="preserve"> מיום 16.11.2009 עמ' 118 </w:t>
      </w:r>
      <w:r w:rsidR="00DE6F1C">
        <w:rPr>
          <w:sz w:val="20"/>
          <w:rtl/>
        </w:rPr>
        <w:t>–</w:t>
      </w:r>
      <w:r w:rsidR="00DE6F1C">
        <w:rPr>
          <w:rFonts w:hint="cs"/>
          <w:sz w:val="20"/>
          <w:rtl/>
        </w:rPr>
        <w:t xml:space="preserve"> הודעה תש"ע-2009</w:t>
      </w:r>
      <w:r w:rsidR="001569BB">
        <w:rPr>
          <w:rFonts w:hint="cs"/>
          <w:sz w:val="20"/>
          <w:rtl/>
        </w:rPr>
        <w:t>; תחילתה</w:t>
      </w:r>
      <w:r w:rsidR="00DE6F1C">
        <w:rPr>
          <w:rFonts w:hint="cs"/>
          <w:sz w:val="20"/>
          <w:rtl/>
        </w:rPr>
        <w:t xml:space="preserve"> ביום 1.1.2010.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128" w:rsidRDefault="003A512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3A5128" w:rsidRDefault="003A512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5128" w:rsidRDefault="003A512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128" w:rsidRDefault="003A5128">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(קביעת אגרה בעד בקשת אישור העברת נכסים והחלפת מניות</w:t>
    </w:r>
    <w:r>
      <w:rPr>
        <w:rFonts w:hAnsi="FrankRuehl" w:cs="FrankRuehl"/>
        <w:color w:val="000000"/>
        <w:sz w:val="28"/>
        <w:szCs w:val="28"/>
        <w:rtl/>
      </w:rPr>
      <w:t xml:space="preserve">), </w:t>
    </w:r>
    <w:r>
      <w:rPr>
        <w:rFonts w:hAnsi="FrankRuehl" w:cs="FrankRuehl" w:hint="cs"/>
        <w:color w:val="000000"/>
        <w:sz w:val="28"/>
        <w:szCs w:val="28"/>
        <w:rtl/>
      </w:rPr>
      <w:br/>
    </w:r>
    <w:r>
      <w:rPr>
        <w:rFonts w:hAnsi="FrankRuehl" w:cs="FrankRuehl"/>
        <w:color w:val="000000"/>
        <w:sz w:val="28"/>
        <w:szCs w:val="28"/>
        <w:rtl/>
      </w:rPr>
      <w:t>תשס"</w:t>
    </w:r>
    <w:r>
      <w:rPr>
        <w:rFonts w:hAnsi="FrankRuehl" w:cs="FrankRuehl" w:hint="cs"/>
        <w:color w:val="000000"/>
        <w:sz w:val="28"/>
        <w:szCs w:val="28"/>
        <w:rtl/>
      </w:rPr>
      <w:t>ג-</w:t>
    </w:r>
    <w:r>
      <w:rPr>
        <w:rFonts w:hAnsi="FrankRuehl" w:cs="FrankRuehl"/>
        <w:color w:val="000000"/>
        <w:sz w:val="28"/>
        <w:szCs w:val="28"/>
        <w:rtl/>
      </w:rPr>
      <w:t>200</w:t>
    </w:r>
    <w:r>
      <w:rPr>
        <w:rFonts w:hAnsi="FrankRuehl" w:cs="FrankRuehl" w:hint="cs"/>
        <w:color w:val="000000"/>
        <w:sz w:val="28"/>
        <w:szCs w:val="28"/>
        <w:rtl/>
      </w:rPr>
      <w:t>3</w:t>
    </w:r>
  </w:p>
  <w:p w:rsidR="003A5128" w:rsidRDefault="003A512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A5128" w:rsidRDefault="003A512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730"/>
    <w:rsid w:val="000A349D"/>
    <w:rsid w:val="001569BB"/>
    <w:rsid w:val="00257F75"/>
    <w:rsid w:val="00353B69"/>
    <w:rsid w:val="003A5128"/>
    <w:rsid w:val="003F7706"/>
    <w:rsid w:val="005E2F97"/>
    <w:rsid w:val="007E476F"/>
    <w:rsid w:val="00893D58"/>
    <w:rsid w:val="008E1730"/>
    <w:rsid w:val="009159E0"/>
    <w:rsid w:val="00917CB1"/>
    <w:rsid w:val="00AA20C0"/>
    <w:rsid w:val="00B644EA"/>
    <w:rsid w:val="00CB0C44"/>
    <w:rsid w:val="00CE54C6"/>
    <w:rsid w:val="00D64B9D"/>
    <w:rsid w:val="00DE6F1C"/>
    <w:rsid w:val="00EB3BC3"/>
    <w:rsid w:val="00EC2C41"/>
    <w:rsid w:val="00F816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E869A7B1-5DCC-4B98-B4D1-E4DC1902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26.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691.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54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691.pdf" TargetMode="External"/><Relationship Id="rId2" Type="http://schemas.openxmlformats.org/officeDocument/2006/relationships/hyperlink" Target="http://www.nevo.co.il/Law_word/law06/tak-6544.pdf" TargetMode="External"/><Relationship Id="rId1" Type="http://schemas.openxmlformats.org/officeDocument/2006/relationships/hyperlink" Target="http://www.nevo.co.il/Law_word/law06/TAK-6245.pdf" TargetMode="External"/><Relationship Id="rId4" Type="http://schemas.openxmlformats.org/officeDocument/2006/relationships/hyperlink" Target="http://www.nevo.co.il/Law_word/law06/tak-68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2344</CharactersWithSpaces>
  <SharedDoc>false</SharedDoc>
  <HLinks>
    <vt:vector size="54" baseType="variant">
      <vt:variant>
        <vt:i4>8192006</vt:i4>
      </vt:variant>
      <vt:variant>
        <vt:i4>18</vt:i4>
      </vt:variant>
      <vt:variant>
        <vt:i4>0</vt:i4>
      </vt:variant>
      <vt:variant>
        <vt:i4>5</vt:i4>
      </vt:variant>
      <vt:variant>
        <vt:lpwstr>http://www.nevo.co.il/Law_word/law06/TAK-6826.pdf</vt:lpwstr>
      </vt:variant>
      <vt:variant>
        <vt:lpwstr/>
      </vt:variant>
      <vt:variant>
        <vt:i4>7733263</vt:i4>
      </vt:variant>
      <vt:variant>
        <vt:i4>15</vt:i4>
      </vt:variant>
      <vt:variant>
        <vt:i4>0</vt:i4>
      </vt:variant>
      <vt:variant>
        <vt:i4>5</vt:i4>
      </vt:variant>
      <vt:variant>
        <vt:lpwstr>http://www.nevo.co.il/Law_word/law06/TAK-6691.pdf</vt:lpwstr>
      </vt:variant>
      <vt:variant>
        <vt:lpwstr/>
      </vt:variant>
      <vt:variant>
        <vt:i4>8060937</vt:i4>
      </vt:variant>
      <vt:variant>
        <vt:i4>12</vt:i4>
      </vt:variant>
      <vt:variant>
        <vt:i4>0</vt:i4>
      </vt:variant>
      <vt:variant>
        <vt:i4>5</vt:i4>
      </vt:variant>
      <vt:variant>
        <vt:lpwstr>http://www.nevo.co.il/Law_word/law06/tak-6544.pdf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8192006</vt:i4>
      </vt:variant>
      <vt:variant>
        <vt:i4>9</vt:i4>
      </vt:variant>
      <vt:variant>
        <vt:i4>0</vt:i4>
      </vt:variant>
      <vt:variant>
        <vt:i4>5</vt:i4>
      </vt:variant>
      <vt:variant>
        <vt:lpwstr>http://www.nevo.co.il/Law_word/law06/tak-6826.pdf</vt:lpwstr>
      </vt:variant>
      <vt:variant>
        <vt:lpwstr/>
      </vt:variant>
      <vt:variant>
        <vt:i4>7733263</vt:i4>
      </vt:variant>
      <vt:variant>
        <vt:i4>6</vt:i4>
      </vt:variant>
      <vt:variant>
        <vt:i4>0</vt:i4>
      </vt:variant>
      <vt:variant>
        <vt:i4>5</vt:i4>
      </vt:variant>
      <vt:variant>
        <vt:lpwstr>http://www.nevo.co.il/Law_word/law06/tak-6691.pdf</vt:lpwstr>
      </vt:variant>
      <vt:variant>
        <vt:lpwstr/>
      </vt:variant>
      <vt:variant>
        <vt:i4>8060937</vt:i4>
      </vt:variant>
      <vt:variant>
        <vt:i4>3</vt:i4>
      </vt:variant>
      <vt:variant>
        <vt:i4>0</vt:i4>
      </vt:variant>
      <vt:variant>
        <vt:i4>5</vt:i4>
      </vt:variant>
      <vt:variant>
        <vt:lpwstr>http://www.nevo.co.il/Law_word/law06/tak-6544.pdf</vt:lpwstr>
      </vt:variant>
      <vt:variant>
        <vt:lpwstr/>
      </vt:variant>
      <vt:variant>
        <vt:i4>8060943</vt:i4>
      </vt:variant>
      <vt:variant>
        <vt:i4>0</vt:i4>
      </vt:variant>
      <vt:variant>
        <vt:i4>0</vt:i4>
      </vt:variant>
      <vt:variant>
        <vt:i4>5</vt:i4>
      </vt:variant>
      <vt:variant>
        <vt:lpwstr>http://www.nevo.co.il/Law_word/law06/TAK-6245.pdf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(קביעת אגרה בעד בקשת אישור העברת נכסים והחלפת מניות), תשס"ג-2003</vt:lpwstr>
  </property>
  <property fmtid="{D5CDD505-2E9C-101B-9397-08002B2CF9AE}" pid="4" name="LAWNUMBER">
    <vt:lpwstr>0163</vt:lpwstr>
  </property>
  <property fmtid="{D5CDD505-2E9C-101B-9397-08002B2CF9AE}" pid="5" name="TYPE">
    <vt:lpwstr>01</vt:lpwstr>
  </property>
  <property fmtid="{D5CDD505-2E9C-101B-9397-08002B2CF9AE}" pid="6" name="CHNAME">
    <vt:lpwstr/>
  </property>
  <property fmtid="{D5CDD505-2E9C-101B-9397-08002B2CF9AE}" pid="7" name="LINKK1">
    <vt:lpwstr>http://www.nevo.co.il/Law_word/law06/tak-6826.pdf;‎רשומות - תקנות כלליות#ק"ת תש"ע מס' 6826 ‏‏#מיום 16.11.2009 עמ' 118 – הודעה תש"ע-2009; תחילתה ביום 1.1.2010‏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מס הכנסה </vt:lpwstr>
  </property>
  <property fmtid="{D5CDD505-2E9C-101B-9397-08002B2CF9AE}" pid="24" name="MEKOR_SAIF1">
    <vt:lpwstr>104זXדX</vt:lpwstr>
  </property>
  <property fmtid="{D5CDD505-2E9C-101B-9397-08002B2CF9AE}" pid="25" name="MEKOR_NAME2">
    <vt:lpwstr>חוק-יסוד: משק המדינה</vt:lpwstr>
  </property>
  <property fmtid="{D5CDD505-2E9C-101B-9397-08002B2CF9AE}" pid="26" name="MEKOR_SAIF2">
    <vt:lpwstr>1XבX</vt:lpwstr>
  </property>
  <property fmtid="{D5CDD505-2E9C-101B-9397-08002B2CF9AE}" pid="27" name="NOSE11">
    <vt:lpwstr>מסים</vt:lpwstr>
  </property>
  <property fmtid="{D5CDD505-2E9C-101B-9397-08002B2CF9AE}" pid="28" name="NOSE21">
    <vt:lpwstr>מס הכנסה</vt:lpwstr>
  </property>
  <property fmtid="{D5CDD505-2E9C-101B-9397-08002B2CF9AE}" pid="29" name="NOSE31">
    <vt:lpwstr>קביעות וכללים</vt:lpwstr>
  </property>
  <property fmtid="{D5CDD505-2E9C-101B-9397-08002B2CF9AE}" pid="30" name="NOSE41">
    <vt:lpwstr/>
  </property>
  <property fmtid="{D5CDD505-2E9C-101B-9397-08002B2CF9AE}" pid="31" name="NOSE12">
    <vt:lpwstr>מסים</vt:lpwstr>
  </property>
  <property fmtid="{D5CDD505-2E9C-101B-9397-08002B2CF9AE}" pid="32" name="NOSE22">
    <vt:lpwstr>מס הכנסה</vt:lpwstr>
  </property>
  <property fmtid="{D5CDD505-2E9C-101B-9397-08002B2CF9AE}" pid="33" name="NOSE32">
    <vt:lpwstr>אגרה</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