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F9D8" w14:textId="77777777" w:rsidR="004D51A3" w:rsidRDefault="004D51A3" w:rsidP="005B3C55">
      <w:pPr>
        <w:pStyle w:val="big-header"/>
        <w:ind w:left="0" w:right="1134"/>
        <w:rPr>
          <w:rFonts w:cs="FrankRuehl" w:hint="cs"/>
          <w:sz w:val="32"/>
          <w:rtl/>
        </w:rPr>
      </w:pPr>
      <w:r>
        <w:rPr>
          <w:rFonts w:cs="FrankRuehl"/>
          <w:sz w:val="32"/>
          <w:rtl/>
        </w:rPr>
        <w:t>תקנות מס הכנסה (קביעת אחוז נכות), תש"ם</w:t>
      </w:r>
      <w:r w:rsidR="005B3C55">
        <w:rPr>
          <w:rFonts w:cs="FrankRuehl" w:hint="cs"/>
          <w:sz w:val="32"/>
          <w:rtl/>
        </w:rPr>
        <w:t>-</w:t>
      </w:r>
      <w:r>
        <w:rPr>
          <w:rFonts w:cs="FrankRuehl"/>
          <w:sz w:val="32"/>
          <w:rtl/>
        </w:rPr>
        <w:t>1979</w:t>
      </w:r>
    </w:p>
    <w:p w14:paraId="59009ACD" w14:textId="77777777" w:rsidR="00E160CB" w:rsidRDefault="00E160CB" w:rsidP="00E160CB">
      <w:pPr>
        <w:spacing w:line="320" w:lineRule="auto"/>
        <w:rPr>
          <w:rFonts w:hint="cs"/>
          <w:rtl/>
        </w:rPr>
      </w:pPr>
    </w:p>
    <w:p w14:paraId="073F8151" w14:textId="77777777" w:rsidR="00F8397A" w:rsidRDefault="00F8397A" w:rsidP="00E160CB">
      <w:pPr>
        <w:spacing w:line="320" w:lineRule="auto"/>
        <w:rPr>
          <w:rFonts w:hint="cs"/>
          <w:rtl/>
        </w:rPr>
      </w:pPr>
    </w:p>
    <w:p w14:paraId="2A50C7E9" w14:textId="77777777" w:rsidR="00E160CB" w:rsidRDefault="00E160CB" w:rsidP="00E160CB">
      <w:pPr>
        <w:spacing w:line="320" w:lineRule="auto"/>
        <w:rPr>
          <w:rFonts w:cs="FrankRuehl"/>
          <w:szCs w:val="26"/>
          <w:rtl/>
        </w:rPr>
      </w:pPr>
      <w:r w:rsidRPr="00E160CB">
        <w:rPr>
          <w:rFonts w:cs="Miriam"/>
          <w:szCs w:val="22"/>
          <w:rtl/>
        </w:rPr>
        <w:t>מסים</w:t>
      </w:r>
      <w:r w:rsidRPr="00E160CB">
        <w:rPr>
          <w:rFonts w:cs="FrankRuehl"/>
          <w:szCs w:val="26"/>
          <w:rtl/>
        </w:rPr>
        <w:t xml:space="preserve"> – מס הכנסה</w:t>
      </w:r>
    </w:p>
    <w:p w14:paraId="7811F40F" w14:textId="77777777" w:rsidR="00E160CB" w:rsidRPr="00E160CB" w:rsidRDefault="00E160CB" w:rsidP="00E160CB">
      <w:pPr>
        <w:spacing w:line="320" w:lineRule="auto"/>
        <w:rPr>
          <w:rFonts w:cs="Miriam"/>
          <w:szCs w:val="22"/>
          <w:rtl/>
        </w:rPr>
      </w:pPr>
      <w:r w:rsidRPr="00E160CB">
        <w:rPr>
          <w:rFonts w:cs="Miriam"/>
          <w:szCs w:val="22"/>
          <w:rtl/>
        </w:rPr>
        <w:t>בריאות</w:t>
      </w:r>
      <w:r w:rsidRPr="00E160CB">
        <w:rPr>
          <w:rFonts w:cs="FrankRuehl"/>
          <w:szCs w:val="26"/>
          <w:rtl/>
        </w:rPr>
        <w:t xml:space="preserve"> – נכים</w:t>
      </w:r>
    </w:p>
    <w:p w14:paraId="63CCC90D" w14:textId="77777777" w:rsidR="004D51A3" w:rsidRDefault="004D51A3">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D51A3" w14:paraId="75EC92D2" w14:textId="77777777">
        <w:tblPrEx>
          <w:tblCellMar>
            <w:top w:w="0" w:type="dxa"/>
            <w:bottom w:w="0" w:type="dxa"/>
          </w:tblCellMar>
        </w:tblPrEx>
        <w:tc>
          <w:tcPr>
            <w:tcW w:w="850" w:type="dxa"/>
          </w:tcPr>
          <w:p w14:paraId="4249DD40" w14:textId="77777777" w:rsidR="004D51A3" w:rsidRDefault="004D51A3">
            <w:r>
              <w:rPr>
                <w:rtl/>
              </w:rPr>
              <w:fldChar w:fldCharType="begin"/>
            </w:r>
            <w:r>
              <w:rPr>
                <w:rtl/>
              </w:rPr>
              <w:instrText xml:space="preserve"> </w:instrText>
            </w:r>
            <w:r>
              <w:instrText>PAGEREF Seif15</w:instrText>
            </w:r>
            <w:r>
              <w:rPr>
                <w:rtl/>
              </w:rPr>
              <w:instrText xml:space="preserve"> </w:instrText>
            </w:r>
            <w:r>
              <w:rPr>
                <w:rtl/>
              </w:rPr>
              <w:fldChar w:fldCharType="separate"/>
            </w:r>
            <w:r w:rsidR="005B3C55">
              <w:rPr>
                <w:noProof/>
                <w:rtl/>
              </w:rPr>
              <w:t>2</w:t>
            </w:r>
            <w:r>
              <w:rPr>
                <w:rtl/>
              </w:rPr>
              <w:fldChar w:fldCharType="end"/>
            </w:r>
          </w:p>
        </w:tc>
        <w:tc>
          <w:tcPr>
            <w:tcW w:w="567" w:type="dxa"/>
          </w:tcPr>
          <w:p w14:paraId="26B9BED0" w14:textId="77777777" w:rsidR="004D51A3" w:rsidRDefault="004D51A3">
            <w:hyperlink w:anchor="Seif15" w:tooltip="הגדרות" w:history="1">
              <w:r>
                <w:rPr>
                  <w:rStyle w:val="Hyperlink"/>
                </w:rPr>
                <w:t>Go</w:t>
              </w:r>
            </w:hyperlink>
          </w:p>
        </w:tc>
        <w:tc>
          <w:tcPr>
            <w:tcW w:w="5669" w:type="dxa"/>
          </w:tcPr>
          <w:p w14:paraId="3ED9EDE1" w14:textId="77777777" w:rsidR="004D51A3" w:rsidRDefault="004D51A3">
            <w:pPr>
              <w:rPr>
                <w:rtl/>
              </w:rPr>
            </w:pPr>
            <w:r>
              <w:rPr>
                <w:rtl/>
              </w:rPr>
              <w:t>הגדרות</w:t>
            </w:r>
          </w:p>
        </w:tc>
        <w:tc>
          <w:tcPr>
            <w:tcW w:w="1247" w:type="dxa"/>
          </w:tcPr>
          <w:p w14:paraId="4987B30B" w14:textId="77777777" w:rsidR="004D51A3" w:rsidRDefault="004D51A3">
            <w:r>
              <w:rPr>
                <w:rtl/>
              </w:rPr>
              <w:t xml:space="preserve">סעיף 1 </w:t>
            </w:r>
          </w:p>
        </w:tc>
      </w:tr>
      <w:tr w:rsidR="004D51A3" w14:paraId="7E50628E" w14:textId="77777777">
        <w:tblPrEx>
          <w:tblCellMar>
            <w:top w:w="0" w:type="dxa"/>
            <w:bottom w:w="0" w:type="dxa"/>
          </w:tblCellMar>
        </w:tblPrEx>
        <w:tc>
          <w:tcPr>
            <w:tcW w:w="850" w:type="dxa"/>
          </w:tcPr>
          <w:p w14:paraId="0FC97CBA" w14:textId="77777777" w:rsidR="004D51A3" w:rsidRDefault="004D51A3">
            <w:r>
              <w:rPr>
                <w:rtl/>
              </w:rPr>
              <w:fldChar w:fldCharType="begin"/>
            </w:r>
            <w:r>
              <w:rPr>
                <w:rtl/>
              </w:rPr>
              <w:instrText xml:space="preserve"> </w:instrText>
            </w:r>
            <w:r>
              <w:instrText>PAGEREF Seif16</w:instrText>
            </w:r>
            <w:r>
              <w:rPr>
                <w:rtl/>
              </w:rPr>
              <w:instrText xml:space="preserve"> </w:instrText>
            </w:r>
            <w:r>
              <w:rPr>
                <w:rtl/>
              </w:rPr>
              <w:fldChar w:fldCharType="separate"/>
            </w:r>
            <w:r w:rsidR="005B3C55">
              <w:rPr>
                <w:noProof/>
                <w:rtl/>
              </w:rPr>
              <w:t>2</w:t>
            </w:r>
            <w:r>
              <w:rPr>
                <w:rtl/>
              </w:rPr>
              <w:fldChar w:fldCharType="end"/>
            </w:r>
          </w:p>
        </w:tc>
        <w:tc>
          <w:tcPr>
            <w:tcW w:w="567" w:type="dxa"/>
          </w:tcPr>
          <w:p w14:paraId="3FC2978E" w14:textId="77777777" w:rsidR="004D51A3" w:rsidRDefault="004D51A3">
            <w:hyperlink w:anchor="Seif16" w:tooltip="קביעת אחוז נכות על ידי ועדה" w:history="1">
              <w:r>
                <w:rPr>
                  <w:rStyle w:val="Hyperlink"/>
                </w:rPr>
                <w:t>Go</w:t>
              </w:r>
            </w:hyperlink>
          </w:p>
        </w:tc>
        <w:tc>
          <w:tcPr>
            <w:tcW w:w="5669" w:type="dxa"/>
          </w:tcPr>
          <w:p w14:paraId="273CEDF7" w14:textId="77777777" w:rsidR="004D51A3" w:rsidRDefault="004D51A3">
            <w:pPr>
              <w:rPr>
                <w:rtl/>
              </w:rPr>
            </w:pPr>
            <w:r>
              <w:rPr>
                <w:rtl/>
              </w:rPr>
              <w:t>קביעת אחוז נכות על ידי ועדה</w:t>
            </w:r>
          </w:p>
        </w:tc>
        <w:tc>
          <w:tcPr>
            <w:tcW w:w="1247" w:type="dxa"/>
          </w:tcPr>
          <w:p w14:paraId="6781EC3A" w14:textId="77777777" w:rsidR="004D51A3" w:rsidRDefault="004D51A3">
            <w:r>
              <w:rPr>
                <w:rtl/>
              </w:rPr>
              <w:t xml:space="preserve">סעיף 2 </w:t>
            </w:r>
          </w:p>
        </w:tc>
      </w:tr>
      <w:tr w:rsidR="004D51A3" w14:paraId="6A17E148" w14:textId="77777777">
        <w:tblPrEx>
          <w:tblCellMar>
            <w:top w:w="0" w:type="dxa"/>
            <w:bottom w:w="0" w:type="dxa"/>
          </w:tblCellMar>
        </w:tblPrEx>
        <w:tc>
          <w:tcPr>
            <w:tcW w:w="850" w:type="dxa"/>
          </w:tcPr>
          <w:p w14:paraId="6CE1DA98" w14:textId="77777777" w:rsidR="004D51A3" w:rsidRDefault="004D51A3">
            <w:r>
              <w:rPr>
                <w:rtl/>
              </w:rPr>
              <w:fldChar w:fldCharType="begin"/>
            </w:r>
            <w:r>
              <w:rPr>
                <w:rtl/>
              </w:rPr>
              <w:instrText xml:space="preserve"> </w:instrText>
            </w:r>
            <w:r>
              <w:instrText>PAGEREF Seif17</w:instrText>
            </w:r>
            <w:r>
              <w:rPr>
                <w:rtl/>
              </w:rPr>
              <w:instrText xml:space="preserve"> </w:instrText>
            </w:r>
            <w:r>
              <w:rPr>
                <w:rtl/>
              </w:rPr>
              <w:fldChar w:fldCharType="separate"/>
            </w:r>
            <w:r w:rsidR="005B3C55">
              <w:rPr>
                <w:noProof/>
                <w:rtl/>
              </w:rPr>
              <w:t>2</w:t>
            </w:r>
            <w:r>
              <w:rPr>
                <w:rtl/>
              </w:rPr>
              <w:fldChar w:fldCharType="end"/>
            </w:r>
          </w:p>
        </w:tc>
        <w:tc>
          <w:tcPr>
            <w:tcW w:w="567" w:type="dxa"/>
          </w:tcPr>
          <w:p w14:paraId="2F8BE08C" w14:textId="77777777" w:rsidR="004D51A3" w:rsidRDefault="004D51A3">
            <w:hyperlink w:anchor="Seif17" w:tooltip="ההליכים לקביעת אחוז נכות" w:history="1">
              <w:r>
                <w:rPr>
                  <w:rStyle w:val="Hyperlink"/>
                </w:rPr>
                <w:t>Go</w:t>
              </w:r>
            </w:hyperlink>
          </w:p>
        </w:tc>
        <w:tc>
          <w:tcPr>
            <w:tcW w:w="5669" w:type="dxa"/>
          </w:tcPr>
          <w:p w14:paraId="243220EB" w14:textId="77777777" w:rsidR="004D51A3" w:rsidRDefault="004D51A3">
            <w:pPr>
              <w:rPr>
                <w:rtl/>
              </w:rPr>
            </w:pPr>
            <w:r>
              <w:rPr>
                <w:rtl/>
              </w:rPr>
              <w:t>ההליכים לקביעת אחוז נכות</w:t>
            </w:r>
          </w:p>
        </w:tc>
        <w:tc>
          <w:tcPr>
            <w:tcW w:w="1247" w:type="dxa"/>
          </w:tcPr>
          <w:p w14:paraId="3225AAD8" w14:textId="77777777" w:rsidR="004D51A3" w:rsidRDefault="004D51A3">
            <w:r>
              <w:rPr>
                <w:rtl/>
              </w:rPr>
              <w:t xml:space="preserve">סעיף 3 </w:t>
            </w:r>
          </w:p>
        </w:tc>
      </w:tr>
      <w:tr w:rsidR="004D51A3" w14:paraId="6CA76963" w14:textId="77777777">
        <w:tblPrEx>
          <w:tblCellMar>
            <w:top w:w="0" w:type="dxa"/>
            <w:bottom w:w="0" w:type="dxa"/>
          </w:tblCellMar>
        </w:tblPrEx>
        <w:tc>
          <w:tcPr>
            <w:tcW w:w="850" w:type="dxa"/>
          </w:tcPr>
          <w:p w14:paraId="312A6591" w14:textId="77777777" w:rsidR="004D51A3" w:rsidRDefault="004D51A3">
            <w:r>
              <w:rPr>
                <w:rtl/>
              </w:rPr>
              <w:fldChar w:fldCharType="begin"/>
            </w:r>
            <w:r>
              <w:rPr>
                <w:rtl/>
              </w:rPr>
              <w:instrText xml:space="preserve"> </w:instrText>
            </w:r>
            <w:r>
              <w:instrText>PAGEREF Seif18</w:instrText>
            </w:r>
            <w:r>
              <w:rPr>
                <w:rtl/>
              </w:rPr>
              <w:instrText xml:space="preserve"> </w:instrText>
            </w:r>
            <w:r>
              <w:rPr>
                <w:rtl/>
              </w:rPr>
              <w:fldChar w:fldCharType="separate"/>
            </w:r>
            <w:r w:rsidR="005B3C55">
              <w:rPr>
                <w:noProof/>
                <w:rtl/>
              </w:rPr>
              <w:t>2</w:t>
            </w:r>
            <w:r>
              <w:rPr>
                <w:rtl/>
              </w:rPr>
              <w:fldChar w:fldCharType="end"/>
            </w:r>
          </w:p>
        </w:tc>
        <w:tc>
          <w:tcPr>
            <w:tcW w:w="567" w:type="dxa"/>
          </w:tcPr>
          <w:p w14:paraId="4287406B" w14:textId="77777777" w:rsidR="004D51A3" w:rsidRDefault="004D51A3">
            <w:hyperlink w:anchor="Seif18" w:tooltip="יועצים רפואיים" w:history="1">
              <w:r>
                <w:rPr>
                  <w:rStyle w:val="Hyperlink"/>
                </w:rPr>
                <w:t>Go</w:t>
              </w:r>
            </w:hyperlink>
          </w:p>
        </w:tc>
        <w:tc>
          <w:tcPr>
            <w:tcW w:w="5669" w:type="dxa"/>
          </w:tcPr>
          <w:p w14:paraId="59BF336B" w14:textId="77777777" w:rsidR="004D51A3" w:rsidRDefault="004D51A3">
            <w:pPr>
              <w:rPr>
                <w:rtl/>
              </w:rPr>
            </w:pPr>
            <w:r>
              <w:rPr>
                <w:rtl/>
              </w:rPr>
              <w:t>יועצים רפואיים</w:t>
            </w:r>
          </w:p>
        </w:tc>
        <w:tc>
          <w:tcPr>
            <w:tcW w:w="1247" w:type="dxa"/>
          </w:tcPr>
          <w:p w14:paraId="172474F4" w14:textId="77777777" w:rsidR="004D51A3" w:rsidRDefault="004D51A3">
            <w:r>
              <w:rPr>
                <w:rtl/>
              </w:rPr>
              <w:t xml:space="preserve">סעיף 4 </w:t>
            </w:r>
          </w:p>
        </w:tc>
      </w:tr>
      <w:tr w:rsidR="004D51A3" w14:paraId="078E8C49" w14:textId="77777777">
        <w:tblPrEx>
          <w:tblCellMar>
            <w:top w:w="0" w:type="dxa"/>
            <w:bottom w:w="0" w:type="dxa"/>
          </w:tblCellMar>
        </w:tblPrEx>
        <w:tc>
          <w:tcPr>
            <w:tcW w:w="850" w:type="dxa"/>
          </w:tcPr>
          <w:p w14:paraId="6D82F65F" w14:textId="77777777" w:rsidR="004D51A3" w:rsidRDefault="004D51A3">
            <w:r>
              <w:rPr>
                <w:rtl/>
              </w:rPr>
              <w:fldChar w:fldCharType="begin"/>
            </w:r>
            <w:r>
              <w:rPr>
                <w:rtl/>
              </w:rPr>
              <w:instrText xml:space="preserve"> </w:instrText>
            </w:r>
            <w:r>
              <w:instrText>PAGEREF Seif19</w:instrText>
            </w:r>
            <w:r>
              <w:rPr>
                <w:rtl/>
              </w:rPr>
              <w:instrText xml:space="preserve"> </w:instrText>
            </w:r>
            <w:r>
              <w:rPr>
                <w:rtl/>
              </w:rPr>
              <w:fldChar w:fldCharType="separate"/>
            </w:r>
            <w:r w:rsidR="005B3C55">
              <w:rPr>
                <w:noProof/>
                <w:rtl/>
              </w:rPr>
              <w:t>2</w:t>
            </w:r>
            <w:r>
              <w:rPr>
                <w:rtl/>
              </w:rPr>
              <w:fldChar w:fldCharType="end"/>
            </w:r>
          </w:p>
        </w:tc>
        <w:tc>
          <w:tcPr>
            <w:tcW w:w="567" w:type="dxa"/>
          </w:tcPr>
          <w:p w14:paraId="54327AA5" w14:textId="77777777" w:rsidR="004D51A3" w:rsidRDefault="004D51A3">
            <w:hyperlink w:anchor="Seif19" w:tooltip="מועד ומקום התיצבות הנכה" w:history="1">
              <w:r>
                <w:rPr>
                  <w:rStyle w:val="Hyperlink"/>
                </w:rPr>
                <w:t>Go</w:t>
              </w:r>
            </w:hyperlink>
          </w:p>
        </w:tc>
        <w:tc>
          <w:tcPr>
            <w:tcW w:w="5669" w:type="dxa"/>
          </w:tcPr>
          <w:p w14:paraId="2F97E794" w14:textId="77777777" w:rsidR="004D51A3" w:rsidRDefault="004D51A3">
            <w:pPr>
              <w:rPr>
                <w:rtl/>
              </w:rPr>
            </w:pPr>
            <w:r>
              <w:rPr>
                <w:rtl/>
              </w:rPr>
              <w:t>מועד ומקום התיצבות הנכה</w:t>
            </w:r>
          </w:p>
        </w:tc>
        <w:tc>
          <w:tcPr>
            <w:tcW w:w="1247" w:type="dxa"/>
          </w:tcPr>
          <w:p w14:paraId="719BF839" w14:textId="77777777" w:rsidR="004D51A3" w:rsidRDefault="004D51A3">
            <w:r>
              <w:rPr>
                <w:rtl/>
              </w:rPr>
              <w:t xml:space="preserve">סעיף 5 </w:t>
            </w:r>
          </w:p>
        </w:tc>
      </w:tr>
      <w:tr w:rsidR="004D51A3" w14:paraId="20DA44A2" w14:textId="77777777">
        <w:tblPrEx>
          <w:tblCellMar>
            <w:top w:w="0" w:type="dxa"/>
            <w:bottom w:w="0" w:type="dxa"/>
          </w:tblCellMar>
        </w:tblPrEx>
        <w:tc>
          <w:tcPr>
            <w:tcW w:w="850" w:type="dxa"/>
          </w:tcPr>
          <w:p w14:paraId="02A87D74" w14:textId="77777777" w:rsidR="004D51A3" w:rsidRDefault="004D51A3">
            <w:r>
              <w:rPr>
                <w:rtl/>
              </w:rPr>
              <w:fldChar w:fldCharType="begin"/>
            </w:r>
            <w:r>
              <w:rPr>
                <w:rtl/>
              </w:rPr>
              <w:instrText xml:space="preserve"> </w:instrText>
            </w:r>
            <w:r>
              <w:instrText>PAGEREF Seif20</w:instrText>
            </w:r>
            <w:r>
              <w:rPr>
                <w:rtl/>
              </w:rPr>
              <w:instrText xml:space="preserve"> </w:instrText>
            </w:r>
            <w:r>
              <w:rPr>
                <w:rtl/>
              </w:rPr>
              <w:fldChar w:fldCharType="separate"/>
            </w:r>
            <w:r w:rsidR="005B3C55">
              <w:rPr>
                <w:noProof/>
                <w:rtl/>
              </w:rPr>
              <w:t>2</w:t>
            </w:r>
            <w:r>
              <w:rPr>
                <w:rtl/>
              </w:rPr>
              <w:fldChar w:fldCharType="end"/>
            </w:r>
          </w:p>
        </w:tc>
        <w:tc>
          <w:tcPr>
            <w:tcW w:w="567" w:type="dxa"/>
          </w:tcPr>
          <w:p w14:paraId="14E16FB5" w14:textId="77777777" w:rsidR="004D51A3" w:rsidRDefault="004D51A3">
            <w:hyperlink w:anchor="Seif20" w:tooltip="קביעת דרגת נכות על פי מסמכים" w:history="1">
              <w:r>
                <w:rPr>
                  <w:rStyle w:val="Hyperlink"/>
                </w:rPr>
                <w:t>Go</w:t>
              </w:r>
            </w:hyperlink>
          </w:p>
        </w:tc>
        <w:tc>
          <w:tcPr>
            <w:tcW w:w="5669" w:type="dxa"/>
          </w:tcPr>
          <w:p w14:paraId="27873ECF" w14:textId="77777777" w:rsidR="004D51A3" w:rsidRDefault="004D51A3">
            <w:pPr>
              <w:rPr>
                <w:rtl/>
              </w:rPr>
            </w:pPr>
            <w:r>
              <w:rPr>
                <w:rtl/>
              </w:rPr>
              <w:t>קביעת דרגת נכות על פי מסמכים</w:t>
            </w:r>
          </w:p>
        </w:tc>
        <w:tc>
          <w:tcPr>
            <w:tcW w:w="1247" w:type="dxa"/>
          </w:tcPr>
          <w:p w14:paraId="0A8163B1" w14:textId="77777777" w:rsidR="004D51A3" w:rsidRDefault="004D51A3">
            <w:r>
              <w:rPr>
                <w:rtl/>
              </w:rPr>
              <w:t xml:space="preserve">סעיף 6 </w:t>
            </w:r>
          </w:p>
        </w:tc>
      </w:tr>
      <w:tr w:rsidR="004D51A3" w14:paraId="7FD75738" w14:textId="77777777">
        <w:tblPrEx>
          <w:tblCellMar>
            <w:top w:w="0" w:type="dxa"/>
            <w:bottom w:w="0" w:type="dxa"/>
          </w:tblCellMar>
        </w:tblPrEx>
        <w:tc>
          <w:tcPr>
            <w:tcW w:w="850" w:type="dxa"/>
          </w:tcPr>
          <w:p w14:paraId="7087D1B1" w14:textId="77777777" w:rsidR="004D51A3" w:rsidRDefault="004D51A3">
            <w:r>
              <w:rPr>
                <w:rtl/>
              </w:rPr>
              <w:fldChar w:fldCharType="begin"/>
            </w:r>
            <w:r>
              <w:rPr>
                <w:rtl/>
              </w:rPr>
              <w:instrText xml:space="preserve"> </w:instrText>
            </w:r>
            <w:r>
              <w:instrText>PAGEREF Seif21</w:instrText>
            </w:r>
            <w:r>
              <w:rPr>
                <w:rtl/>
              </w:rPr>
              <w:instrText xml:space="preserve"> </w:instrText>
            </w:r>
            <w:r>
              <w:rPr>
                <w:rtl/>
              </w:rPr>
              <w:fldChar w:fldCharType="separate"/>
            </w:r>
            <w:r w:rsidR="005B3C55">
              <w:rPr>
                <w:noProof/>
                <w:rtl/>
              </w:rPr>
              <w:t>2</w:t>
            </w:r>
            <w:r>
              <w:rPr>
                <w:rtl/>
              </w:rPr>
              <w:fldChar w:fldCharType="end"/>
            </w:r>
          </w:p>
        </w:tc>
        <w:tc>
          <w:tcPr>
            <w:tcW w:w="567" w:type="dxa"/>
          </w:tcPr>
          <w:p w14:paraId="25846126" w14:textId="77777777" w:rsidR="004D51A3" w:rsidRDefault="004D51A3">
            <w:hyperlink w:anchor="Seif21" w:tooltip="בדיקה במקום הימצא הנכה" w:history="1">
              <w:r>
                <w:rPr>
                  <w:rStyle w:val="Hyperlink"/>
                </w:rPr>
                <w:t>Go</w:t>
              </w:r>
            </w:hyperlink>
          </w:p>
        </w:tc>
        <w:tc>
          <w:tcPr>
            <w:tcW w:w="5669" w:type="dxa"/>
          </w:tcPr>
          <w:p w14:paraId="628FAD5E" w14:textId="77777777" w:rsidR="004D51A3" w:rsidRDefault="004D51A3">
            <w:pPr>
              <w:rPr>
                <w:rtl/>
              </w:rPr>
            </w:pPr>
            <w:r>
              <w:rPr>
                <w:rtl/>
              </w:rPr>
              <w:t>בדיקה במקום הימצא הנכה</w:t>
            </w:r>
          </w:p>
        </w:tc>
        <w:tc>
          <w:tcPr>
            <w:tcW w:w="1247" w:type="dxa"/>
          </w:tcPr>
          <w:p w14:paraId="3CFAE2B0" w14:textId="77777777" w:rsidR="004D51A3" w:rsidRDefault="004D51A3">
            <w:r>
              <w:rPr>
                <w:rtl/>
              </w:rPr>
              <w:t xml:space="preserve">סעיף 7 </w:t>
            </w:r>
          </w:p>
        </w:tc>
      </w:tr>
      <w:tr w:rsidR="004D51A3" w14:paraId="574F263A" w14:textId="77777777">
        <w:tblPrEx>
          <w:tblCellMar>
            <w:top w:w="0" w:type="dxa"/>
            <w:bottom w:w="0" w:type="dxa"/>
          </w:tblCellMar>
        </w:tblPrEx>
        <w:tc>
          <w:tcPr>
            <w:tcW w:w="850" w:type="dxa"/>
          </w:tcPr>
          <w:p w14:paraId="033A0505" w14:textId="77777777" w:rsidR="004D51A3" w:rsidRDefault="004D51A3">
            <w:r>
              <w:rPr>
                <w:rtl/>
              </w:rPr>
              <w:fldChar w:fldCharType="begin"/>
            </w:r>
            <w:r>
              <w:rPr>
                <w:rtl/>
              </w:rPr>
              <w:instrText xml:space="preserve"> </w:instrText>
            </w:r>
            <w:r>
              <w:instrText>PAGEREF Seif22</w:instrText>
            </w:r>
            <w:r>
              <w:rPr>
                <w:rtl/>
              </w:rPr>
              <w:instrText xml:space="preserve"> </w:instrText>
            </w:r>
            <w:r>
              <w:rPr>
                <w:rtl/>
              </w:rPr>
              <w:fldChar w:fldCharType="separate"/>
            </w:r>
            <w:r w:rsidR="005B3C55">
              <w:rPr>
                <w:noProof/>
                <w:rtl/>
              </w:rPr>
              <w:t>2</w:t>
            </w:r>
            <w:r>
              <w:rPr>
                <w:rtl/>
              </w:rPr>
              <w:fldChar w:fldCharType="end"/>
            </w:r>
          </w:p>
        </w:tc>
        <w:tc>
          <w:tcPr>
            <w:tcW w:w="567" w:type="dxa"/>
          </w:tcPr>
          <w:p w14:paraId="63DF4617" w14:textId="77777777" w:rsidR="004D51A3" w:rsidRDefault="004D51A3">
            <w:hyperlink w:anchor="Seif22" w:tooltip="אי התיצבות לבדיקה או אי מילוי אחרי הוראות הועדה" w:history="1">
              <w:r>
                <w:rPr>
                  <w:rStyle w:val="Hyperlink"/>
                </w:rPr>
                <w:t>Go</w:t>
              </w:r>
            </w:hyperlink>
          </w:p>
        </w:tc>
        <w:tc>
          <w:tcPr>
            <w:tcW w:w="5669" w:type="dxa"/>
          </w:tcPr>
          <w:p w14:paraId="0790BFD2" w14:textId="77777777" w:rsidR="004D51A3" w:rsidRDefault="004D51A3">
            <w:pPr>
              <w:rPr>
                <w:rtl/>
              </w:rPr>
            </w:pPr>
            <w:r>
              <w:rPr>
                <w:rtl/>
              </w:rPr>
              <w:t>אי התיצבות לבדיקה או אי מילוי אחרי הוראות הועדה</w:t>
            </w:r>
          </w:p>
        </w:tc>
        <w:tc>
          <w:tcPr>
            <w:tcW w:w="1247" w:type="dxa"/>
          </w:tcPr>
          <w:p w14:paraId="571B8F23" w14:textId="77777777" w:rsidR="004D51A3" w:rsidRDefault="004D51A3">
            <w:r>
              <w:rPr>
                <w:rtl/>
              </w:rPr>
              <w:t xml:space="preserve">סעיף 8 </w:t>
            </w:r>
          </w:p>
        </w:tc>
      </w:tr>
      <w:tr w:rsidR="004D51A3" w14:paraId="54BEFA28" w14:textId="77777777">
        <w:tblPrEx>
          <w:tblCellMar>
            <w:top w:w="0" w:type="dxa"/>
            <w:bottom w:w="0" w:type="dxa"/>
          </w:tblCellMar>
        </w:tblPrEx>
        <w:tc>
          <w:tcPr>
            <w:tcW w:w="850" w:type="dxa"/>
          </w:tcPr>
          <w:p w14:paraId="127A6A39" w14:textId="77777777" w:rsidR="004D51A3" w:rsidRDefault="004D51A3">
            <w:r>
              <w:rPr>
                <w:rtl/>
              </w:rPr>
              <w:fldChar w:fldCharType="begin"/>
            </w:r>
            <w:r>
              <w:rPr>
                <w:rtl/>
              </w:rPr>
              <w:instrText xml:space="preserve"> </w:instrText>
            </w:r>
            <w:r>
              <w:instrText>PAGEREF Seif23</w:instrText>
            </w:r>
            <w:r>
              <w:rPr>
                <w:rtl/>
              </w:rPr>
              <w:instrText xml:space="preserve"> </w:instrText>
            </w:r>
            <w:r>
              <w:rPr>
                <w:rtl/>
              </w:rPr>
              <w:fldChar w:fldCharType="separate"/>
            </w:r>
            <w:r w:rsidR="005B3C55">
              <w:rPr>
                <w:noProof/>
                <w:rtl/>
              </w:rPr>
              <w:t>2</w:t>
            </w:r>
            <w:r>
              <w:rPr>
                <w:rtl/>
              </w:rPr>
              <w:fldChar w:fldCharType="end"/>
            </w:r>
          </w:p>
        </w:tc>
        <w:tc>
          <w:tcPr>
            <w:tcW w:w="567" w:type="dxa"/>
          </w:tcPr>
          <w:p w14:paraId="7D49B670" w14:textId="77777777" w:rsidR="004D51A3" w:rsidRDefault="004D51A3">
            <w:hyperlink w:anchor="Seif23" w:tooltip="נוכחות זרים בשעת הבדיקה" w:history="1">
              <w:r>
                <w:rPr>
                  <w:rStyle w:val="Hyperlink"/>
                </w:rPr>
                <w:t>Go</w:t>
              </w:r>
            </w:hyperlink>
          </w:p>
        </w:tc>
        <w:tc>
          <w:tcPr>
            <w:tcW w:w="5669" w:type="dxa"/>
          </w:tcPr>
          <w:p w14:paraId="0FE8ED90" w14:textId="77777777" w:rsidR="004D51A3" w:rsidRDefault="004D51A3">
            <w:pPr>
              <w:rPr>
                <w:rtl/>
              </w:rPr>
            </w:pPr>
            <w:r>
              <w:rPr>
                <w:rtl/>
              </w:rPr>
              <w:t>נוכחות זרים בשעת הבדיקה</w:t>
            </w:r>
          </w:p>
        </w:tc>
        <w:tc>
          <w:tcPr>
            <w:tcW w:w="1247" w:type="dxa"/>
          </w:tcPr>
          <w:p w14:paraId="75EE5EFD" w14:textId="77777777" w:rsidR="004D51A3" w:rsidRDefault="004D51A3">
            <w:r>
              <w:rPr>
                <w:rtl/>
              </w:rPr>
              <w:t xml:space="preserve">סעיף 9 </w:t>
            </w:r>
          </w:p>
        </w:tc>
      </w:tr>
      <w:tr w:rsidR="004D51A3" w14:paraId="23004701" w14:textId="77777777">
        <w:tblPrEx>
          <w:tblCellMar>
            <w:top w:w="0" w:type="dxa"/>
            <w:bottom w:w="0" w:type="dxa"/>
          </w:tblCellMar>
        </w:tblPrEx>
        <w:tc>
          <w:tcPr>
            <w:tcW w:w="850" w:type="dxa"/>
          </w:tcPr>
          <w:p w14:paraId="3D8FC040" w14:textId="77777777" w:rsidR="004D51A3" w:rsidRDefault="004D51A3">
            <w:r>
              <w:rPr>
                <w:rtl/>
              </w:rPr>
              <w:fldChar w:fldCharType="begin"/>
            </w:r>
            <w:r>
              <w:rPr>
                <w:rtl/>
              </w:rPr>
              <w:instrText xml:space="preserve"> </w:instrText>
            </w:r>
            <w:r>
              <w:instrText>PAGEREF Seif24</w:instrText>
            </w:r>
            <w:r>
              <w:rPr>
                <w:rtl/>
              </w:rPr>
              <w:instrText xml:space="preserve"> </w:instrText>
            </w:r>
            <w:r>
              <w:rPr>
                <w:rtl/>
              </w:rPr>
              <w:fldChar w:fldCharType="separate"/>
            </w:r>
            <w:r w:rsidR="005B3C55">
              <w:rPr>
                <w:noProof/>
                <w:rtl/>
              </w:rPr>
              <w:t>2</w:t>
            </w:r>
            <w:r>
              <w:rPr>
                <w:rtl/>
              </w:rPr>
              <w:fldChar w:fldCharType="end"/>
            </w:r>
          </w:p>
        </w:tc>
        <w:tc>
          <w:tcPr>
            <w:tcW w:w="567" w:type="dxa"/>
          </w:tcPr>
          <w:p w14:paraId="4ECF2A6B" w14:textId="77777777" w:rsidR="004D51A3" w:rsidRDefault="004D51A3">
            <w:hyperlink w:anchor="Seif24" w:tooltip="בדיקות נוספות" w:history="1">
              <w:r>
                <w:rPr>
                  <w:rStyle w:val="Hyperlink"/>
                </w:rPr>
                <w:t>Go</w:t>
              </w:r>
            </w:hyperlink>
          </w:p>
        </w:tc>
        <w:tc>
          <w:tcPr>
            <w:tcW w:w="5669" w:type="dxa"/>
          </w:tcPr>
          <w:p w14:paraId="7C9B3C89" w14:textId="77777777" w:rsidR="004D51A3" w:rsidRDefault="004D51A3">
            <w:pPr>
              <w:rPr>
                <w:rtl/>
              </w:rPr>
            </w:pPr>
            <w:r>
              <w:rPr>
                <w:rtl/>
              </w:rPr>
              <w:t>בדיקות נוספות</w:t>
            </w:r>
          </w:p>
        </w:tc>
        <w:tc>
          <w:tcPr>
            <w:tcW w:w="1247" w:type="dxa"/>
          </w:tcPr>
          <w:p w14:paraId="6A6E42A9" w14:textId="77777777" w:rsidR="004D51A3" w:rsidRDefault="004D51A3">
            <w:r>
              <w:rPr>
                <w:rtl/>
              </w:rPr>
              <w:t xml:space="preserve">סעיף 10 </w:t>
            </w:r>
          </w:p>
        </w:tc>
      </w:tr>
      <w:tr w:rsidR="004D51A3" w14:paraId="317727E2" w14:textId="77777777">
        <w:tblPrEx>
          <w:tblCellMar>
            <w:top w:w="0" w:type="dxa"/>
            <w:bottom w:w="0" w:type="dxa"/>
          </w:tblCellMar>
        </w:tblPrEx>
        <w:tc>
          <w:tcPr>
            <w:tcW w:w="850" w:type="dxa"/>
          </w:tcPr>
          <w:p w14:paraId="5CB0C3A2" w14:textId="77777777" w:rsidR="004D51A3" w:rsidRDefault="004D51A3">
            <w:r>
              <w:rPr>
                <w:rtl/>
              </w:rPr>
              <w:fldChar w:fldCharType="begin"/>
            </w:r>
            <w:r>
              <w:rPr>
                <w:rtl/>
              </w:rPr>
              <w:instrText xml:space="preserve"> </w:instrText>
            </w:r>
            <w:r>
              <w:instrText>PAGEREF Seif25</w:instrText>
            </w:r>
            <w:r>
              <w:rPr>
                <w:rtl/>
              </w:rPr>
              <w:instrText xml:space="preserve"> </w:instrText>
            </w:r>
            <w:r>
              <w:rPr>
                <w:rtl/>
              </w:rPr>
              <w:fldChar w:fldCharType="separate"/>
            </w:r>
            <w:r w:rsidR="005B3C55">
              <w:rPr>
                <w:noProof/>
                <w:rtl/>
              </w:rPr>
              <w:t>3</w:t>
            </w:r>
            <w:r>
              <w:rPr>
                <w:rtl/>
              </w:rPr>
              <w:fldChar w:fldCharType="end"/>
            </w:r>
          </w:p>
        </w:tc>
        <w:tc>
          <w:tcPr>
            <w:tcW w:w="567" w:type="dxa"/>
          </w:tcPr>
          <w:p w14:paraId="044E08A1" w14:textId="77777777" w:rsidR="004D51A3" w:rsidRDefault="004D51A3">
            <w:hyperlink w:anchor="Seif25" w:tooltip="אחוז נכות" w:history="1">
              <w:r>
                <w:rPr>
                  <w:rStyle w:val="Hyperlink"/>
                </w:rPr>
                <w:t>Go</w:t>
              </w:r>
            </w:hyperlink>
          </w:p>
        </w:tc>
        <w:tc>
          <w:tcPr>
            <w:tcW w:w="5669" w:type="dxa"/>
          </w:tcPr>
          <w:p w14:paraId="40ADB5BF" w14:textId="77777777" w:rsidR="004D51A3" w:rsidRDefault="004D51A3">
            <w:pPr>
              <w:rPr>
                <w:rtl/>
              </w:rPr>
            </w:pPr>
            <w:r>
              <w:rPr>
                <w:rtl/>
              </w:rPr>
              <w:t>אחוז נכות</w:t>
            </w:r>
          </w:p>
        </w:tc>
        <w:tc>
          <w:tcPr>
            <w:tcW w:w="1247" w:type="dxa"/>
          </w:tcPr>
          <w:p w14:paraId="63222F22" w14:textId="77777777" w:rsidR="004D51A3" w:rsidRDefault="004D51A3">
            <w:r>
              <w:rPr>
                <w:rtl/>
              </w:rPr>
              <w:t xml:space="preserve">סעיף 11 </w:t>
            </w:r>
          </w:p>
        </w:tc>
      </w:tr>
      <w:tr w:rsidR="004D51A3" w14:paraId="799CC10C" w14:textId="77777777">
        <w:tblPrEx>
          <w:tblCellMar>
            <w:top w:w="0" w:type="dxa"/>
            <w:bottom w:w="0" w:type="dxa"/>
          </w:tblCellMar>
        </w:tblPrEx>
        <w:tc>
          <w:tcPr>
            <w:tcW w:w="850" w:type="dxa"/>
          </w:tcPr>
          <w:p w14:paraId="4341DE98" w14:textId="77777777" w:rsidR="004D51A3" w:rsidRDefault="004D51A3">
            <w:r>
              <w:rPr>
                <w:rtl/>
              </w:rPr>
              <w:fldChar w:fldCharType="begin"/>
            </w:r>
            <w:r>
              <w:rPr>
                <w:rtl/>
              </w:rPr>
              <w:instrText xml:space="preserve"> </w:instrText>
            </w:r>
            <w:r>
              <w:instrText>PAGEREF Seif26</w:instrText>
            </w:r>
            <w:r>
              <w:rPr>
                <w:rtl/>
              </w:rPr>
              <w:instrText xml:space="preserve"> </w:instrText>
            </w:r>
            <w:r>
              <w:rPr>
                <w:rtl/>
              </w:rPr>
              <w:fldChar w:fldCharType="separate"/>
            </w:r>
            <w:r w:rsidR="005B3C55">
              <w:rPr>
                <w:noProof/>
                <w:rtl/>
              </w:rPr>
              <w:t>3</w:t>
            </w:r>
            <w:r>
              <w:rPr>
                <w:rtl/>
              </w:rPr>
              <w:fldChar w:fldCharType="end"/>
            </w:r>
          </w:p>
        </w:tc>
        <w:tc>
          <w:tcPr>
            <w:tcW w:w="567" w:type="dxa"/>
          </w:tcPr>
          <w:p w14:paraId="510550B9" w14:textId="77777777" w:rsidR="004D51A3" w:rsidRDefault="004D51A3">
            <w:hyperlink w:anchor="Seif26" w:tooltip="קביעת אחוז נכות מחוץ למבחנים" w:history="1">
              <w:r>
                <w:rPr>
                  <w:rStyle w:val="Hyperlink"/>
                </w:rPr>
                <w:t>Go</w:t>
              </w:r>
            </w:hyperlink>
          </w:p>
        </w:tc>
        <w:tc>
          <w:tcPr>
            <w:tcW w:w="5669" w:type="dxa"/>
          </w:tcPr>
          <w:p w14:paraId="53F6AB70" w14:textId="77777777" w:rsidR="004D51A3" w:rsidRDefault="004D51A3">
            <w:pPr>
              <w:rPr>
                <w:rtl/>
              </w:rPr>
            </w:pPr>
            <w:r>
              <w:rPr>
                <w:rtl/>
              </w:rPr>
              <w:t>קביעת אחוז נכות מחוץ למבחנים</w:t>
            </w:r>
          </w:p>
        </w:tc>
        <w:tc>
          <w:tcPr>
            <w:tcW w:w="1247" w:type="dxa"/>
          </w:tcPr>
          <w:p w14:paraId="391BC68C" w14:textId="77777777" w:rsidR="004D51A3" w:rsidRDefault="004D51A3">
            <w:r>
              <w:rPr>
                <w:rtl/>
              </w:rPr>
              <w:t xml:space="preserve">סעיף 12 </w:t>
            </w:r>
          </w:p>
        </w:tc>
      </w:tr>
      <w:tr w:rsidR="004D51A3" w14:paraId="2257E8C8" w14:textId="77777777">
        <w:tblPrEx>
          <w:tblCellMar>
            <w:top w:w="0" w:type="dxa"/>
            <w:bottom w:w="0" w:type="dxa"/>
          </w:tblCellMar>
        </w:tblPrEx>
        <w:tc>
          <w:tcPr>
            <w:tcW w:w="850" w:type="dxa"/>
          </w:tcPr>
          <w:p w14:paraId="0DA6E18C" w14:textId="77777777" w:rsidR="004D51A3" w:rsidRDefault="004D51A3">
            <w:r>
              <w:rPr>
                <w:rtl/>
              </w:rPr>
              <w:fldChar w:fldCharType="begin"/>
            </w:r>
            <w:r>
              <w:rPr>
                <w:rtl/>
              </w:rPr>
              <w:instrText xml:space="preserve"> </w:instrText>
            </w:r>
            <w:r>
              <w:instrText>PAGEREF Seif27</w:instrText>
            </w:r>
            <w:r>
              <w:rPr>
                <w:rtl/>
              </w:rPr>
              <w:instrText xml:space="preserve"> </w:instrText>
            </w:r>
            <w:r>
              <w:rPr>
                <w:rtl/>
              </w:rPr>
              <w:fldChar w:fldCharType="separate"/>
            </w:r>
            <w:r w:rsidR="005B3C55">
              <w:rPr>
                <w:noProof/>
                <w:rtl/>
              </w:rPr>
              <w:t>3</w:t>
            </w:r>
            <w:r>
              <w:rPr>
                <w:rtl/>
              </w:rPr>
              <w:fldChar w:fldCharType="end"/>
            </w:r>
          </w:p>
        </w:tc>
        <w:tc>
          <w:tcPr>
            <w:tcW w:w="567" w:type="dxa"/>
          </w:tcPr>
          <w:p w14:paraId="562778D2" w14:textId="77777777" w:rsidR="004D51A3" w:rsidRDefault="004D51A3">
            <w:hyperlink w:anchor="Seif27" w:tooltip="תחולת הקביעה" w:history="1">
              <w:r>
                <w:rPr>
                  <w:rStyle w:val="Hyperlink"/>
                </w:rPr>
                <w:t>Go</w:t>
              </w:r>
            </w:hyperlink>
          </w:p>
        </w:tc>
        <w:tc>
          <w:tcPr>
            <w:tcW w:w="5669" w:type="dxa"/>
          </w:tcPr>
          <w:p w14:paraId="4352FCA3" w14:textId="77777777" w:rsidR="004D51A3" w:rsidRDefault="004D51A3">
            <w:pPr>
              <w:rPr>
                <w:rtl/>
              </w:rPr>
            </w:pPr>
            <w:r>
              <w:rPr>
                <w:rtl/>
              </w:rPr>
              <w:t>תחולת הקביעה</w:t>
            </w:r>
          </w:p>
        </w:tc>
        <w:tc>
          <w:tcPr>
            <w:tcW w:w="1247" w:type="dxa"/>
          </w:tcPr>
          <w:p w14:paraId="61B2C5B7" w14:textId="77777777" w:rsidR="004D51A3" w:rsidRDefault="004D51A3">
            <w:r>
              <w:rPr>
                <w:rtl/>
              </w:rPr>
              <w:t xml:space="preserve">סעיף 13 </w:t>
            </w:r>
          </w:p>
        </w:tc>
      </w:tr>
      <w:tr w:rsidR="004D51A3" w14:paraId="3B9D691F" w14:textId="77777777">
        <w:tblPrEx>
          <w:tblCellMar>
            <w:top w:w="0" w:type="dxa"/>
            <w:bottom w:w="0" w:type="dxa"/>
          </w:tblCellMar>
        </w:tblPrEx>
        <w:tc>
          <w:tcPr>
            <w:tcW w:w="850" w:type="dxa"/>
          </w:tcPr>
          <w:p w14:paraId="2189F855" w14:textId="77777777" w:rsidR="004D51A3" w:rsidRDefault="004D51A3">
            <w:r>
              <w:rPr>
                <w:rtl/>
              </w:rPr>
              <w:fldChar w:fldCharType="begin"/>
            </w:r>
            <w:r>
              <w:rPr>
                <w:rtl/>
              </w:rPr>
              <w:instrText xml:space="preserve"> </w:instrText>
            </w:r>
            <w:r>
              <w:instrText>PAGEREF Seif28</w:instrText>
            </w:r>
            <w:r>
              <w:rPr>
                <w:rtl/>
              </w:rPr>
              <w:instrText xml:space="preserve"> </w:instrText>
            </w:r>
            <w:r>
              <w:rPr>
                <w:rtl/>
              </w:rPr>
              <w:fldChar w:fldCharType="separate"/>
            </w:r>
            <w:r w:rsidR="005B3C55">
              <w:rPr>
                <w:noProof/>
                <w:rtl/>
              </w:rPr>
              <w:t>3</w:t>
            </w:r>
            <w:r>
              <w:rPr>
                <w:rtl/>
              </w:rPr>
              <w:fldChar w:fldCharType="end"/>
            </w:r>
          </w:p>
        </w:tc>
        <w:tc>
          <w:tcPr>
            <w:tcW w:w="567" w:type="dxa"/>
          </w:tcPr>
          <w:p w14:paraId="450886C8" w14:textId="77777777" w:rsidR="004D51A3" w:rsidRDefault="004D51A3">
            <w:hyperlink w:anchor="Seif28" w:tooltip="מועד לדיון מחדש" w:history="1">
              <w:r>
                <w:rPr>
                  <w:rStyle w:val="Hyperlink"/>
                </w:rPr>
                <w:t>Go</w:t>
              </w:r>
            </w:hyperlink>
          </w:p>
        </w:tc>
        <w:tc>
          <w:tcPr>
            <w:tcW w:w="5669" w:type="dxa"/>
          </w:tcPr>
          <w:p w14:paraId="73277F72" w14:textId="77777777" w:rsidR="004D51A3" w:rsidRDefault="004D51A3">
            <w:pPr>
              <w:rPr>
                <w:rtl/>
              </w:rPr>
            </w:pPr>
            <w:r>
              <w:rPr>
                <w:rtl/>
              </w:rPr>
              <w:t>מועד לדיון מחדש</w:t>
            </w:r>
          </w:p>
        </w:tc>
        <w:tc>
          <w:tcPr>
            <w:tcW w:w="1247" w:type="dxa"/>
          </w:tcPr>
          <w:p w14:paraId="4D511B9E" w14:textId="77777777" w:rsidR="004D51A3" w:rsidRDefault="004D51A3">
            <w:r>
              <w:rPr>
                <w:rtl/>
              </w:rPr>
              <w:t xml:space="preserve">סעיף 14 </w:t>
            </w:r>
          </w:p>
        </w:tc>
      </w:tr>
      <w:tr w:rsidR="004D51A3" w14:paraId="787973E6" w14:textId="77777777">
        <w:tblPrEx>
          <w:tblCellMar>
            <w:top w:w="0" w:type="dxa"/>
            <w:bottom w:w="0" w:type="dxa"/>
          </w:tblCellMar>
        </w:tblPrEx>
        <w:tc>
          <w:tcPr>
            <w:tcW w:w="850" w:type="dxa"/>
          </w:tcPr>
          <w:p w14:paraId="20D6933E" w14:textId="77777777" w:rsidR="004D51A3" w:rsidRDefault="004D51A3">
            <w:r>
              <w:rPr>
                <w:rtl/>
              </w:rPr>
              <w:fldChar w:fldCharType="begin"/>
            </w:r>
            <w:r>
              <w:rPr>
                <w:rtl/>
              </w:rPr>
              <w:instrText xml:space="preserve"> </w:instrText>
            </w:r>
            <w:r>
              <w:instrText>PAGEREF Seif0</w:instrText>
            </w:r>
            <w:r>
              <w:rPr>
                <w:rtl/>
              </w:rPr>
              <w:instrText xml:space="preserve"> </w:instrText>
            </w:r>
            <w:r>
              <w:rPr>
                <w:rtl/>
              </w:rPr>
              <w:fldChar w:fldCharType="separate"/>
            </w:r>
            <w:r w:rsidR="005B3C55">
              <w:rPr>
                <w:noProof/>
                <w:rtl/>
              </w:rPr>
              <w:t>3</w:t>
            </w:r>
            <w:r>
              <w:rPr>
                <w:rtl/>
              </w:rPr>
              <w:fldChar w:fldCharType="end"/>
            </w:r>
          </w:p>
        </w:tc>
        <w:tc>
          <w:tcPr>
            <w:tcW w:w="567" w:type="dxa"/>
          </w:tcPr>
          <w:p w14:paraId="62DB8837" w14:textId="77777777" w:rsidR="004D51A3" w:rsidRDefault="004D51A3">
            <w:hyperlink w:anchor="Seif0" w:tooltip="חילוקי דעות בין חברי הועדה" w:history="1">
              <w:r>
                <w:rPr>
                  <w:rStyle w:val="Hyperlink"/>
                </w:rPr>
                <w:t>Go</w:t>
              </w:r>
            </w:hyperlink>
          </w:p>
        </w:tc>
        <w:tc>
          <w:tcPr>
            <w:tcW w:w="5669" w:type="dxa"/>
          </w:tcPr>
          <w:p w14:paraId="1B0585E4" w14:textId="77777777" w:rsidR="004D51A3" w:rsidRDefault="004D51A3">
            <w:pPr>
              <w:rPr>
                <w:rtl/>
              </w:rPr>
            </w:pPr>
            <w:r>
              <w:rPr>
                <w:rtl/>
              </w:rPr>
              <w:t>חילוקי דעות בין חברי הועדה</w:t>
            </w:r>
          </w:p>
        </w:tc>
        <w:tc>
          <w:tcPr>
            <w:tcW w:w="1247" w:type="dxa"/>
          </w:tcPr>
          <w:p w14:paraId="3DEE427C" w14:textId="77777777" w:rsidR="004D51A3" w:rsidRDefault="004D51A3">
            <w:r>
              <w:rPr>
                <w:rtl/>
              </w:rPr>
              <w:t xml:space="preserve">סעיף 15 </w:t>
            </w:r>
          </w:p>
        </w:tc>
      </w:tr>
      <w:tr w:rsidR="004D51A3" w14:paraId="12177E9C" w14:textId="77777777">
        <w:tblPrEx>
          <w:tblCellMar>
            <w:top w:w="0" w:type="dxa"/>
            <w:bottom w:w="0" w:type="dxa"/>
          </w:tblCellMar>
        </w:tblPrEx>
        <w:tc>
          <w:tcPr>
            <w:tcW w:w="850" w:type="dxa"/>
          </w:tcPr>
          <w:p w14:paraId="66602B20" w14:textId="77777777" w:rsidR="004D51A3" w:rsidRDefault="004D51A3">
            <w:r>
              <w:rPr>
                <w:rtl/>
              </w:rPr>
              <w:fldChar w:fldCharType="begin"/>
            </w:r>
            <w:r>
              <w:rPr>
                <w:rtl/>
              </w:rPr>
              <w:instrText xml:space="preserve"> </w:instrText>
            </w:r>
            <w:r>
              <w:instrText>PAGEREF Seif1</w:instrText>
            </w:r>
            <w:r>
              <w:rPr>
                <w:rtl/>
              </w:rPr>
              <w:instrText xml:space="preserve"> </w:instrText>
            </w:r>
            <w:r>
              <w:rPr>
                <w:rtl/>
              </w:rPr>
              <w:fldChar w:fldCharType="separate"/>
            </w:r>
            <w:r w:rsidR="005B3C55">
              <w:rPr>
                <w:noProof/>
                <w:rtl/>
              </w:rPr>
              <w:t>3</w:t>
            </w:r>
            <w:r>
              <w:rPr>
                <w:rtl/>
              </w:rPr>
              <w:fldChar w:fldCharType="end"/>
            </w:r>
          </w:p>
        </w:tc>
        <w:tc>
          <w:tcPr>
            <w:tcW w:w="567" w:type="dxa"/>
          </w:tcPr>
          <w:p w14:paraId="12634C1C" w14:textId="77777777" w:rsidR="004D51A3" w:rsidRDefault="004D51A3">
            <w:hyperlink w:anchor="Seif1" w:tooltip="החלטות הועדה ורישומן" w:history="1">
              <w:r>
                <w:rPr>
                  <w:rStyle w:val="Hyperlink"/>
                </w:rPr>
                <w:t>Go</w:t>
              </w:r>
            </w:hyperlink>
          </w:p>
        </w:tc>
        <w:tc>
          <w:tcPr>
            <w:tcW w:w="5669" w:type="dxa"/>
          </w:tcPr>
          <w:p w14:paraId="066B8DB7" w14:textId="77777777" w:rsidR="004D51A3" w:rsidRDefault="004D51A3">
            <w:pPr>
              <w:rPr>
                <w:rtl/>
              </w:rPr>
            </w:pPr>
            <w:r>
              <w:rPr>
                <w:rtl/>
              </w:rPr>
              <w:t>החלטות הועדה ורישומן</w:t>
            </w:r>
          </w:p>
        </w:tc>
        <w:tc>
          <w:tcPr>
            <w:tcW w:w="1247" w:type="dxa"/>
          </w:tcPr>
          <w:p w14:paraId="67285A27" w14:textId="77777777" w:rsidR="004D51A3" w:rsidRDefault="004D51A3">
            <w:r>
              <w:rPr>
                <w:rtl/>
              </w:rPr>
              <w:t xml:space="preserve">סעיף 16 </w:t>
            </w:r>
          </w:p>
        </w:tc>
      </w:tr>
      <w:tr w:rsidR="004D51A3" w14:paraId="2B9FCAA5" w14:textId="77777777">
        <w:tblPrEx>
          <w:tblCellMar>
            <w:top w:w="0" w:type="dxa"/>
            <w:bottom w:w="0" w:type="dxa"/>
          </w:tblCellMar>
        </w:tblPrEx>
        <w:tc>
          <w:tcPr>
            <w:tcW w:w="850" w:type="dxa"/>
          </w:tcPr>
          <w:p w14:paraId="2A60E47D" w14:textId="77777777" w:rsidR="004D51A3" w:rsidRDefault="004D51A3">
            <w:r>
              <w:rPr>
                <w:rtl/>
              </w:rPr>
              <w:fldChar w:fldCharType="begin"/>
            </w:r>
            <w:r>
              <w:rPr>
                <w:rtl/>
              </w:rPr>
              <w:instrText xml:space="preserve"> </w:instrText>
            </w:r>
            <w:r>
              <w:instrText>PAGEREF Seif2</w:instrText>
            </w:r>
            <w:r>
              <w:rPr>
                <w:rtl/>
              </w:rPr>
              <w:instrText xml:space="preserve"> </w:instrText>
            </w:r>
            <w:r>
              <w:rPr>
                <w:rtl/>
              </w:rPr>
              <w:fldChar w:fldCharType="separate"/>
            </w:r>
            <w:r w:rsidR="005B3C55">
              <w:rPr>
                <w:noProof/>
                <w:rtl/>
              </w:rPr>
              <w:t>3</w:t>
            </w:r>
            <w:r>
              <w:rPr>
                <w:rtl/>
              </w:rPr>
              <w:fldChar w:fldCharType="end"/>
            </w:r>
          </w:p>
        </w:tc>
        <w:tc>
          <w:tcPr>
            <w:tcW w:w="567" w:type="dxa"/>
          </w:tcPr>
          <w:p w14:paraId="622A63A1" w14:textId="77777777" w:rsidR="004D51A3" w:rsidRDefault="004D51A3">
            <w:hyperlink w:anchor="Seif2" w:tooltip="הודעה לנכה ולנציב" w:history="1">
              <w:r>
                <w:rPr>
                  <w:rStyle w:val="Hyperlink"/>
                </w:rPr>
                <w:t>Go</w:t>
              </w:r>
            </w:hyperlink>
          </w:p>
        </w:tc>
        <w:tc>
          <w:tcPr>
            <w:tcW w:w="5669" w:type="dxa"/>
          </w:tcPr>
          <w:p w14:paraId="0F3CF7A0" w14:textId="77777777" w:rsidR="004D51A3" w:rsidRDefault="004D51A3">
            <w:pPr>
              <w:rPr>
                <w:rtl/>
              </w:rPr>
            </w:pPr>
            <w:r>
              <w:rPr>
                <w:rtl/>
              </w:rPr>
              <w:t>הודעה לנכה ולנציב</w:t>
            </w:r>
          </w:p>
        </w:tc>
        <w:tc>
          <w:tcPr>
            <w:tcW w:w="1247" w:type="dxa"/>
          </w:tcPr>
          <w:p w14:paraId="30F46A53" w14:textId="77777777" w:rsidR="004D51A3" w:rsidRDefault="004D51A3">
            <w:r>
              <w:rPr>
                <w:rtl/>
              </w:rPr>
              <w:t xml:space="preserve">סעיף 17 </w:t>
            </w:r>
          </w:p>
        </w:tc>
      </w:tr>
      <w:tr w:rsidR="004D51A3" w14:paraId="27936295" w14:textId="77777777">
        <w:tblPrEx>
          <w:tblCellMar>
            <w:top w:w="0" w:type="dxa"/>
            <w:bottom w:w="0" w:type="dxa"/>
          </w:tblCellMar>
        </w:tblPrEx>
        <w:tc>
          <w:tcPr>
            <w:tcW w:w="850" w:type="dxa"/>
          </w:tcPr>
          <w:p w14:paraId="2C2DE346" w14:textId="77777777" w:rsidR="004D51A3" w:rsidRDefault="004D51A3">
            <w:r>
              <w:rPr>
                <w:rtl/>
              </w:rPr>
              <w:fldChar w:fldCharType="begin"/>
            </w:r>
            <w:r>
              <w:rPr>
                <w:rtl/>
              </w:rPr>
              <w:instrText xml:space="preserve"> </w:instrText>
            </w:r>
            <w:r>
              <w:instrText>PAGEREF Seif3</w:instrText>
            </w:r>
            <w:r>
              <w:rPr>
                <w:rtl/>
              </w:rPr>
              <w:instrText xml:space="preserve"> </w:instrText>
            </w:r>
            <w:r>
              <w:rPr>
                <w:rtl/>
              </w:rPr>
              <w:fldChar w:fldCharType="separate"/>
            </w:r>
            <w:r w:rsidR="005B3C55">
              <w:rPr>
                <w:noProof/>
                <w:rtl/>
              </w:rPr>
              <w:t>3</w:t>
            </w:r>
            <w:r>
              <w:rPr>
                <w:rtl/>
              </w:rPr>
              <w:fldChar w:fldCharType="end"/>
            </w:r>
          </w:p>
        </w:tc>
        <w:tc>
          <w:tcPr>
            <w:tcW w:w="567" w:type="dxa"/>
          </w:tcPr>
          <w:p w14:paraId="7774CB45" w14:textId="77777777" w:rsidR="004D51A3" w:rsidRDefault="004D51A3">
            <w:hyperlink w:anchor="Seif3" w:tooltip="הרכב ועדת עררים ומועד הגשת הערר" w:history="1">
              <w:r>
                <w:rPr>
                  <w:rStyle w:val="Hyperlink"/>
                </w:rPr>
                <w:t>Go</w:t>
              </w:r>
            </w:hyperlink>
          </w:p>
        </w:tc>
        <w:tc>
          <w:tcPr>
            <w:tcW w:w="5669" w:type="dxa"/>
          </w:tcPr>
          <w:p w14:paraId="56A703E9" w14:textId="77777777" w:rsidR="004D51A3" w:rsidRDefault="004D51A3">
            <w:pPr>
              <w:rPr>
                <w:rtl/>
              </w:rPr>
            </w:pPr>
            <w:r>
              <w:rPr>
                <w:rtl/>
              </w:rPr>
              <w:t>הרכב ועדת עררים ומועד הגשת הערר</w:t>
            </w:r>
          </w:p>
        </w:tc>
        <w:tc>
          <w:tcPr>
            <w:tcW w:w="1247" w:type="dxa"/>
          </w:tcPr>
          <w:p w14:paraId="604DE692" w14:textId="77777777" w:rsidR="004D51A3" w:rsidRDefault="004D51A3">
            <w:r>
              <w:rPr>
                <w:rtl/>
              </w:rPr>
              <w:t xml:space="preserve">סעיף 18 </w:t>
            </w:r>
          </w:p>
        </w:tc>
      </w:tr>
      <w:tr w:rsidR="004D51A3" w14:paraId="552D4E37" w14:textId="77777777">
        <w:tblPrEx>
          <w:tblCellMar>
            <w:top w:w="0" w:type="dxa"/>
            <w:bottom w:w="0" w:type="dxa"/>
          </w:tblCellMar>
        </w:tblPrEx>
        <w:tc>
          <w:tcPr>
            <w:tcW w:w="850" w:type="dxa"/>
          </w:tcPr>
          <w:p w14:paraId="5C39A50D" w14:textId="77777777" w:rsidR="004D51A3" w:rsidRDefault="004D51A3">
            <w:r>
              <w:rPr>
                <w:rtl/>
              </w:rPr>
              <w:fldChar w:fldCharType="begin"/>
            </w:r>
            <w:r>
              <w:rPr>
                <w:rtl/>
              </w:rPr>
              <w:instrText xml:space="preserve"> </w:instrText>
            </w:r>
            <w:r>
              <w:instrText>PAGEREF Seif4</w:instrText>
            </w:r>
            <w:r>
              <w:rPr>
                <w:rtl/>
              </w:rPr>
              <w:instrText xml:space="preserve"> </w:instrText>
            </w:r>
            <w:r>
              <w:rPr>
                <w:rtl/>
              </w:rPr>
              <w:fldChar w:fldCharType="separate"/>
            </w:r>
            <w:r w:rsidR="005B3C55">
              <w:rPr>
                <w:noProof/>
                <w:rtl/>
              </w:rPr>
              <w:t>4</w:t>
            </w:r>
            <w:r>
              <w:rPr>
                <w:rtl/>
              </w:rPr>
              <w:fldChar w:fldCharType="end"/>
            </w:r>
          </w:p>
        </w:tc>
        <w:tc>
          <w:tcPr>
            <w:tcW w:w="567" w:type="dxa"/>
          </w:tcPr>
          <w:p w14:paraId="2A7DC308" w14:textId="77777777" w:rsidR="004D51A3" w:rsidRDefault="004D51A3">
            <w:hyperlink w:anchor="Seif4" w:tooltip="אופן הערר" w:history="1">
              <w:r>
                <w:rPr>
                  <w:rStyle w:val="Hyperlink"/>
                </w:rPr>
                <w:t>Go</w:t>
              </w:r>
            </w:hyperlink>
          </w:p>
        </w:tc>
        <w:tc>
          <w:tcPr>
            <w:tcW w:w="5669" w:type="dxa"/>
          </w:tcPr>
          <w:p w14:paraId="35AFE58B" w14:textId="77777777" w:rsidR="004D51A3" w:rsidRDefault="004D51A3">
            <w:pPr>
              <w:rPr>
                <w:rtl/>
              </w:rPr>
            </w:pPr>
            <w:r>
              <w:rPr>
                <w:rtl/>
              </w:rPr>
              <w:t>אופן הערר</w:t>
            </w:r>
          </w:p>
        </w:tc>
        <w:tc>
          <w:tcPr>
            <w:tcW w:w="1247" w:type="dxa"/>
          </w:tcPr>
          <w:p w14:paraId="3805E4F5" w14:textId="77777777" w:rsidR="004D51A3" w:rsidRDefault="004D51A3">
            <w:r>
              <w:rPr>
                <w:rtl/>
              </w:rPr>
              <w:t xml:space="preserve">סעיף 19 </w:t>
            </w:r>
          </w:p>
        </w:tc>
      </w:tr>
      <w:tr w:rsidR="004D51A3" w14:paraId="089E033B" w14:textId="77777777">
        <w:tblPrEx>
          <w:tblCellMar>
            <w:top w:w="0" w:type="dxa"/>
            <w:bottom w:w="0" w:type="dxa"/>
          </w:tblCellMar>
        </w:tblPrEx>
        <w:tc>
          <w:tcPr>
            <w:tcW w:w="850" w:type="dxa"/>
          </w:tcPr>
          <w:p w14:paraId="461E6B32" w14:textId="77777777" w:rsidR="004D51A3" w:rsidRDefault="004D51A3">
            <w:r>
              <w:rPr>
                <w:rtl/>
              </w:rPr>
              <w:fldChar w:fldCharType="begin"/>
            </w:r>
            <w:r>
              <w:rPr>
                <w:rtl/>
              </w:rPr>
              <w:instrText xml:space="preserve"> </w:instrText>
            </w:r>
            <w:r>
              <w:instrText>PAGEREF Seif5</w:instrText>
            </w:r>
            <w:r>
              <w:rPr>
                <w:rtl/>
              </w:rPr>
              <w:instrText xml:space="preserve"> </w:instrText>
            </w:r>
            <w:r>
              <w:rPr>
                <w:rtl/>
              </w:rPr>
              <w:fldChar w:fldCharType="separate"/>
            </w:r>
            <w:r w:rsidR="005B3C55">
              <w:rPr>
                <w:noProof/>
                <w:rtl/>
              </w:rPr>
              <w:t>4</w:t>
            </w:r>
            <w:r>
              <w:rPr>
                <w:rtl/>
              </w:rPr>
              <w:fldChar w:fldCharType="end"/>
            </w:r>
          </w:p>
        </w:tc>
        <w:tc>
          <w:tcPr>
            <w:tcW w:w="567" w:type="dxa"/>
          </w:tcPr>
          <w:p w14:paraId="1803477D" w14:textId="77777777" w:rsidR="004D51A3" w:rsidRDefault="004D51A3">
            <w:hyperlink w:anchor="Seif5" w:tooltip="סמכות ועדת העררים" w:history="1">
              <w:r>
                <w:rPr>
                  <w:rStyle w:val="Hyperlink"/>
                </w:rPr>
                <w:t>Go</w:t>
              </w:r>
            </w:hyperlink>
          </w:p>
        </w:tc>
        <w:tc>
          <w:tcPr>
            <w:tcW w:w="5669" w:type="dxa"/>
          </w:tcPr>
          <w:p w14:paraId="50DA5695" w14:textId="77777777" w:rsidR="004D51A3" w:rsidRDefault="004D51A3">
            <w:pPr>
              <w:rPr>
                <w:rtl/>
              </w:rPr>
            </w:pPr>
            <w:r>
              <w:rPr>
                <w:rtl/>
              </w:rPr>
              <w:t>סמכות ועדת העררים</w:t>
            </w:r>
          </w:p>
        </w:tc>
        <w:tc>
          <w:tcPr>
            <w:tcW w:w="1247" w:type="dxa"/>
          </w:tcPr>
          <w:p w14:paraId="6338799A" w14:textId="77777777" w:rsidR="004D51A3" w:rsidRDefault="004D51A3">
            <w:r>
              <w:rPr>
                <w:rtl/>
              </w:rPr>
              <w:t xml:space="preserve">סעיף 20 </w:t>
            </w:r>
          </w:p>
        </w:tc>
      </w:tr>
      <w:tr w:rsidR="004D51A3" w14:paraId="6CA7AF93" w14:textId="77777777">
        <w:tblPrEx>
          <w:tblCellMar>
            <w:top w:w="0" w:type="dxa"/>
            <w:bottom w:w="0" w:type="dxa"/>
          </w:tblCellMar>
        </w:tblPrEx>
        <w:tc>
          <w:tcPr>
            <w:tcW w:w="850" w:type="dxa"/>
          </w:tcPr>
          <w:p w14:paraId="30EEB2B2" w14:textId="77777777" w:rsidR="004D51A3" w:rsidRDefault="004D51A3">
            <w:r>
              <w:rPr>
                <w:rtl/>
              </w:rPr>
              <w:fldChar w:fldCharType="begin"/>
            </w:r>
            <w:r>
              <w:rPr>
                <w:rtl/>
              </w:rPr>
              <w:instrText xml:space="preserve"> </w:instrText>
            </w:r>
            <w:r>
              <w:instrText>PAGEREF Seif6</w:instrText>
            </w:r>
            <w:r>
              <w:rPr>
                <w:rtl/>
              </w:rPr>
              <w:instrText xml:space="preserve"> </w:instrText>
            </w:r>
            <w:r>
              <w:rPr>
                <w:rtl/>
              </w:rPr>
              <w:fldChar w:fldCharType="separate"/>
            </w:r>
            <w:r w:rsidR="005B3C55">
              <w:rPr>
                <w:noProof/>
                <w:rtl/>
              </w:rPr>
              <w:t>4</w:t>
            </w:r>
            <w:r>
              <w:rPr>
                <w:rtl/>
              </w:rPr>
              <w:fldChar w:fldCharType="end"/>
            </w:r>
          </w:p>
        </w:tc>
        <w:tc>
          <w:tcPr>
            <w:tcW w:w="567" w:type="dxa"/>
          </w:tcPr>
          <w:p w14:paraId="504A1C59" w14:textId="77777777" w:rsidR="004D51A3" w:rsidRDefault="004D51A3">
            <w:hyperlink w:anchor="Seif6" w:tooltip="תחולה" w:history="1">
              <w:r>
                <w:rPr>
                  <w:rStyle w:val="Hyperlink"/>
                </w:rPr>
                <w:t>Go</w:t>
              </w:r>
            </w:hyperlink>
          </w:p>
        </w:tc>
        <w:tc>
          <w:tcPr>
            <w:tcW w:w="5669" w:type="dxa"/>
          </w:tcPr>
          <w:p w14:paraId="462E5953" w14:textId="77777777" w:rsidR="004D51A3" w:rsidRDefault="004D51A3">
            <w:pPr>
              <w:rPr>
                <w:rtl/>
              </w:rPr>
            </w:pPr>
            <w:r>
              <w:rPr>
                <w:rtl/>
              </w:rPr>
              <w:t>תחולה</w:t>
            </w:r>
          </w:p>
        </w:tc>
        <w:tc>
          <w:tcPr>
            <w:tcW w:w="1247" w:type="dxa"/>
          </w:tcPr>
          <w:p w14:paraId="7B259A91" w14:textId="77777777" w:rsidR="004D51A3" w:rsidRDefault="004D51A3">
            <w:r>
              <w:rPr>
                <w:rtl/>
              </w:rPr>
              <w:t xml:space="preserve">סעיף 21 </w:t>
            </w:r>
          </w:p>
        </w:tc>
      </w:tr>
      <w:tr w:rsidR="004D51A3" w14:paraId="600F3766" w14:textId="77777777">
        <w:tblPrEx>
          <w:tblCellMar>
            <w:top w:w="0" w:type="dxa"/>
            <w:bottom w:w="0" w:type="dxa"/>
          </w:tblCellMar>
        </w:tblPrEx>
        <w:tc>
          <w:tcPr>
            <w:tcW w:w="850" w:type="dxa"/>
          </w:tcPr>
          <w:p w14:paraId="780780D4" w14:textId="77777777" w:rsidR="004D51A3" w:rsidRDefault="004D51A3">
            <w:r>
              <w:rPr>
                <w:rtl/>
              </w:rPr>
              <w:fldChar w:fldCharType="begin"/>
            </w:r>
            <w:r>
              <w:rPr>
                <w:rtl/>
              </w:rPr>
              <w:instrText xml:space="preserve"> </w:instrText>
            </w:r>
            <w:r>
              <w:instrText>PAGEREF Seif7</w:instrText>
            </w:r>
            <w:r>
              <w:rPr>
                <w:rtl/>
              </w:rPr>
              <w:instrText xml:space="preserve"> </w:instrText>
            </w:r>
            <w:r>
              <w:rPr>
                <w:rtl/>
              </w:rPr>
              <w:fldChar w:fldCharType="separate"/>
            </w:r>
            <w:r w:rsidR="005B3C55">
              <w:rPr>
                <w:noProof/>
                <w:rtl/>
              </w:rPr>
              <w:t>4</w:t>
            </w:r>
            <w:r>
              <w:rPr>
                <w:rtl/>
              </w:rPr>
              <w:fldChar w:fldCharType="end"/>
            </w:r>
          </w:p>
        </w:tc>
        <w:tc>
          <w:tcPr>
            <w:tcW w:w="567" w:type="dxa"/>
          </w:tcPr>
          <w:p w14:paraId="52E62A8B" w14:textId="77777777" w:rsidR="004D51A3" w:rsidRDefault="004D51A3">
            <w:hyperlink w:anchor="Seif7" w:tooltip="החלטת הועדה לעררים" w:history="1">
              <w:r>
                <w:rPr>
                  <w:rStyle w:val="Hyperlink"/>
                </w:rPr>
                <w:t>Go</w:t>
              </w:r>
            </w:hyperlink>
          </w:p>
        </w:tc>
        <w:tc>
          <w:tcPr>
            <w:tcW w:w="5669" w:type="dxa"/>
          </w:tcPr>
          <w:p w14:paraId="62FAF521" w14:textId="77777777" w:rsidR="004D51A3" w:rsidRDefault="004D51A3">
            <w:pPr>
              <w:rPr>
                <w:rtl/>
              </w:rPr>
            </w:pPr>
            <w:r>
              <w:rPr>
                <w:rtl/>
              </w:rPr>
              <w:t>החלטת הועדה לעררים</w:t>
            </w:r>
          </w:p>
        </w:tc>
        <w:tc>
          <w:tcPr>
            <w:tcW w:w="1247" w:type="dxa"/>
          </w:tcPr>
          <w:p w14:paraId="509ADCA3" w14:textId="77777777" w:rsidR="004D51A3" w:rsidRDefault="004D51A3">
            <w:r>
              <w:rPr>
                <w:rtl/>
              </w:rPr>
              <w:t xml:space="preserve">סעיף 22 </w:t>
            </w:r>
          </w:p>
        </w:tc>
      </w:tr>
      <w:tr w:rsidR="004D51A3" w14:paraId="1D9BA98B" w14:textId="77777777">
        <w:tblPrEx>
          <w:tblCellMar>
            <w:top w:w="0" w:type="dxa"/>
            <w:bottom w:w="0" w:type="dxa"/>
          </w:tblCellMar>
        </w:tblPrEx>
        <w:tc>
          <w:tcPr>
            <w:tcW w:w="850" w:type="dxa"/>
          </w:tcPr>
          <w:p w14:paraId="42CD2A42" w14:textId="77777777" w:rsidR="004D51A3" w:rsidRDefault="004D51A3">
            <w:r>
              <w:rPr>
                <w:rtl/>
              </w:rPr>
              <w:fldChar w:fldCharType="begin"/>
            </w:r>
            <w:r>
              <w:rPr>
                <w:rtl/>
              </w:rPr>
              <w:instrText xml:space="preserve"> </w:instrText>
            </w:r>
            <w:r>
              <w:instrText>PAGEREF Seif8</w:instrText>
            </w:r>
            <w:r>
              <w:rPr>
                <w:rtl/>
              </w:rPr>
              <w:instrText xml:space="preserve"> </w:instrText>
            </w:r>
            <w:r>
              <w:rPr>
                <w:rtl/>
              </w:rPr>
              <w:fldChar w:fldCharType="separate"/>
            </w:r>
            <w:r w:rsidR="005B3C55">
              <w:rPr>
                <w:noProof/>
                <w:rtl/>
              </w:rPr>
              <w:t>4</w:t>
            </w:r>
            <w:r>
              <w:rPr>
                <w:rtl/>
              </w:rPr>
              <w:fldChar w:fldCharType="end"/>
            </w:r>
          </w:p>
        </w:tc>
        <w:tc>
          <w:tcPr>
            <w:tcW w:w="567" w:type="dxa"/>
          </w:tcPr>
          <w:p w14:paraId="53DAF686" w14:textId="77777777" w:rsidR="004D51A3" w:rsidRDefault="004D51A3">
            <w:hyperlink w:anchor="Seif8" w:tooltip="אי התייצבות הנכה בערר" w:history="1">
              <w:r>
                <w:rPr>
                  <w:rStyle w:val="Hyperlink"/>
                </w:rPr>
                <w:t>Go</w:t>
              </w:r>
            </w:hyperlink>
          </w:p>
        </w:tc>
        <w:tc>
          <w:tcPr>
            <w:tcW w:w="5669" w:type="dxa"/>
          </w:tcPr>
          <w:p w14:paraId="123056A3" w14:textId="77777777" w:rsidR="004D51A3" w:rsidRDefault="004D51A3">
            <w:pPr>
              <w:rPr>
                <w:rtl/>
              </w:rPr>
            </w:pPr>
            <w:r>
              <w:rPr>
                <w:rtl/>
              </w:rPr>
              <w:t>אי התייצבות הנכה בערר</w:t>
            </w:r>
          </w:p>
        </w:tc>
        <w:tc>
          <w:tcPr>
            <w:tcW w:w="1247" w:type="dxa"/>
          </w:tcPr>
          <w:p w14:paraId="63786A87" w14:textId="77777777" w:rsidR="004D51A3" w:rsidRDefault="004D51A3">
            <w:r>
              <w:rPr>
                <w:rtl/>
              </w:rPr>
              <w:t xml:space="preserve">סעיף 23 </w:t>
            </w:r>
          </w:p>
        </w:tc>
      </w:tr>
      <w:tr w:rsidR="004D51A3" w14:paraId="40D483B7" w14:textId="77777777">
        <w:tblPrEx>
          <w:tblCellMar>
            <w:top w:w="0" w:type="dxa"/>
            <w:bottom w:w="0" w:type="dxa"/>
          </w:tblCellMar>
        </w:tblPrEx>
        <w:tc>
          <w:tcPr>
            <w:tcW w:w="850" w:type="dxa"/>
          </w:tcPr>
          <w:p w14:paraId="77C3ED91" w14:textId="77777777" w:rsidR="004D51A3" w:rsidRDefault="004D51A3">
            <w:r>
              <w:rPr>
                <w:rtl/>
              </w:rPr>
              <w:fldChar w:fldCharType="begin"/>
            </w:r>
            <w:r>
              <w:rPr>
                <w:rtl/>
              </w:rPr>
              <w:instrText xml:space="preserve"> </w:instrText>
            </w:r>
            <w:r>
              <w:instrText>PAGEREF Seif9</w:instrText>
            </w:r>
            <w:r>
              <w:rPr>
                <w:rtl/>
              </w:rPr>
              <w:instrText xml:space="preserve"> </w:instrText>
            </w:r>
            <w:r>
              <w:rPr>
                <w:rtl/>
              </w:rPr>
              <w:fldChar w:fldCharType="separate"/>
            </w:r>
            <w:r w:rsidR="005B3C55">
              <w:rPr>
                <w:noProof/>
                <w:rtl/>
              </w:rPr>
              <w:t>4</w:t>
            </w:r>
            <w:r>
              <w:rPr>
                <w:rtl/>
              </w:rPr>
              <w:fldChar w:fldCharType="end"/>
            </w:r>
          </w:p>
        </w:tc>
        <w:tc>
          <w:tcPr>
            <w:tcW w:w="567" w:type="dxa"/>
          </w:tcPr>
          <w:p w14:paraId="327DDD18" w14:textId="77777777" w:rsidR="004D51A3" w:rsidRDefault="004D51A3">
            <w:hyperlink w:anchor="Seif9" w:tooltip="אי התייצבות בערר מטעם הנציב" w:history="1">
              <w:r>
                <w:rPr>
                  <w:rStyle w:val="Hyperlink"/>
                </w:rPr>
                <w:t>Go</w:t>
              </w:r>
            </w:hyperlink>
          </w:p>
        </w:tc>
        <w:tc>
          <w:tcPr>
            <w:tcW w:w="5669" w:type="dxa"/>
          </w:tcPr>
          <w:p w14:paraId="2197C0A8" w14:textId="77777777" w:rsidR="004D51A3" w:rsidRDefault="004D51A3">
            <w:pPr>
              <w:rPr>
                <w:rtl/>
              </w:rPr>
            </w:pPr>
            <w:r>
              <w:rPr>
                <w:rtl/>
              </w:rPr>
              <w:t>אי התייצבות בערר מטעם הנציב</w:t>
            </w:r>
          </w:p>
        </w:tc>
        <w:tc>
          <w:tcPr>
            <w:tcW w:w="1247" w:type="dxa"/>
          </w:tcPr>
          <w:p w14:paraId="55C6A5D3" w14:textId="77777777" w:rsidR="004D51A3" w:rsidRDefault="004D51A3">
            <w:r>
              <w:rPr>
                <w:rtl/>
              </w:rPr>
              <w:t xml:space="preserve">סעיף 24 </w:t>
            </w:r>
          </w:p>
        </w:tc>
      </w:tr>
      <w:tr w:rsidR="004D51A3" w14:paraId="0CF35FA7" w14:textId="77777777">
        <w:tblPrEx>
          <w:tblCellMar>
            <w:top w:w="0" w:type="dxa"/>
            <w:bottom w:w="0" w:type="dxa"/>
          </w:tblCellMar>
        </w:tblPrEx>
        <w:tc>
          <w:tcPr>
            <w:tcW w:w="850" w:type="dxa"/>
          </w:tcPr>
          <w:p w14:paraId="33CDEB2F" w14:textId="77777777" w:rsidR="004D51A3" w:rsidRDefault="004D51A3">
            <w:r>
              <w:rPr>
                <w:rtl/>
              </w:rPr>
              <w:fldChar w:fldCharType="begin"/>
            </w:r>
            <w:r>
              <w:rPr>
                <w:rtl/>
              </w:rPr>
              <w:instrText xml:space="preserve"> </w:instrText>
            </w:r>
            <w:r>
              <w:instrText>PAGEREF Seif10</w:instrText>
            </w:r>
            <w:r>
              <w:rPr>
                <w:rtl/>
              </w:rPr>
              <w:instrText xml:space="preserve"> </w:instrText>
            </w:r>
            <w:r>
              <w:rPr>
                <w:rtl/>
              </w:rPr>
              <w:fldChar w:fldCharType="separate"/>
            </w:r>
            <w:r w:rsidR="005B3C55">
              <w:rPr>
                <w:noProof/>
                <w:rtl/>
              </w:rPr>
              <w:t>4</w:t>
            </w:r>
            <w:r>
              <w:rPr>
                <w:rtl/>
              </w:rPr>
              <w:fldChar w:fldCharType="end"/>
            </w:r>
          </w:p>
        </w:tc>
        <w:tc>
          <w:tcPr>
            <w:tcW w:w="567" w:type="dxa"/>
          </w:tcPr>
          <w:p w14:paraId="7DC42C88" w14:textId="77777777" w:rsidR="004D51A3" w:rsidRDefault="004D51A3">
            <w:hyperlink w:anchor="Seif10" w:tooltip="דיון מחדש לפי בקשת הנכה" w:history="1">
              <w:r>
                <w:rPr>
                  <w:rStyle w:val="Hyperlink"/>
                </w:rPr>
                <w:t>Go</w:t>
              </w:r>
            </w:hyperlink>
          </w:p>
        </w:tc>
        <w:tc>
          <w:tcPr>
            <w:tcW w:w="5669" w:type="dxa"/>
          </w:tcPr>
          <w:p w14:paraId="69ED6207" w14:textId="77777777" w:rsidR="004D51A3" w:rsidRDefault="004D51A3">
            <w:pPr>
              <w:rPr>
                <w:rtl/>
              </w:rPr>
            </w:pPr>
            <w:r>
              <w:rPr>
                <w:rtl/>
              </w:rPr>
              <w:t>דיון מחדש לפי בקשת הנכה</w:t>
            </w:r>
          </w:p>
        </w:tc>
        <w:tc>
          <w:tcPr>
            <w:tcW w:w="1247" w:type="dxa"/>
          </w:tcPr>
          <w:p w14:paraId="52D693DD" w14:textId="77777777" w:rsidR="004D51A3" w:rsidRDefault="004D51A3">
            <w:r>
              <w:rPr>
                <w:rtl/>
              </w:rPr>
              <w:t xml:space="preserve">סעיף 25 </w:t>
            </w:r>
          </w:p>
        </w:tc>
      </w:tr>
      <w:tr w:rsidR="004D51A3" w14:paraId="571259F9" w14:textId="77777777">
        <w:tblPrEx>
          <w:tblCellMar>
            <w:top w:w="0" w:type="dxa"/>
            <w:bottom w:w="0" w:type="dxa"/>
          </w:tblCellMar>
        </w:tblPrEx>
        <w:tc>
          <w:tcPr>
            <w:tcW w:w="850" w:type="dxa"/>
          </w:tcPr>
          <w:p w14:paraId="6FA93F64" w14:textId="77777777" w:rsidR="004D51A3" w:rsidRDefault="004D51A3">
            <w:r>
              <w:rPr>
                <w:rtl/>
              </w:rPr>
              <w:fldChar w:fldCharType="begin"/>
            </w:r>
            <w:r>
              <w:rPr>
                <w:rtl/>
              </w:rPr>
              <w:instrText xml:space="preserve"> </w:instrText>
            </w:r>
            <w:r>
              <w:instrText>PAGEREF Seif11</w:instrText>
            </w:r>
            <w:r>
              <w:rPr>
                <w:rtl/>
              </w:rPr>
              <w:instrText xml:space="preserve"> </w:instrText>
            </w:r>
            <w:r>
              <w:rPr>
                <w:rtl/>
              </w:rPr>
              <w:fldChar w:fldCharType="separate"/>
            </w:r>
            <w:r w:rsidR="005B3C55">
              <w:rPr>
                <w:noProof/>
                <w:rtl/>
              </w:rPr>
              <w:t>4</w:t>
            </w:r>
            <w:r>
              <w:rPr>
                <w:rtl/>
              </w:rPr>
              <w:fldChar w:fldCharType="end"/>
            </w:r>
          </w:p>
        </w:tc>
        <w:tc>
          <w:tcPr>
            <w:tcW w:w="567" w:type="dxa"/>
          </w:tcPr>
          <w:p w14:paraId="4AF1C23C" w14:textId="77777777" w:rsidR="004D51A3" w:rsidRDefault="004D51A3">
            <w:hyperlink w:anchor="Seif11" w:tooltip="דיון מחדש לפי בקשת הנציב" w:history="1">
              <w:r>
                <w:rPr>
                  <w:rStyle w:val="Hyperlink"/>
                </w:rPr>
                <w:t>Go</w:t>
              </w:r>
            </w:hyperlink>
          </w:p>
        </w:tc>
        <w:tc>
          <w:tcPr>
            <w:tcW w:w="5669" w:type="dxa"/>
          </w:tcPr>
          <w:p w14:paraId="37B548A5" w14:textId="77777777" w:rsidR="004D51A3" w:rsidRDefault="004D51A3">
            <w:pPr>
              <w:rPr>
                <w:rtl/>
              </w:rPr>
            </w:pPr>
            <w:r>
              <w:rPr>
                <w:rtl/>
              </w:rPr>
              <w:t>דיון מחדש לפי בקשת הנציב</w:t>
            </w:r>
          </w:p>
        </w:tc>
        <w:tc>
          <w:tcPr>
            <w:tcW w:w="1247" w:type="dxa"/>
          </w:tcPr>
          <w:p w14:paraId="40B0BB68" w14:textId="77777777" w:rsidR="004D51A3" w:rsidRDefault="004D51A3">
            <w:r>
              <w:rPr>
                <w:rtl/>
              </w:rPr>
              <w:t xml:space="preserve">סעיף 26 </w:t>
            </w:r>
          </w:p>
        </w:tc>
      </w:tr>
      <w:tr w:rsidR="004D51A3" w14:paraId="0B6E87E6" w14:textId="77777777">
        <w:tblPrEx>
          <w:tblCellMar>
            <w:top w:w="0" w:type="dxa"/>
            <w:bottom w:w="0" w:type="dxa"/>
          </w:tblCellMar>
        </w:tblPrEx>
        <w:tc>
          <w:tcPr>
            <w:tcW w:w="850" w:type="dxa"/>
          </w:tcPr>
          <w:p w14:paraId="76129373" w14:textId="77777777" w:rsidR="004D51A3" w:rsidRDefault="004D51A3">
            <w:r>
              <w:rPr>
                <w:rtl/>
              </w:rPr>
              <w:fldChar w:fldCharType="begin"/>
            </w:r>
            <w:r>
              <w:rPr>
                <w:rtl/>
              </w:rPr>
              <w:instrText xml:space="preserve"> </w:instrText>
            </w:r>
            <w:r>
              <w:instrText>PAGEREF Seif12</w:instrText>
            </w:r>
            <w:r>
              <w:rPr>
                <w:rtl/>
              </w:rPr>
              <w:instrText xml:space="preserve"> </w:instrText>
            </w:r>
            <w:r>
              <w:rPr>
                <w:rtl/>
              </w:rPr>
              <w:fldChar w:fldCharType="separate"/>
            </w:r>
            <w:r w:rsidR="005B3C55">
              <w:rPr>
                <w:noProof/>
                <w:rtl/>
              </w:rPr>
              <w:t>4</w:t>
            </w:r>
            <w:r>
              <w:rPr>
                <w:rtl/>
              </w:rPr>
              <w:fldChar w:fldCharType="end"/>
            </w:r>
          </w:p>
        </w:tc>
        <w:tc>
          <w:tcPr>
            <w:tcW w:w="567" w:type="dxa"/>
          </w:tcPr>
          <w:p w14:paraId="41AF957E" w14:textId="77777777" w:rsidR="004D51A3" w:rsidRDefault="004D51A3">
            <w:hyperlink w:anchor="Seif12" w:tooltip="אי התייצבות לבדיקה מחדש" w:history="1">
              <w:r>
                <w:rPr>
                  <w:rStyle w:val="Hyperlink"/>
                </w:rPr>
                <w:t>Go</w:t>
              </w:r>
            </w:hyperlink>
          </w:p>
        </w:tc>
        <w:tc>
          <w:tcPr>
            <w:tcW w:w="5669" w:type="dxa"/>
          </w:tcPr>
          <w:p w14:paraId="0806E036" w14:textId="77777777" w:rsidR="004D51A3" w:rsidRDefault="004D51A3">
            <w:pPr>
              <w:rPr>
                <w:rtl/>
              </w:rPr>
            </w:pPr>
            <w:r>
              <w:rPr>
                <w:rtl/>
              </w:rPr>
              <w:t>אי התייצבות לבדיקה מחדש</w:t>
            </w:r>
          </w:p>
        </w:tc>
        <w:tc>
          <w:tcPr>
            <w:tcW w:w="1247" w:type="dxa"/>
          </w:tcPr>
          <w:p w14:paraId="0AD43E81" w14:textId="77777777" w:rsidR="004D51A3" w:rsidRDefault="004D51A3">
            <w:r>
              <w:rPr>
                <w:rtl/>
              </w:rPr>
              <w:t xml:space="preserve">סעיף 27 </w:t>
            </w:r>
          </w:p>
        </w:tc>
      </w:tr>
      <w:tr w:rsidR="004D51A3" w14:paraId="27052598" w14:textId="77777777">
        <w:tblPrEx>
          <w:tblCellMar>
            <w:top w:w="0" w:type="dxa"/>
            <w:bottom w:w="0" w:type="dxa"/>
          </w:tblCellMar>
        </w:tblPrEx>
        <w:tc>
          <w:tcPr>
            <w:tcW w:w="850" w:type="dxa"/>
          </w:tcPr>
          <w:p w14:paraId="2A603C67" w14:textId="77777777" w:rsidR="004D51A3" w:rsidRDefault="004D51A3">
            <w:r>
              <w:rPr>
                <w:rtl/>
              </w:rPr>
              <w:fldChar w:fldCharType="begin"/>
            </w:r>
            <w:r>
              <w:rPr>
                <w:rtl/>
              </w:rPr>
              <w:instrText xml:space="preserve"> </w:instrText>
            </w:r>
            <w:r>
              <w:instrText>PAGEREF Seif13</w:instrText>
            </w:r>
            <w:r>
              <w:rPr>
                <w:rtl/>
              </w:rPr>
              <w:instrText xml:space="preserve"> </w:instrText>
            </w:r>
            <w:r>
              <w:rPr>
                <w:rtl/>
              </w:rPr>
              <w:fldChar w:fldCharType="separate"/>
            </w:r>
            <w:r w:rsidR="005B3C55">
              <w:rPr>
                <w:noProof/>
                <w:rtl/>
              </w:rPr>
              <w:t>4</w:t>
            </w:r>
            <w:r>
              <w:rPr>
                <w:rtl/>
              </w:rPr>
              <w:fldChar w:fldCharType="end"/>
            </w:r>
          </w:p>
        </w:tc>
        <w:tc>
          <w:tcPr>
            <w:tcW w:w="567" w:type="dxa"/>
          </w:tcPr>
          <w:p w14:paraId="48F9F796" w14:textId="77777777" w:rsidR="004D51A3" w:rsidRDefault="004D51A3">
            <w:hyperlink w:anchor="Seif13" w:tooltip="סודיות הדיונים" w:history="1">
              <w:r>
                <w:rPr>
                  <w:rStyle w:val="Hyperlink"/>
                </w:rPr>
                <w:t>Go</w:t>
              </w:r>
            </w:hyperlink>
          </w:p>
        </w:tc>
        <w:tc>
          <w:tcPr>
            <w:tcW w:w="5669" w:type="dxa"/>
          </w:tcPr>
          <w:p w14:paraId="389C09DD" w14:textId="77777777" w:rsidR="004D51A3" w:rsidRDefault="004D51A3">
            <w:pPr>
              <w:rPr>
                <w:rtl/>
              </w:rPr>
            </w:pPr>
            <w:r>
              <w:rPr>
                <w:rtl/>
              </w:rPr>
              <w:t>סודיות הדיונים</w:t>
            </w:r>
          </w:p>
        </w:tc>
        <w:tc>
          <w:tcPr>
            <w:tcW w:w="1247" w:type="dxa"/>
          </w:tcPr>
          <w:p w14:paraId="55332AFE" w14:textId="77777777" w:rsidR="004D51A3" w:rsidRDefault="004D51A3">
            <w:r>
              <w:rPr>
                <w:rtl/>
              </w:rPr>
              <w:t xml:space="preserve">סעיף 28 </w:t>
            </w:r>
          </w:p>
        </w:tc>
      </w:tr>
      <w:tr w:rsidR="004D51A3" w14:paraId="07805AFF" w14:textId="77777777">
        <w:tblPrEx>
          <w:tblCellMar>
            <w:top w:w="0" w:type="dxa"/>
            <w:bottom w:w="0" w:type="dxa"/>
          </w:tblCellMar>
        </w:tblPrEx>
        <w:tc>
          <w:tcPr>
            <w:tcW w:w="850" w:type="dxa"/>
          </w:tcPr>
          <w:p w14:paraId="0B801176" w14:textId="77777777" w:rsidR="004D51A3" w:rsidRDefault="004D51A3">
            <w:r>
              <w:rPr>
                <w:rtl/>
              </w:rPr>
              <w:fldChar w:fldCharType="begin"/>
            </w:r>
            <w:r>
              <w:rPr>
                <w:rtl/>
              </w:rPr>
              <w:instrText xml:space="preserve"> </w:instrText>
            </w:r>
            <w:r>
              <w:instrText>PAGEREF Seif14</w:instrText>
            </w:r>
            <w:r>
              <w:rPr>
                <w:rtl/>
              </w:rPr>
              <w:instrText xml:space="preserve"> </w:instrText>
            </w:r>
            <w:r>
              <w:rPr>
                <w:rtl/>
              </w:rPr>
              <w:fldChar w:fldCharType="separate"/>
            </w:r>
            <w:r w:rsidR="005B3C55">
              <w:rPr>
                <w:noProof/>
                <w:rtl/>
              </w:rPr>
              <w:t>4</w:t>
            </w:r>
            <w:r>
              <w:rPr>
                <w:rtl/>
              </w:rPr>
              <w:fldChar w:fldCharType="end"/>
            </w:r>
          </w:p>
        </w:tc>
        <w:tc>
          <w:tcPr>
            <w:tcW w:w="567" w:type="dxa"/>
          </w:tcPr>
          <w:p w14:paraId="4B2A9C28" w14:textId="77777777" w:rsidR="004D51A3" w:rsidRDefault="004D51A3">
            <w:hyperlink w:anchor="Seif14" w:tooltip="ביטול" w:history="1">
              <w:r>
                <w:rPr>
                  <w:rStyle w:val="Hyperlink"/>
                </w:rPr>
                <w:t>Go</w:t>
              </w:r>
            </w:hyperlink>
          </w:p>
        </w:tc>
        <w:tc>
          <w:tcPr>
            <w:tcW w:w="5669" w:type="dxa"/>
          </w:tcPr>
          <w:p w14:paraId="3CB57E87" w14:textId="77777777" w:rsidR="004D51A3" w:rsidRDefault="004D51A3">
            <w:pPr>
              <w:rPr>
                <w:rtl/>
              </w:rPr>
            </w:pPr>
            <w:r>
              <w:rPr>
                <w:rtl/>
              </w:rPr>
              <w:t>ביטול</w:t>
            </w:r>
          </w:p>
        </w:tc>
        <w:tc>
          <w:tcPr>
            <w:tcW w:w="1247" w:type="dxa"/>
          </w:tcPr>
          <w:p w14:paraId="19C3CC46" w14:textId="77777777" w:rsidR="004D51A3" w:rsidRDefault="004D51A3">
            <w:r>
              <w:rPr>
                <w:rtl/>
              </w:rPr>
              <w:t xml:space="preserve">סעיף 29 </w:t>
            </w:r>
          </w:p>
        </w:tc>
      </w:tr>
    </w:tbl>
    <w:p w14:paraId="622F99A3" w14:textId="77777777" w:rsidR="004D51A3" w:rsidRDefault="004D51A3">
      <w:pPr>
        <w:pStyle w:val="big-header"/>
        <w:ind w:left="0" w:right="1134"/>
        <w:rPr>
          <w:rFonts w:cs="FrankRuehl"/>
          <w:sz w:val="32"/>
          <w:rtl/>
        </w:rPr>
      </w:pPr>
    </w:p>
    <w:p w14:paraId="5725FA79" w14:textId="77777777" w:rsidR="004D51A3" w:rsidRDefault="004D51A3" w:rsidP="00E160CB">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(קביעת אחוז נכות), תש"ם</w:t>
      </w:r>
      <w:r w:rsidR="005B3C55">
        <w:rPr>
          <w:rFonts w:cs="FrankRuehl" w:hint="cs"/>
          <w:sz w:val="32"/>
          <w:rtl/>
        </w:rPr>
        <w:t>-</w:t>
      </w:r>
      <w:r>
        <w:rPr>
          <w:rFonts w:cs="FrankRuehl"/>
          <w:sz w:val="32"/>
          <w:rtl/>
        </w:rPr>
        <w:t>1979</w:t>
      </w:r>
      <w:r w:rsidR="005B3C55">
        <w:rPr>
          <w:rStyle w:val="a6"/>
          <w:rFonts w:cs="FrankRuehl"/>
          <w:sz w:val="32"/>
          <w:rtl/>
        </w:rPr>
        <w:footnoteReference w:customMarkFollows="1" w:id="1"/>
        <w:t>*</w:t>
      </w:r>
    </w:p>
    <w:p w14:paraId="6706E240" w14:textId="77777777" w:rsidR="004D51A3" w:rsidRPr="001B7F12" w:rsidRDefault="004D51A3">
      <w:pPr>
        <w:pStyle w:val="P00"/>
        <w:spacing w:before="72"/>
        <w:ind w:left="0" w:right="1134"/>
        <w:rPr>
          <w:rStyle w:val="default"/>
          <w:rFonts w:cs="FrankRuehl"/>
          <w:rtl/>
        </w:rPr>
      </w:pPr>
      <w:r w:rsidRPr="001B7F12">
        <w:rPr>
          <w:rFonts w:cs="FrankRuehl"/>
          <w:sz w:val="26"/>
          <w:rtl/>
        </w:rPr>
        <w:tab/>
      </w:r>
      <w:r w:rsidRPr="001B7F12">
        <w:rPr>
          <w:rStyle w:val="default"/>
          <w:rFonts w:cs="FrankRuehl"/>
          <w:rtl/>
        </w:rPr>
        <w:t>בתוקף סמכותי לפי סעיף 9(5)(ב) לפקודת מס הכנסה, ובאישור ועדת הכספים של הכנסת, אני מתקין תקנות אלה:</w:t>
      </w:r>
    </w:p>
    <w:p w14:paraId="0E22997B" w14:textId="77777777" w:rsidR="004D51A3" w:rsidRDefault="004D51A3">
      <w:pPr>
        <w:pStyle w:val="P00"/>
        <w:spacing w:before="72"/>
        <w:ind w:left="0" w:right="1134"/>
        <w:rPr>
          <w:rStyle w:val="default"/>
          <w:rFonts w:cs="FrankRuehl" w:hint="cs"/>
          <w:rtl/>
        </w:rPr>
      </w:pPr>
      <w:bookmarkStart w:id="0" w:name="Seif15"/>
      <w:bookmarkEnd w:id="0"/>
      <w:r w:rsidRPr="003638B9">
        <w:rPr>
          <w:rFonts w:cs="Miriam"/>
          <w:lang w:val="he-IL"/>
        </w:rPr>
        <w:pict w14:anchorId="06822C3D">
          <v:rect id="_x0000_s1026" style="position:absolute;left:0;text-align:left;margin-left:464.5pt;margin-top:8.05pt;width:75.05pt;height:14.2pt;z-index:251658240" o:allowincell="f" filled="f" stroked="f" strokecolor="lime" strokeweight=".25pt">
            <v:textbox inset="0,0,0,0">
              <w:txbxContent>
                <w:p w14:paraId="5C3543C2" w14:textId="77777777" w:rsidR="004D51A3" w:rsidRDefault="004D51A3">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3638B9">
        <w:rPr>
          <w:rStyle w:val="big-number"/>
          <w:rFonts w:cs="Miriam"/>
          <w:rtl/>
        </w:rPr>
        <w:t>1</w:t>
      </w:r>
      <w:r w:rsidRPr="003638B9">
        <w:rPr>
          <w:rStyle w:val="big-number"/>
          <w:rFonts w:cs="FrankRuehl"/>
          <w:sz w:val="26"/>
          <w:szCs w:val="26"/>
          <w:rtl/>
        </w:rPr>
        <w:t>.</w:t>
      </w:r>
      <w:r w:rsidRPr="003638B9">
        <w:rPr>
          <w:rStyle w:val="big-number"/>
          <w:rFonts w:cs="FrankRuehl"/>
          <w:sz w:val="26"/>
          <w:szCs w:val="26"/>
          <w:rtl/>
        </w:rPr>
        <w:tab/>
      </w:r>
      <w:r w:rsidR="003638B9">
        <w:rPr>
          <w:rStyle w:val="default"/>
          <w:rFonts w:cs="FrankRuehl"/>
          <w:rtl/>
        </w:rPr>
        <w:t>בתקנות אלה –</w:t>
      </w:r>
    </w:p>
    <w:p w14:paraId="6066AA32" w14:textId="77777777" w:rsidR="004D51A3" w:rsidRPr="001B7F12" w:rsidRDefault="004D51A3" w:rsidP="003638B9">
      <w:pPr>
        <w:pStyle w:val="P00"/>
        <w:spacing w:before="72"/>
        <w:ind w:left="0" w:right="1134"/>
        <w:rPr>
          <w:rStyle w:val="default"/>
          <w:rFonts w:cs="FrankRuehl"/>
          <w:rtl/>
        </w:rPr>
      </w:pPr>
      <w:r w:rsidRPr="001B7F12">
        <w:rPr>
          <w:rFonts w:cs="FrankRuehl"/>
          <w:sz w:val="26"/>
          <w:rtl/>
        </w:rPr>
        <w:tab/>
      </w:r>
      <w:r w:rsidRPr="001B7F12">
        <w:rPr>
          <w:rStyle w:val="default"/>
          <w:rFonts w:cs="FrankRuehl"/>
          <w:rtl/>
        </w:rPr>
        <w:t xml:space="preserve">"המוסד" </w:t>
      </w:r>
      <w:r w:rsidR="00F8397A">
        <w:rPr>
          <w:rStyle w:val="default"/>
          <w:rFonts w:cs="FrankRuehl"/>
          <w:rtl/>
        </w:rPr>
        <w:t>–</w:t>
      </w:r>
      <w:r w:rsidRPr="001B7F12">
        <w:rPr>
          <w:rStyle w:val="default"/>
          <w:rFonts w:cs="FrankRuehl"/>
          <w:rtl/>
        </w:rPr>
        <w:t xml:space="preserve"> כמשמעותו בחוק הביטוח הלאומי [נוסח משולב], תשכ"ח</w:t>
      </w:r>
      <w:r w:rsidR="003638B9">
        <w:rPr>
          <w:rStyle w:val="default"/>
          <w:rFonts w:cs="FrankRuehl" w:hint="cs"/>
          <w:rtl/>
        </w:rPr>
        <w:t>-</w:t>
      </w:r>
      <w:r w:rsidRPr="001B7F12">
        <w:rPr>
          <w:rStyle w:val="default"/>
          <w:rFonts w:cs="FrankRuehl"/>
          <w:rtl/>
        </w:rPr>
        <w:t>1968;</w:t>
      </w:r>
    </w:p>
    <w:p w14:paraId="5D9C27F0" w14:textId="77777777" w:rsidR="004D51A3" w:rsidRPr="001B7F12" w:rsidRDefault="004D51A3" w:rsidP="003638B9">
      <w:pPr>
        <w:pStyle w:val="P00"/>
        <w:spacing w:before="72"/>
        <w:ind w:left="0" w:right="1134"/>
        <w:rPr>
          <w:rStyle w:val="default"/>
          <w:rFonts w:cs="FrankRuehl"/>
          <w:rtl/>
        </w:rPr>
      </w:pPr>
      <w:r w:rsidRPr="001B7F12">
        <w:rPr>
          <w:rFonts w:cs="FrankRuehl"/>
          <w:sz w:val="26"/>
          <w:rtl/>
        </w:rPr>
        <w:tab/>
      </w:r>
      <w:r w:rsidRPr="001B7F12">
        <w:rPr>
          <w:rStyle w:val="default"/>
          <w:rFonts w:cs="FrankRuehl"/>
          <w:rtl/>
        </w:rPr>
        <w:t xml:space="preserve">"רופא מוסמך", "פוסק רפואי" ו"מזכיר" </w:t>
      </w:r>
      <w:r w:rsidR="00F8397A">
        <w:rPr>
          <w:rStyle w:val="default"/>
          <w:rFonts w:cs="FrankRuehl"/>
          <w:rtl/>
        </w:rPr>
        <w:t>–</w:t>
      </w:r>
      <w:r w:rsidRPr="001B7F12">
        <w:rPr>
          <w:rStyle w:val="default"/>
          <w:rFonts w:cs="FrankRuehl"/>
          <w:rtl/>
        </w:rPr>
        <w:t xml:space="preserve"> כמשמעותם בתקנות הביטוח הלאומי (קביעת דרגת נכות לנפגעי עבודה), תשט"ז</w:t>
      </w:r>
      <w:r w:rsidR="003638B9">
        <w:rPr>
          <w:rStyle w:val="default"/>
          <w:rFonts w:cs="FrankRuehl" w:hint="cs"/>
          <w:rtl/>
        </w:rPr>
        <w:t>-</w:t>
      </w:r>
      <w:r w:rsidRPr="001B7F12">
        <w:rPr>
          <w:rStyle w:val="default"/>
          <w:rFonts w:cs="FrankRuehl"/>
          <w:rtl/>
        </w:rPr>
        <w:t xml:space="preserve">1956 (להלן </w:t>
      </w:r>
      <w:r w:rsidR="00F8397A">
        <w:rPr>
          <w:rStyle w:val="default"/>
          <w:rFonts w:cs="FrankRuehl"/>
          <w:rtl/>
        </w:rPr>
        <w:t>–</w:t>
      </w:r>
      <w:r w:rsidRPr="001B7F12">
        <w:rPr>
          <w:rStyle w:val="default"/>
          <w:rFonts w:cs="FrankRuehl"/>
          <w:rtl/>
        </w:rPr>
        <w:t xml:space="preserve"> תקנות הביטוח).</w:t>
      </w:r>
    </w:p>
    <w:p w14:paraId="4AB511FB" w14:textId="77777777" w:rsidR="004D51A3" w:rsidRPr="001B7F12" w:rsidRDefault="004D51A3" w:rsidP="003638B9">
      <w:pPr>
        <w:pStyle w:val="P00"/>
        <w:spacing w:before="72"/>
        <w:ind w:left="0" w:right="1134"/>
        <w:rPr>
          <w:rStyle w:val="default"/>
          <w:rFonts w:cs="FrankRuehl"/>
          <w:rtl/>
        </w:rPr>
      </w:pPr>
      <w:bookmarkStart w:id="1" w:name="Seif16"/>
      <w:bookmarkEnd w:id="1"/>
      <w:r w:rsidRPr="003638B9">
        <w:rPr>
          <w:rFonts w:cs="Miriam"/>
          <w:lang w:val="he-IL"/>
        </w:rPr>
        <w:pict w14:anchorId="4AE7D715">
          <v:rect id="_x0000_s1027" style="position:absolute;left:0;text-align:left;margin-left:464.5pt;margin-top:8.05pt;width:75.05pt;height:23.55pt;z-index:251659264" o:allowincell="f" filled="f" stroked="f" strokecolor="lime" strokeweight=".25pt">
            <v:textbox inset="0,0,0,0">
              <w:txbxContent>
                <w:p w14:paraId="685963F3" w14:textId="77777777" w:rsidR="004D51A3" w:rsidRDefault="004D51A3" w:rsidP="003638B9">
                  <w:pPr>
                    <w:spacing w:line="160" w:lineRule="exact"/>
                    <w:rPr>
                      <w:rFonts w:cs="Miriam"/>
                      <w:noProof/>
                      <w:sz w:val="18"/>
                      <w:szCs w:val="18"/>
                      <w:rtl/>
                    </w:rPr>
                  </w:pPr>
                  <w:r>
                    <w:rPr>
                      <w:rFonts w:cs="Miriam"/>
                      <w:sz w:val="18"/>
                      <w:szCs w:val="18"/>
                      <w:rtl/>
                    </w:rPr>
                    <w:t>קב</w:t>
                  </w:r>
                  <w:r>
                    <w:rPr>
                      <w:rFonts w:cs="Miriam" w:hint="cs"/>
                      <w:sz w:val="18"/>
                      <w:szCs w:val="18"/>
                      <w:rtl/>
                    </w:rPr>
                    <w:t>יעת אחוז נכו</w:t>
                  </w:r>
                  <w:r>
                    <w:rPr>
                      <w:rFonts w:cs="Miriam"/>
                      <w:sz w:val="18"/>
                      <w:szCs w:val="18"/>
                      <w:rtl/>
                    </w:rPr>
                    <w:t>ת</w:t>
                  </w:r>
                  <w:r w:rsidR="003638B9">
                    <w:rPr>
                      <w:rFonts w:cs="Miriam" w:hint="cs"/>
                      <w:sz w:val="18"/>
                      <w:szCs w:val="18"/>
                      <w:rtl/>
                    </w:rPr>
                    <w:t xml:space="preserve"> </w:t>
                  </w:r>
                  <w:r w:rsidR="003638B9">
                    <w:rPr>
                      <w:rFonts w:cs="Miriam" w:hint="cs"/>
                      <w:sz w:val="18"/>
                      <w:szCs w:val="18"/>
                      <w:rtl/>
                    </w:rPr>
                    <w:br/>
                  </w:r>
                  <w:r>
                    <w:rPr>
                      <w:rFonts w:cs="Miriam"/>
                      <w:sz w:val="18"/>
                      <w:szCs w:val="18"/>
                      <w:rtl/>
                    </w:rPr>
                    <w:t>על</w:t>
                  </w:r>
                  <w:r>
                    <w:rPr>
                      <w:rFonts w:cs="Miriam" w:hint="cs"/>
                      <w:sz w:val="18"/>
                      <w:szCs w:val="18"/>
                      <w:rtl/>
                    </w:rPr>
                    <w:t>-ידי ועדה</w:t>
                  </w:r>
                </w:p>
              </w:txbxContent>
            </v:textbox>
            <w10:anchorlock/>
          </v:rect>
        </w:pict>
      </w:r>
      <w:r w:rsidRPr="003638B9">
        <w:rPr>
          <w:rStyle w:val="big-number"/>
          <w:rFonts w:cs="Miriam"/>
          <w:rtl/>
        </w:rPr>
        <w:t>2</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(א)</w:t>
      </w:r>
      <w:r w:rsidRPr="001B7F12">
        <w:rPr>
          <w:rStyle w:val="default"/>
          <w:rFonts w:cs="FrankRuehl"/>
          <w:rtl/>
        </w:rPr>
        <w:tab/>
        <w:t xml:space="preserve">נכה שאחוז נכותו לא נקבע על פי אחד החוקים המנויים בסעיף 9(5)(א)(א) לפקודה ייקבע אחוז נכותו על ידי ועדה אשר תיבחר על ידי רופא מוסמך (להלן </w:t>
      </w:r>
      <w:r w:rsidR="00F8397A">
        <w:rPr>
          <w:rStyle w:val="default"/>
          <w:rFonts w:cs="FrankRuehl"/>
          <w:rtl/>
        </w:rPr>
        <w:t>–</w:t>
      </w:r>
      <w:r w:rsidRPr="001B7F12">
        <w:rPr>
          <w:rStyle w:val="default"/>
          <w:rFonts w:cs="FrankRuehl"/>
          <w:rtl/>
        </w:rPr>
        <w:t xml:space="preserve"> הועדה).</w:t>
      </w:r>
    </w:p>
    <w:p w14:paraId="1F7FA453" w14:textId="77777777" w:rsidR="004D51A3" w:rsidRPr="001B7F12" w:rsidRDefault="004D51A3" w:rsidP="003638B9">
      <w:pPr>
        <w:pStyle w:val="P00"/>
        <w:spacing w:before="72"/>
        <w:ind w:left="0" w:right="1134"/>
        <w:rPr>
          <w:rStyle w:val="default"/>
          <w:rFonts w:cs="FrankRuehl"/>
          <w:rtl/>
        </w:rPr>
      </w:pPr>
      <w:r w:rsidRPr="001B7F12">
        <w:rPr>
          <w:rFonts w:cs="FrankRuehl"/>
          <w:sz w:val="26"/>
          <w:rtl/>
        </w:rPr>
        <w:tab/>
      </w:r>
      <w:r w:rsidRPr="001B7F12">
        <w:rPr>
          <w:rStyle w:val="default"/>
          <w:rFonts w:cs="FrankRuehl"/>
          <w:rtl/>
        </w:rPr>
        <w:t>(ב)</w:t>
      </w:r>
      <w:r w:rsidRPr="001B7F12">
        <w:rPr>
          <w:rStyle w:val="default"/>
          <w:rFonts w:cs="FrankRuehl"/>
          <w:rtl/>
        </w:rPr>
        <w:tab/>
        <w:t xml:space="preserve">הועדה תהיה של פוסק רפואי אחד אך רשאי הרופא המוסמך </w:t>
      </w:r>
      <w:r w:rsidR="00F8397A">
        <w:rPr>
          <w:rStyle w:val="default"/>
          <w:rFonts w:cs="FrankRuehl"/>
          <w:rtl/>
        </w:rPr>
        <w:t>–</w:t>
      </w:r>
      <w:r w:rsidRPr="001B7F12">
        <w:rPr>
          <w:rStyle w:val="default"/>
          <w:rFonts w:cs="FrankRuehl"/>
          <w:rtl/>
        </w:rPr>
        <w:t xml:space="preserve"> אם לדעתו רצוי שקביעת אחוז נכות תיעשה על ידי מומחים בשני ענפי רפואה </w:t>
      </w:r>
      <w:r w:rsidR="00F8397A">
        <w:rPr>
          <w:rStyle w:val="default"/>
          <w:rFonts w:cs="FrankRuehl"/>
          <w:rtl/>
        </w:rPr>
        <w:t>–</w:t>
      </w:r>
      <w:r w:rsidRPr="001B7F12">
        <w:rPr>
          <w:rStyle w:val="default"/>
          <w:rFonts w:cs="FrankRuehl"/>
          <w:rtl/>
        </w:rPr>
        <w:t xml:space="preserve"> לבחור בועדה של שני פוסקים רפואיים.</w:t>
      </w:r>
    </w:p>
    <w:p w14:paraId="7ECFCB55" w14:textId="77777777" w:rsidR="004D51A3" w:rsidRPr="001B7F12" w:rsidRDefault="004D51A3">
      <w:pPr>
        <w:pStyle w:val="P00"/>
        <w:spacing w:before="72"/>
        <w:ind w:left="0" w:right="1134"/>
        <w:rPr>
          <w:rStyle w:val="default"/>
          <w:rFonts w:cs="FrankRuehl"/>
          <w:rtl/>
        </w:rPr>
      </w:pPr>
      <w:bookmarkStart w:id="2" w:name="Seif17"/>
      <w:bookmarkEnd w:id="2"/>
      <w:r w:rsidRPr="003638B9">
        <w:rPr>
          <w:rFonts w:cs="Miriam"/>
          <w:lang w:val="he-IL"/>
        </w:rPr>
        <w:pict w14:anchorId="3B331FF0">
          <v:rect id="_x0000_s1028" style="position:absolute;left:0;text-align:left;margin-left:464.5pt;margin-top:8.05pt;width:75.05pt;height:23.5pt;z-index:251660288" o:allowincell="f" filled="f" stroked="f" strokecolor="lime" strokeweight=".25pt">
            <v:textbox inset="0,0,0,0">
              <w:txbxContent>
                <w:p w14:paraId="1699A7F6" w14:textId="77777777" w:rsidR="004D51A3" w:rsidRDefault="004D51A3" w:rsidP="003638B9">
                  <w:pPr>
                    <w:spacing w:line="160" w:lineRule="exact"/>
                    <w:rPr>
                      <w:rFonts w:cs="Miriam"/>
                      <w:noProof/>
                      <w:sz w:val="18"/>
                      <w:szCs w:val="18"/>
                      <w:rtl/>
                    </w:rPr>
                  </w:pPr>
                  <w:r>
                    <w:rPr>
                      <w:rFonts w:cs="Miriam"/>
                      <w:sz w:val="18"/>
                      <w:szCs w:val="18"/>
                      <w:rtl/>
                    </w:rPr>
                    <w:t>הה</w:t>
                  </w:r>
                  <w:r>
                    <w:rPr>
                      <w:rFonts w:cs="Miriam" w:hint="cs"/>
                      <w:sz w:val="18"/>
                      <w:szCs w:val="18"/>
                      <w:rtl/>
                    </w:rPr>
                    <w:t>ליכים לקביעת</w:t>
                  </w:r>
                  <w:r w:rsidR="003638B9">
                    <w:rPr>
                      <w:rFonts w:cs="Miriam" w:hint="cs"/>
                      <w:sz w:val="18"/>
                      <w:szCs w:val="18"/>
                      <w:rtl/>
                    </w:rPr>
                    <w:t xml:space="preserve"> </w:t>
                  </w:r>
                  <w:r>
                    <w:rPr>
                      <w:rFonts w:cs="Miriam"/>
                      <w:sz w:val="18"/>
                      <w:szCs w:val="18"/>
                      <w:rtl/>
                    </w:rPr>
                    <w:t>אח</w:t>
                  </w:r>
                  <w:r>
                    <w:rPr>
                      <w:rFonts w:cs="Miriam" w:hint="cs"/>
                      <w:sz w:val="18"/>
                      <w:szCs w:val="18"/>
                      <w:rtl/>
                    </w:rPr>
                    <w:t>וז נכות</w:t>
                  </w:r>
                </w:p>
              </w:txbxContent>
            </v:textbox>
            <w10:anchorlock/>
          </v:rect>
        </w:pict>
      </w:r>
      <w:r w:rsidRPr="003638B9">
        <w:rPr>
          <w:rStyle w:val="big-number"/>
          <w:rFonts w:cs="Miriam"/>
          <w:rtl/>
        </w:rPr>
        <w:t>3</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בקשה לקביעת אחוז נכות כאמור בתקנה 2 תוגש למזכיר באמצעות הנציב והנכה ישלם למוסד את הוצאותיו כפי שייקבעו על ידי המוסד.</w:t>
      </w:r>
    </w:p>
    <w:p w14:paraId="04B86B27" w14:textId="77777777" w:rsidR="004D51A3" w:rsidRPr="001B7F12" w:rsidRDefault="004D51A3">
      <w:pPr>
        <w:pStyle w:val="P00"/>
        <w:spacing w:before="72"/>
        <w:ind w:left="0" w:right="1134"/>
        <w:rPr>
          <w:rStyle w:val="default"/>
          <w:rFonts w:cs="FrankRuehl"/>
          <w:rtl/>
        </w:rPr>
      </w:pPr>
      <w:bookmarkStart w:id="3" w:name="Seif18"/>
      <w:bookmarkEnd w:id="3"/>
      <w:r w:rsidRPr="003638B9">
        <w:rPr>
          <w:rFonts w:cs="Miriam"/>
          <w:lang w:val="he-IL"/>
        </w:rPr>
        <w:pict w14:anchorId="335D15D3">
          <v:rect id="_x0000_s1029" style="position:absolute;left:0;text-align:left;margin-left:464.5pt;margin-top:8.05pt;width:75.05pt;height:17.9pt;z-index:251661312" o:allowincell="f" filled="f" stroked="f" strokecolor="lime" strokeweight=".25pt">
            <v:textbox inset="0,0,0,0">
              <w:txbxContent>
                <w:p w14:paraId="23043689" w14:textId="77777777" w:rsidR="004D51A3" w:rsidRDefault="004D51A3">
                  <w:pPr>
                    <w:spacing w:line="160" w:lineRule="exact"/>
                    <w:rPr>
                      <w:rFonts w:cs="Miriam"/>
                      <w:noProof/>
                      <w:sz w:val="18"/>
                      <w:szCs w:val="18"/>
                      <w:rtl/>
                    </w:rPr>
                  </w:pPr>
                  <w:r>
                    <w:rPr>
                      <w:rFonts w:cs="Miriam"/>
                      <w:sz w:val="18"/>
                      <w:szCs w:val="18"/>
                      <w:rtl/>
                    </w:rPr>
                    <w:t>יו</w:t>
                  </w:r>
                  <w:r>
                    <w:rPr>
                      <w:rFonts w:cs="Miriam" w:hint="cs"/>
                      <w:sz w:val="18"/>
                      <w:szCs w:val="18"/>
                      <w:rtl/>
                    </w:rPr>
                    <w:t>עצים רפואיים</w:t>
                  </w:r>
                </w:p>
              </w:txbxContent>
            </v:textbox>
            <w10:anchorlock/>
          </v:rect>
        </w:pict>
      </w:r>
      <w:r w:rsidRPr="003638B9">
        <w:rPr>
          <w:rStyle w:val="big-number"/>
          <w:rFonts w:cs="Miriam"/>
          <w:rtl/>
        </w:rPr>
        <w:t>4</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רופא מוסמך רשאי, מיזמתו הוא או לפי בקשת הועדה, למנות יועצים רפואיים אשר יגישו לועדה את חוות דעתם על סמך בדיקות הנכה שהם ביצעו, או על סמך מסמכים רפואיים ותוצאות בדיקות שהובאו בפניהם.</w:t>
      </w:r>
    </w:p>
    <w:p w14:paraId="31F3609B" w14:textId="77777777" w:rsidR="004D51A3" w:rsidRPr="001B7F12" w:rsidRDefault="004D51A3">
      <w:pPr>
        <w:pStyle w:val="P00"/>
        <w:spacing w:before="72"/>
        <w:ind w:left="0" w:right="1134"/>
        <w:rPr>
          <w:rStyle w:val="default"/>
          <w:rFonts w:cs="FrankRuehl"/>
          <w:rtl/>
        </w:rPr>
      </w:pPr>
      <w:bookmarkStart w:id="4" w:name="Seif19"/>
      <w:bookmarkEnd w:id="4"/>
      <w:r w:rsidRPr="003638B9">
        <w:rPr>
          <w:rFonts w:cs="Miriam"/>
          <w:lang w:val="he-IL"/>
        </w:rPr>
        <w:pict w14:anchorId="151B1F1D">
          <v:rect id="_x0000_s1030" style="position:absolute;left:0;text-align:left;margin-left:464.5pt;margin-top:8.05pt;width:75.05pt;height:26.3pt;z-index:251662336" o:allowincell="f" filled="f" stroked="f" strokecolor="lime" strokeweight=".25pt">
            <v:textbox inset="0,0,0,0">
              <w:txbxContent>
                <w:p w14:paraId="4A92867D" w14:textId="77777777" w:rsidR="004D51A3" w:rsidRDefault="004D51A3" w:rsidP="003638B9">
                  <w:pPr>
                    <w:spacing w:line="160" w:lineRule="exact"/>
                    <w:rPr>
                      <w:rFonts w:cs="Miriam"/>
                      <w:noProof/>
                      <w:sz w:val="18"/>
                      <w:szCs w:val="18"/>
                      <w:rtl/>
                    </w:rPr>
                  </w:pPr>
                  <w:r>
                    <w:rPr>
                      <w:rFonts w:cs="Miriam"/>
                      <w:sz w:val="18"/>
                      <w:szCs w:val="18"/>
                      <w:rtl/>
                    </w:rPr>
                    <w:t>מו</w:t>
                  </w:r>
                  <w:r>
                    <w:rPr>
                      <w:rFonts w:cs="Miriam" w:hint="cs"/>
                      <w:sz w:val="18"/>
                      <w:szCs w:val="18"/>
                      <w:rtl/>
                    </w:rPr>
                    <w:t>עד ומקום</w:t>
                  </w:r>
                  <w:r w:rsidR="003638B9">
                    <w:rPr>
                      <w:rFonts w:cs="Miriam" w:hint="cs"/>
                      <w:sz w:val="18"/>
                      <w:szCs w:val="18"/>
                      <w:rtl/>
                    </w:rPr>
                    <w:t xml:space="preserve"> </w:t>
                  </w:r>
                  <w:r>
                    <w:rPr>
                      <w:rFonts w:cs="Miriam"/>
                      <w:sz w:val="18"/>
                      <w:szCs w:val="18"/>
                      <w:rtl/>
                    </w:rPr>
                    <w:t>הת</w:t>
                  </w:r>
                  <w:r>
                    <w:rPr>
                      <w:rFonts w:cs="Miriam" w:hint="cs"/>
                      <w:sz w:val="18"/>
                      <w:szCs w:val="18"/>
                      <w:rtl/>
                    </w:rPr>
                    <w:t xml:space="preserve">יצבות </w:t>
                  </w:r>
                  <w:r>
                    <w:rPr>
                      <w:rFonts w:cs="Miriam"/>
                      <w:sz w:val="18"/>
                      <w:szCs w:val="18"/>
                      <w:rtl/>
                    </w:rPr>
                    <w:t>הנ</w:t>
                  </w:r>
                  <w:r>
                    <w:rPr>
                      <w:rFonts w:cs="Miriam" w:hint="cs"/>
                      <w:sz w:val="18"/>
                      <w:szCs w:val="18"/>
                      <w:rtl/>
                    </w:rPr>
                    <w:t>כה</w:t>
                  </w:r>
                </w:p>
              </w:txbxContent>
            </v:textbox>
            <w10:anchorlock/>
          </v:rect>
        </w:pict>
      </w:r>
      <w:r w:rsidRPr="003638B9">
        <w:rPr>
          <w:rStyle w:val="big-number"/>
          <w:rFonts w:cs="Miriam"/>
          <w:rtl/>
        </w:rPr>
        <w:t>5</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משבחר הרופא המוסמך את הועדה לקביעת אחוז נכותו של נכה, יזמין המזכיר את הנכה להתייצב בפני הועדה במועד ובמקום הנקוב בהזמנה. ההזמנה תישלח לפחות חמישה עשר ימים לפני המועד כאמור.</w:t>
      </w:r>
    </w:p>
    <w:p w14:paraId="60CDDEF1" w14:textId="77777777" w:rsidR="004D51A3" w:rsidRPr="001B7F12" w:rsidRDefault="004D51A3">
      <w:pPr>
        <w:pStyle w:val="P00"/>
        <w:spacing w:before="72"/>
        <w:ind w:left="0" w:right="1134"/>
        <w:rPr>
          <w:rStyle w:val="default"/>
          <w:rFonts w:cs="FrankRuehl"/>
          <w:rtl/>
        </w:rPr>
      </w:pPr>
      <w:bookmarkStart w:id="5" w:name="Seif20"/>
      <w:bookmarkEnd w:id="5"/>
      <w:r w:rsidRPr="003638B9">
        <w:rPr>
          <w:rFonts w:cs="Miriam"/>
          <w:lang w:val="he-IL"/>
        </w:rPr>
        <w:pict w14:anchorId="4C855EBF">
          <v:rect id="_x0000_s1031" style="position:absolute;left:0;text-align:left;margin-left:464.5pt;margin-top:8.05pt;width:75.05pt;height:25.7pt;z-index:251663360" o:allowincell="f" filled="f" stroked="f" strokecolor="lime" strokeweight=".25pt">
            <v:textbox inset="0,0,0,0">
              <w:txbxContent>
                <w:p w14:paraId="5892CC56" w14:textId="77777777" w:rsidR="004D51A3" w:rsidRDefault="004D51A3" w:rsidP="003638B9">
                  <w:pPr>
                    <w:spacing w:line="160" w:lineRule="exact"/>
                    <w:rPr>
                      <w:rFonts w:cs="Miriam"/>
                      <w:noProof/>
                      <w:sz w:val="18"/>
                      <w:szCs w:val="18"/>
                      <w:rtl/>
                    </w:rPr>
                  </w:pPr>
                  <w:r>
                    <w:rPr>
                      <w:rFonts w:cs="Miriam"/>
                      <w:sz w:val="18"/>
                      <w:szCs w:val="18"/>
                      <w:rtl/>
                    </w:rPr>
                    <w:t>קב</w:t>
                  </w:r>
                  <w:r>
                    <w:rPr>
                      <w:rFonts w:cs="Miriam" w:hint="cs"/>
                      <w:sz w:val="18"/>
                      <w:szCs w:val="18"/>
                      <w:rtl/>
                    </w:rPr>
                    <w:t>יעת דרגת נכות</w:t>
                  </w:r>
                  <w:r w:rsidR="003638B9">
                    <w:rPr>
                      <w:rFonts w:cs="Miriam" w:hint="cs"/>
                      <w:sz w:val="18"/>
                      <w:szCs w:val="18"/>
                      <w:rtl/>
                    </w:rPr>
                    <w:t xml:space="preserve"> </w:t>
                  </w:r>
                  <w:r>
                    <w:rPr>
                      <w:rFonts w:cs="Miriam"/>
                      <w:sz w:val="18"/>
                      <w:szCs w:val="18"/>
                      <w:rtl/>
                    </w:rPr>
                    <w:t>על</w:t>
                  </w:r>
                  <w:r>
                    <w:rPr>
                      <w:rFonts w:cs="Miriam" w:hint="cs"/>
                      <w:sz w:val="18"/>
                      <w:szCs w:val="18"/>
                      <w:rtl/>
                    </w:rPr>
                    <w:t>-פי מסמכים</w:t>
                  </w:r>
                </w:p>
              </w:txbxContent>
            </v:textbox>
            <w10:anchorlock/>
          </v:rect>
        </w:pict>
      </w:r>
      <w:r w:rsidRPr="003638B9">
        <w:rPr>
          <w:rStyle w:val="big-number"/>
          <w:rFonts w:cs="Miriam"/>
          <w:rtl/>
        </w:rPr>
        <w:t>6</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הועדה רשאית בהסכמת הנכה לקבוע את אחוז נכותו של הנכה על סמך מסמכים רפואיים בלבד, מבלי לבדוק את הנכה.</w:t>
      </w:r>
    </w:p>
    <w:p w14:paraId="54EEAC13" w14:textId="77777777" w:rsidR="004D51A3" w:rsidRPr="001B7F12" w:rsidRDefault="004D51A3">
      <w:pPr>
        <w:pStyle w:val="P00"/>
        <w:spacing w:before="72"/>
        <w:ind w:left="0" w:right="1134"/>
        <w:rPr>
          <w:rStyle w:val="default"/>
          <w:rFonts w:cs="FrankRuehl"/>
          <w:rtl/>
        </w:rPr>
      </w:pPr>
      <w:bookmarkStart w:id="6" w:name="Seif21"/>
      <w:bookmarkEnd w:id="6"/>
      <w:r w:rsidRPr="003638B9">
        <w:rPr>
          <w:rFonts w:cs="Miriam"/>
          <w:lang w:val="he-IL"/>
        </w:rPr>
        <w:pict w14:anchorId="33909C9B">
          <v:rect id="_x0000_s1032" style="position:absolute;left:0;text-align:left;margin-left:464.5pt;margin-top:8.05pt;width:75.05pt;height:20.1pt;z-index:251664384" o:allowincell="f" filled="f" stroked="f" strokecolor="lime" strokeweight=".25pt">
            <v:textbox inset="0,0,0,0">
              <w:txbxContent>
                <w:p w14:paraId="67163820" w14:textId="77777777" w:rsidR="004D51A3" w:rsidRDefault="004D51A3" w:rsidP="003638B9">
                  <w:pPr>
                    <w:spacing w:line="160" w:lineRule="exact"/>
                    <w:rPr>
                      <w:rFonts w:cs="Miriam"/>
                      <w:noProof/>
                      <w:sz w:val="18"/>
                      <w:szCs w:val="18"/>
                      <w:rtl/>
                    </w:rPr>
                  </w:pPr>
                  <w:r>
                    <w:rPr>
                      <w:rFonts w:cs="Miriam"/>
                      <w:sz w:val="18"/>
                      <w:szCs w:val="18"/>
                      <w:rtl/>
                    </w:rPr>
                    <w:t>בד</w:t>
                  </w:r>
                  <w:r>
                    <w:rPr>
                      <w:rFonts w:cs="Miriam" w:hint="cs"/>
                      <w:sz w:val="18"/>
                      <w:szCs w:val="18"/>
                      <w:rtl/>
                    </w:rPr>
                    <w:t>יקה במקום</w:t>
                  </w:r>
                  <w:r w:rsidR="003638B9">
                    <w:rPr>
                      <w:rFonts w:cs="Miriam" w:hint="cs"/>
                      <w:sz w:val="18"/>
                      <w:szCs w:val="18"/>
                      <w:rtl/>
                    </w:rPr>
                    <w:t xml:space="preserve"> </w:t>
                  </w:r>
                  <w:r>
                    <w:rPr>
                      <w:rFonts w:cs="Miriam"/>
                      <w:sz w:val="18"/>
                      <w:szCs w:val="18"/>
                      <w:rtl/>
                    </w:rPr>
                    <w:t>הי</w:t>
                  </w:r>
                  <w:r>
                    <w:rPr>
                      <w:rFonts w:cs="Miriam" w:hint="cs"/>
                      <w:sz w:val="18"/>
                      <w:szCs w:val="18"/>
                      <w:rtl/>
                    </w:rPr>
                    <w:t>מצא הנכה</w:t>
                  </w:r>
                </w:p>
              </w:txbxContent>
            </v:textbox>
            <w10:anchorlock/>
          </v:rect>
        </w:pict>
      </w:r>
      <w:r w:rsidRPr="003638B9">
        <w:rPr>
          <w:rStyle w:val="big-number"/>
          <w:rFonts w:cs="Miriam"/>
          <w:rtl/>
        </w:rPr>
        <w:t>7</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אישר רופא מוסמך כי נבצר מהנכה, בגלל מצב בריאותו, להתייצב בפני הועדה במקום הנקוב בהזמנה, תבדוק הועדה את הנכה במקום הימצאו.</w:t>
      </w:r>
    </w:p>
    <w:p w14:paraId="634C3DA6" w14:textId="77777777" w:rsidR="004D51A3" w:rsidRPr="001B7F12" w:rsidRDefault="004D51A3">
      <w:pPr>
        <w:pStyle w:val="P00"/>
        <w:spacing w:before="72"/>
        <w:ind w:left="0" w:right="1134"/>
        <w:rPr>
          <w:rStyle w:val="default"/>
          <w:rFonts w:cs="FrankRuehl"/>
          <w:rtl/>
        </w:rPr>
      </w:pPr>
      <w:bookmarkStart w:id="7" w:name="Seif22"/>
      <w:bookmarkEnd w:id="7"/>
      <w:r w:rsidRPr="003638B9">
        <w:rPr>
          <w:rFonts w:cs="Miriam"/>
          <w:lang w:val="he-IL"/>
        </w:rPr>
        <w:pict w14:anchorId="4DD4AA45">
          <v:rect id="_x0000_s1033" style="position:absolute;left:0;text-align:left;margin-left:464.5pt;margin-top:8.05pt;width:75.05pt;height:32pt;z-index:251665408" o:allowincell="f" filled="f" stroked="f" strokecolor="lime" strokeweight=".25pt">
            <v:textbox inset="0,0,0,0">
              <w:txbxContent>
                <w:p w14:paraId="3022C0A5" w14:textId="77777777" w:rsidR="004D51A3" w:rsidRDefault="004D51A3" w:rsidP="003638B9">
                  <w:pPr>
                    <w:spacing w:line="160" w:lineRule="exact"/>
                    <w:rPr>
                      <w:rFonts w:cs="Miriam"/>
                      <w:noProof/>
                      <w:sz w:val="18"/>
                      <w:szCs w:val="18"/>
                      <w:rtl/>
                    </w:rPr>
                  </w:pPr>
                  <w:r>
                    <w:rPr>
                      <w:rFonts w:cs="Miriam"/>
                      <w:sz w:val="18"/>
                      <w:szCs w:val="18"/>
                      <w:rtl/>
                    </w:rPr>
                    <w:t>אי</w:t>
                  </w:r>
                  <w:r>
                    <w:rPr>
                      <w:rFonts w:cs="Miriam" w:hint="cs"/>
                      <w:sz w:val="18"/>
                      <w:szCs w:val="18"/>
                      <w:rtl/>
                    </w:rPr>
                    <w:t>-התיצבות</w:t>
                  </w:r>
                  <w:r w:rsidR="003638B9">
                    <w:rPr>
                      <w:rFonts w:cs="Miriam" w:hint="cs"/>
                      <w:sz w:val="18"/>
                      <w:szCs w:val="18"/>
                      <w:rtl/>
                    </w:rPr>
                    <w:t xml:space="preserve"> </w:t>
                  </w:r>
                  <w:r>
                    <w:rPr>
                      <w:rFonts w:cs="Miriam"/>
                      <w:sz w:val="18"/>
                      <w:szCs w:val="18"/>
                      <w:rtl/>
                    </w:rPr>
                    <w:t>לב</w:t>
                  </w:r>
                  <w:r>
                    <w:rPr>
                      <w:rFonts w:cs="Miriam" w:hint="cs"/>
                      <w:sz w:val="18"/>
                      <w:szCs w:val="18"/>
                      <w:rtl/>
                    </w:rPr>
                    <w:t>דיקה או אי</w:t>
                  </w:r>
                  <w:r w:rsidR="003638B9">
                    <w:rPr>
                      <w:rFonts w:cs="Miriam" w:hint="cs"/>
                      <w:noProof/>
                      <w:sz w:val="18"/>
                      <w:szCs w:val="18"/>
                      <w:rtl/>
                    </w:rPr>
                    <w:t xml:space="preserve"> </w:t>
                  </w:r>
                  <w:r>
                    <w:rPr>
                      <w:rFonts w:cs="Miriam"/>
                      <w:sz w:val="18"/>
                      <w:szCs w:val="18"/>
                      <w:rtl/>
                    </w:rPr>
                    <w:t>מי</w:t>
                  </w:r>
                  <w:r>
                    <w:rPr>
                      <w:rFonts w:cs="Miriam" w:hint="cs"/>
                      <w:sz w:val="18"/>
                      <w:szCs w:val="18"/>
                      <w:rtl/>
                    </w:rPr>
                    <w:t>לוי אחרי</w:t>
                  </w:r>
                  <w:r w:rsidR="003638B9">
                    <w:rPr>
                      <w:rFonts w:cs="Miriam" w:hint="cs"/>
                      <w:sz w:val="18"/>
                      <w:szCs w:val="18"/>
                      <w:rtl/>
                    </w:rPr>
                    <w:t xml:space="preserve"> </w:t>
                  </w:r>
                  <w:r>
                    <w:rPr>
                      <w:rFonts w:cs="Miriam"/>
                      <w:sz w:val="18"/>
                      <w:szCs w:val="18"/>
                      <w:rtl/>
                    </w:rPr>
                    <w:t>הו</w:t>
                  </w:r>
                  <w:r>
                    <w:rPr>
                      <w:rFonts w:cs="Miriam" w:hint="cs"/>
                      <w:sz w:val="18"/>
                      <w:szCs w:val="18"/>
                      <w:rtl/>
                    </w:rPr>
                    <w:t>ראות הועדה</w:t>
                  </w:r>
                </w:p>
              </w:txbxContent>
            </v:textbox>
            <w10:anchorlock/>
          </v:rect>
        </w:pict>
      </w:r>
      <w:r w:rsidRPr="003638B9">
        <w:rPr>
          <w:rStyle w:val="big-number"/>
          <w:rFonts w:cs="Miriam"/>
          <w:rtl/>
        </w:rPr>
        <w:t>8</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(א)</w:t>
      </w:r>
      <w:r w:rsidRPr="001B7F12">
        <w:rPr>
          <w:rStyle w:val="default"/>
          <w:rFonts w:cs="FrankRuehl"/>
          <w:rtl/>
        </w:rPr>
        <w:tab/>
        <w:t>לא התייצב הנכה בפני הועדה במועד הנקוב בהזמנה לפי תקנה 5 או במועד אחר שקבעה, מבלי שהודיע למזכיר על כך בכתב לפני המועד כאמור או מבלי שנתן סיבה מתקבלת על הדעת לאי התייצבותו, או לא מילא את הוראות הועדה שניתנו לענין קביעת אחוז הנכות, רואים את הבקשה כאילו לא הוגשה.</w:t>
      </w:r>
    </w:p>
    <w:p w14:paraId="7EE606F5" w14:textId="77777777" w:rsidR="004D51A3" w:rsidRPr="001B7F12" w:rsidRDefault="004D51A3">
      <w:pPr>
        <w:pStyle w:val="P00"/>
        <w:spacing w:before="72"/>
        <w:ind w:left="0" w:right="1134"/>
        <w:rPr>
          <w:rStyle w:val="default"/>
          <w:rFonts w:cs="FrankRuehl"/>
          <w:rtl/>
        </w:rPr>
      </w:pPr>
      <w:r w:rsidRPr="001B7F12">
        <w:rPr>
          <w:rFonts w:cs="FrankRuehl"/>
          <w:sz w:val="26"/>
          <w:rtl/>
        </w:rPr>
        <w:tab/>
      </w:r>
      <w:r w:rsidRPr="001B7F12">
        <w:rPr>
          <w:rStyle w:val="default"/>
          <w:rFonts w:cs="FrankRuehl"/>
          <w:rtl/>
        </w:rPr>
        <w:t>(ב)</w:t>
      </w:r>
      <w:r w:rsidRPr="001B7F12">
        <w:rPr>
          <w:rStyle w:val="default"/>
          <w:rFonts w:cs="FrankRuehl"/>
          <w:rtl/>
        </w:rPr>
        <w:tab/>
        <w:t>הגיש הנכה בקשה מחדש לקביעת אחוז נכותו, ייקבע אחוז הנכות לאחר שהנכה שילם למוסד לפי דרישתו, את הוצאותיו אשר נגרמו לו עקב אי-מילוי אחר הוראות תקנת משנה (א) וכפי שנקבע בידי המוסד.</w:t>
      </w:r>
    </w:p>
    <w:p w14:paraId="59A5D64B" w14:textId="77777777" w:rsidR="004D51A3" w:rsidRPr="001B7F12" w:rsidRDefault="004D51A3">
      <w:pPr>
        <w:pStyle w:val="P00"/>
        <w:spacing w:before="72"/>
        <w:ind w:left="0" w:right="1134"/>
        <w:rPr>
          <w:rStyle w:val="default"/>
          <w:rFonts w:cs="FrankRuehl"/>
          <w:rtl/>
        </w:rPr>
      </w:pPr>
      <w:bookmarkStart w:id="8" w:name="Seif23"/>
      <w:bookmarkEnd w:id="8"/>
      <w:r w:rsidRPr="003638B9">
        <w:rPr>
          <w:rFonts w:cs="Miriam"/>
          <w:lang w:val="he-IL"/>
        </w:rPr>
        <w:pict w14:anchorId="7294E93D">
          <v:rect id="_x0000_s1034" style="position:absolute;left:0;text-align:left;margin-left:464.5pt;margin-top:8.05pt;width:75.05pt;height:21.3pt;z-index:251666432" o:allowincell="f" filled="f" stroked="f" strokecolor="lime" strokeweight=".25pt">
            <v:textbox inset="0,0,0,0">
              <w:txbxContent>
                <w:p w14:paraId="3AB81EDA" w14:textId="77777777" w:rsidR="004D51A3" w:rsidRDefault="004D51A3" w:rsidP="003638B9">
                  <w:pPr>
                    <w:spacing w:line="160" w:lineRule="exact"/>
                    <w:rPr>
                      <w:rFonts w:cs="Miriam"/>
                      <w:noProof/>
                      <w:sz w:val="18"/>
                      <w:szCs w:val="18"/>
                      <w:rtl/>
                    </w:rPr>
                  </w:pPr>
                  <w:r>
                    <w:rPr>
                      <w:rFonts w:cs="Miriam"/>
                      <w:sz w:val="18"/>
                      <w:szCs w:val="18"/>
                      <w:rtl/>
                    </w:rPr>
                    <w:t>נו</w:t>
                  </w:r>
                  <w:r>
                    <w:rPr>
                      <w:rFonts w:cs="Miriam" w:hint="cs"/>
                      <w:sz w:val="18"/>
                      <w:szCs w:val="18"/>
                      <w:rtl/>
                    </w:rPr>
                    <w:t>כחות זרים</w:t>
                  </w:r>
                  <w:r w:rsidR="003638B9">
                    <w:rPr>
                      <w:rFonts w:cs="Miriam" w:hint="cs"/>
                      <w:sz w:val="18"/>
                      <w:szCs w:val="18"/>
                      <w:rtl/>
                    </w:rPr>
                    <w:t xml:space="preserve"> </w:t>
                  </w:r>
                  <w:r>
                    <w:rPr>
                      <w:rFonts w:cs="Miriam"/>
                      <w:sz w:val="18"/>
                      <w:szCs w:val="18"/>
                      <w:rtl/>
                    </w:rPr>
                    <w:t>בש</w:t>
                  </w:r>
                  <w:r>
                    <w:rPr>
                      <w:rFonts w:cs="Miriam" w:hint="cs"/>
                      <w:sz w:val="18"/>
                      <w:szCs w:val="18"/>
                      <w:rtl/>
                    </w:rPr>
                    <w:t>עת הבדיקה</w:t>
                  </w:r>
                </w:p>
              </w:txbxContent>
            </v:textbox>
            <w10:anchorlock/>
          </v:rect>
        </w:pict>
      </w:r>
      <w:r w:rsidRPr="003638B9">
        <w:rPr>
          <w:rStyle w:val="big-number"/>
          <w:rFonts w:cs="Miriam"/>
          <w:rtl/>
        </w:rPr>
        <w:t>9</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הועדה תבדוק את הנכה ביחידות, אך רשאית היא להתיר לזולת להיות נוכח בשעת הבדיקה.</w:t>
      </w:r>
    </w:p>
    <w:p w14:paraId="4A1AEDA9" w14:textId="77777777" w:rsidR="004D51A3" w:rsidRPr="001B7F12" w:rsidRDefault="004D51A3">
      <w:pPr>
        <w:pStyle w:val="P00"/>
        <w:spacing w:before="72"/>
        <w:ind w:left="0" w:right="1134"/>
        <w:rPr>
          <w:rStyle w:val="default"/>
          <w:rFonts w:cs="FrankRuehl"/>
          <w:rtl/>
        </w:rPr>
      </w:pPr>
      <w:bookmarkStart w:id="9" w:name="Seif24"/>
      <w:bookmarkEnd w:id="9"/>
      <w:r w:rsidRPr="003638B9">
        <w:rPr>
          <w:rFonts w:cs="Miriam"/>
          <w:lang w:val="he-IL"/>
        </w:rPr>
        <w:pict w14:anchorId="55C4B0A3">
          <v:rect id="_x0000_s1035" style="position:absolute;left:0;text-align:left;margin-left:464.5pt;margin-top:8.05pt;width:75.05pt;height:15.7pt;z-index:251667456" o:allowincell="f" filled="f" stroked="f" strokecolor="lime" strokeweight=".25pt">
            <v:textbox inset="0,0,0,0">
              <w:txbxContent>
                <w:p w14:paraId="25E5D722" w14:textId="77777777" w:rsidR="004D51A3" w:rsidRDefault="004D51A3">
                  <w:pPr>
                    <w:spacing w:line="160" w:lineRule="exact"/>
                    <w:rPr>
                      <w:rFonts w:cs="Miriam"/>
                      <w:noProof/>
                      <w:sz w:val="18"/>
                      <w:szCs w:val="18"/>
                      <w:rtl/>
                    </w:rPr>
                  </w:pPr>
                  <w:r>
                    <w:rPr>
                      <w:rFonts w:cs="Miriam"/>
                      <w:sz w:val="18"/>
                      <w:szCs w:val="18"/>
                      <w:rtl/>
                    </w:rPr>
                    <w:t>בד</w:t>
                  </w:r>
                  <w:r>
                    <w:rPr>
                      <w:rFonts w:cs="Miriam" w:hint="cs"/>
                      <w:sz w:val="18"/>
                      <w:szCs w:val="18"/>
                      <w:rtl/>
                    </w:rPr>
                    <w:t>יקות נוספות</w:t>
                  </w:r>
                </w:p>
              </w:txbxContent>
            </v:textbox>
            <w10:anchorlock/>
          </v:rect>
        </w:pict>
      </w:r>
      <w:r w:rsidRPr="003638B9">
        <w:rPr>
          <w:rStyle w:val="big-number"/>
          <w:rFonts w:cs="Miriam"/>
          <w:rtl/>
        </w:rPr>
        <w:t>10</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הועדה רשאית לדרוש מהנכה להיבדק גם בידי יועץ רפואי אשר נתמנה לפי תקנה 4 או בידי מומחה אחר ולעבור בדיקות נוספות אחרות הדרושות, לדעתה, לקביעת אחוז הנכות; הנכה חייב למלא אחר הדרישות האמורות.</w:t>
      </w:r>
    </w:p>
    <w:p w14:paraId="061C5440" w14:textId="77777777" w:rsidR="004D51A3" w:rsidRPr="001B7F12" w:rsidRDefault="004D51A3" w:rsidP="003638B9">
      <w:pPr>
        <w:pStyle w:val="P00"/>
        <w:spacing w:before="72"/>
        <w:ind w:left="0" w:right="1134"/>
        <w:rPr>
          <w:rStyle w:val="default"/>
          <w:rFonts w:cs="FrankRuehl"/>
          <w:rtl/>
        </w:rPr>
      </w:pPr>
      <w:bookmarkStart w:id="10" w:name="Seif25"/>
      <w:bookmarkEnd w:id="10"/>
      <w:r w:rsidRPr="003638B9">
        <w:rPr>
          <w:rFonts w:cs="Miriam"/>
          <w:lang w:val="he-IL"/>
        </w:rPr>
        <w:pict w14:anchorId="75B93135">
          <v:rect id="_x0000_s1036" style="position:absolute;left:0;text-align:left;margin-left:464.5pt;margin-top:8.05pt;width:75.05pt;height:19pt;z-index:251668480" o:allowincell="f" filled="f" stroked="f" strokecolor="lime" strokeweight=".25pt">
            <v:textbox inset="0,0,0,0">
              <w:txbxContent>
                <w:p w14:paraId="74656617" w14:textId="77777777" w:rsidR="004D51A3" w:rsidRDefault="004D51A3">
                  <w:pPr>
                    <w:spacing w:line="160" w:lineRule="exact"/>
                    <w:rPr>
                      <w:rFonts w:cs="Miriam" w:hint="cs"/>
                      <w:noProof/>
                      <w:sz w:val="18"/>
                      <w:szCs w:val="18"/>
                      <w:rtl/>
                    </w:rPr>
                  </w:pPr>
                  <w:r>
                    <w:rPr>
                      <w:rFonts w:cs="Miriam"/>
                      <w:sz w:val="18"/>
                      <w:szCs w:val="18"/>
                      <w:rtl/>
                    </w:rPr>
                    <w:t>אח</w:t>
                  </w:r>
                  <w:r>
                    <w:rPr>
                      <w:rFonts w:cs="Miriam" w:hint="cs"/>
                      <w:sz w:val="18"/>
                      <w:szCs w:val="18"/>
                      <w:rtl/>
                    </w:rPr>
                    <w:t>וז נכות</w:t>
                  </w:r>
                </w:p>
                <w:p w14:paraId="710A808E" w14:textId="77777777" w:rsidR="003638B9" w:rsidRDefault="003638B9" w:rsidP="003638B9">
                  <w:pPr>
                    <w:spacing w:line="160" w:lineRule="exact"/>
                    <w:rPr>
                      <w:rFonts w:cs="Miriam" w:hint="cs"/>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sidRPr="003638B9">
        <w:rPr>
          <w:rStyle w:val="big-number"/>
          <w:rFonts w:cs="Miriam"/>
          <w:rtl/>
        </w:rPr>
        <w:t>11</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(א)</w:t>
      </w:r>
      <w:r w:rsidRPr="001B7F12">
        <w:rPr>
          <w:rStyle w:val="default"/>
          <w:rFonts w:cs="FrankRuehl"/>
          <w:rtl/>
        </w:rPr>
        <w:tab/>
        <w:t xml:space="preserve">אחוז הנכות של נכה ייקבע באחוז הנקוב לצד כל אחד מהליקויים או הפגימות אשר במבחנים שבחלקים א', ב' ו-ד' לתוספת לתקנות הביטוח (להלן </w:t>
      </w:r>
      <w:r w:rsidR="00F8397A">
        <w:rPr>
          <w:rStyle w:val="default"/>
          <w:rFonts w:cs="FrankRuehl"/>
          <w:rtl/>
        </w:rPr>
        <w:t>–</w:t>
      </w:r>
      <w:r w:rsidRPr="001B7F12">
        <w:rPr>
          <w:rStyle w:val="default"/>
          <w:rFonts w:cs="FrankRuehl"/>
          <w:rtl/>
        </w:rPr>
        <w:t xml:space="preserve"> התוספת), ובהתאם לכללים שבחלק ג' לתוספת, ובלבד שאחוז הנכות של נכה לא יעלה על 100%.</w:t>
      </w:r>
    </w:p>
    <w:p w14:paraId="07D8C54A" w14:textId="77777777" w:rsidR="004D51A3" w:rsidRDefault="004D51A3" w:rsidP="003638B9">
      <w:pPr>
        <w:pStyle w:val="P00"/>
        <w:spacing w:before="72"/>
        <w:ind w:left="0" w:right="1134"/>
        <w:rPr>
          <w:rStyle w:val="default"/>
          <w:rFonts w:cs="FrankRuehl" w:hint="cs"/>
          <w:rtl/>
        </w:rPr>
      </w:pPr>
      <w:r w:rsidRPr="001B7F12">
        <w:rPr>
          <w:rFonts w:cs="FrankRuehl"/>
          <w:lang w:val="he-IL"/>
        </w:rPr>
        <w:lastRenderedPageBreak/>
        <w:pict w14:anchorId="5CA1AFD8">
          <v:rect id="_x0000_s1037" style="position:absolute;left:0;text-align:left;margin-left:464.5pt;margin-top:8.05pt;width:75.05pt;height:12.45pt;z-index:251669504" o:allowincell="f" filled="f" stroked="f" strokecolor="lime" strokeweight=".25pt">
            <v:textbox inset="0,0,0,0">
              <w:txbxContent>
                <w:p w14:paraId="0DB0F01A" w14:textId="77777777" w:rsidR="004D51A3" w:rsidRDefault="004D51A3" w:rsidP="003638B9">
                  <w:pPr>
                    <w:spacing w:line="160" w:lineRule="exact"/>
                    <w:rPr>
                      <w:rFonts w:cs="Miriam" w:hint="cs"/>
                      <w:noProof/>
                      <w:sz w:val="18"/>
                      <w:szCs w:val="18"/>
                      <w:rtl/>
                    </w:rPr>
                  </w:pPr>
                  <w:r>
                    <w:rPr>
                      <w:rFonts w:cs="Miriam"/>
                      <w:sz w:val="18"/>
                      <w:szCs w:val="18"/>
                      <w:rtl/>
                    </w:rPr>
                    <w:t>תק</w:t>
                  </w:r>
                  <w:r>
                    <w:rPr>
                      <w:rFonts w:cs="Miriam" w:hint="cs"/>
                      <w:sz w:val="18"/>
                      <w:szCs w:val="18"/>
                      <w:rtl/>
                    </w:rPr>
                    <w:t>'</w:t>
                  </w:r>
                  <w:r w:rsidR="003638B9">
                    <w:rPr>
                      <w:rFonts w:cs="Miriam" w:hint="cs"/>
                      <w:sz w:val="18"/>
                      <w:szCs w:val="18"/>
                      <w:rtl/>
                    </w:rPr>
                    <w:t xml:space="preserve"> ת</w:t>
                  </w:r>
                  <w:r>
                    <w:rPr>
                      <w:rFonts w:cs="Miriam" w:hint="cs"/>
                      <w:sz w:val="18"/>
                      <w:szCs w:val="18"/>
                      <w:rtl/>
                    </w:rPr>
                    <w:t>שס"א</w:t>
                  </w:r>
                  <w:r w:rsidR="003638B9">
                    <w:rPr>
                      <w:rFonts w:cs="Miriam" w:hint="cs"/>
                      <w:sz w:val="18"/>
                      <w:szCs w:val="18"/>
                      <w:rtl/>
                    </w:rPr>
                    <w:t>-</w:t>
                  </w:r>
                  <w:r w:rsidR="003638B9">
                    <w:rPr>
                      <w:rFonts w:cs="Miriam"/>
                      <w:sz w:val="18"/>
                      <w:szCs w:val="18"/>
                      <w:rtl/>
                    </w:rPr>
                    <w:t>2001</w:t>
                  </w:r>
                </w:p>
              </w:txbxContent>
            </v:textbox>
            <w10:anchorlock/>
          </v:rect>
        </w:pict>
      </w:r>
      <w:r w:rsidRPr="001B7F12">
        <w:rPr>
          <w:rFonts w:cs="FrankRuehl"/>
          <w:sz w:val="26"/>
          <w:rtl/>
        </w:rPr>
        <w:tab/>
      </w:r>
      <w:r w:rsidRPr="001B7F12">
        <w:rPr>
          <w:rStyle w:val="default"/>
          <w:rFonts w:cs="FrankRuehl"/>
          <w:rtl/>
        </w:rPr>
        <w:t>(ב)</w:t>
      </w:r>
      <w:r w:rsidRPr="001B7F12">
        <w:rPr>
          <w:rStyle w:val="default"/>
          <w:rFonts w:cs="FrankRuehl"/>
          <w:rtl/>
        </w:rPr>
        <w:tab/>
        <w:t xml:space="preserve">נקבעה נכות לצמיתות בשיעור של יותר מ-89% כתוצאה מחישוב מיוחד של הליקוי, ואחוז הנכות המחושב כאמור מסתיים כשבר אחרי השלם </w:t>
      </w:r>
      <w:r w:rsidR="00F8397A">
        <w:rPr>
          <w:rStyle w:val="default"/>
          <w:rFonts w:cs="FrankRuehl"/>
          <w:rtl/>
        </w:rPr>
        <w:t>–</w:t>
      </w:r>
      <w:r w:rsidRPr="001B7F12">
        <w:rPr>
          <w:rStyle w:val="default"/>
          <w:rFonts w:cs="FrankRuehl"/>
          <w:rtl/>
        </w:rPr>
        <w:t xml:space="preserve"> יעוגל השבר כלפי מעלה לאחוז שלם.</w:t>
      </w:r>
    </w:p>
    <w:p w14:paraId="2215578A" w14:textId="77777777" w:rsidR="00E661AE" w:rsidRPr="00F8397A" w:rsidRDefault="00E661AE" w:rsidP="00E661AE">
      <w:pPr>
        <w:pStyle w:val="P00"/>
        <w:tabs>
          <w:tab w:val="clear" w:pos="6259"/>
        </w:tabs>
        <w:spacing w:before="0"/>
        <w:ind w:left="0" w:right="1134"/>
        <w:rPr>
          <w:rFonts w:cs="FrankRuehl" w:hint="cs"/>
          <w:vanish/>
          <w:szCs w:val="20"/>
          <w:shd w:val="clear" w:color="auto" w:fill="FFFF99"/>
          <w:rtl/>
        </w:rPr>
      </w:pPr>
      <w:bookmarkStart w:id="11" w:name="Rov32"/>
      <w:r w:rsidRPr="00F8397A">
        <w:rPr>
          <w:rFonts w:cs="FrankRuehl" w:hint="cs"/>
          <w:vanish/>
          <w:color w:val="FF0000"/>
          <w:szCs w:val="20"/>
          <w:shd w:val="clear" w:color="auto" w:fill="FFFF99"/>
          <w:rtl/>
        </w:rPr>
        <w:t>מיום 1.1.1997</w:t>
      </w:r>
    </w:p>
    <w:p w14:paraId="27CC10B1" w14:textId="77777777" w:rsidR="00E661AE" w:rsidRPr="00F8397A" w:rsidRDefault="00E661AE" w:rsidP="00E661AE">
      <w:pPr>
        <w:pStyle w:val="P00"/>
        <w:spacing w:before="0"/>
        <w:ind w:left="0" w:right="1134"/>
        <w:rPr>
          <w:rFonts w:cs="FrankRuehl" w:hint="cs"/>
          <w:b/>
          <w:bCs/>
          <w:vanish/>
          <w:szCs w:val="20"/>
          <w:shd w:val="clear" w:color="auto" w:fill="FFFF99"/>
          <w:rtl/>
        </w:rPr>
      </w:pPr>
      <w:r w:rsidRPr="00F8397A">
        <w:rPr>
          <w:rFonts w:cs="FrankRuehl" w:hint="cs"/>
          <w:b/>
          <w:bCs/>
          <w:vanish/>
          <w:szCs w:val="20"/>
          <w:shd w:val="clear" w:color="auto" w:fill="FFFF99"/>
          <w:rtl/>
        </w:rPr>
        <w:t>תק' תשס"א-2001</w:t>
      </w:r>
    </w:p>
    <w:p w14:paraId="5AA91BAF" w14:textId="77777777" w:rsidR="00E661AE" w:rsidRPr="00F8397A" w:rsidRDefault="00E661AE" w:rsidP="00E661AE">
      <w:pPr>
        <w:pStyle w:val="P00"/>
        <w:spacing w:before="0"/>
        <w:ind w:left="0" w:right="1134"/>
        <w:rPr>
          <w:rFonts w:cs="FrankRuehl" w:hint="cs"/>
          <w:vanish/>
          <w:szCs w:val="20"/>
          <w:shd w:val="clear" w:color="auto" w:fill="FFFF99"/>
          <w:rtl/>
        </w:rPr>
      </w:pPr>
      <w:hyperlink r:id="rId7" w:history="1">
        <w:r w:rsidRPr="00F8397A">
          <w:rPr>
            <w:rStyle w:val="Hyperlink"/>
            <w:rFonts w:cs="FrankRuehl" w:hint="cs"/>
            <w:vanish/>
            <w:szCs w:val="20"/>
            <w:shd w:val="clear" w:color="auto" w:fill="FFFF99"/>
            <w:rtl/>
          </w:rPr>
          <w:t>ק"ת תשס"א מס' 6074</w:t>
        </w:r>
      </w:hyperlink>
      <w:r w:rsidRPr="00F8397A">
        <w:rPr>
          <w:rFonts w:cs="FrankRuehl" w:hint="cs"/>
          <w:vanish/>
          <w:szCs w:val="20"/>
          <w:shd w:val="clear" w:color="auto" w:fill="FFFF99"/>
          <w:rtl/>
        </w:rPr>
        <w:t xml:space="preserve"> מיום 4.1.2001 עמ' 232</w:t>
      </w:r>
    </w:p>
    <w:p w14:paraId="2497EA0F" w14:textId="77777777" w:rsidR="00E661AE" w:rsidRPr="00F8397A" w:rsidRDefault="00E661AE" w:rsidP="003638B9">
      <w:pPr>
        <w:pStyle w:val="P00"/>
        <w:ind w:left="0" w:right="1134"/>
        <w:rPr>
          <w:rStyle w:val="default"/>
          <w:rFonts w:cs="FrankRuehl"/>
          <w:vanish/>
          <w:sz w:val="22"/>
          <w:szCs w:val="22"/>
          <w:shd w:val="clear" w:color="auto" w:fill="FFFF99"/>
          <w:rtl/>
        </w:rPr>
      </w:pPr>
      <w:r w:rsidRPr="00F8397A">
        <w:rPr>
          <w:rStyle w:val="big-number"/>
          <w:rFonts w:cs="FrankRuehl"/>
          <w:vanish/>
          <w:sz w:val="22"/>
          <w:szCs w:val="22"/>
          <w:shd w:val="clear" w:color="auto" w:fill="FFFF99"/>
          <w:rtl/>
        </w:rPr>
        <w:t>11.</w:t>
      </w:r>
      <w:r w:rsidRPr="00F8397A">
        <w:rPr>
          <w:rStyle w:val="big-number"/>
          <w:rFonts w:cs="FrankRuehl"/>
          <w:vanish/>
          <w:sz w:val="22"/>
          <w:szCs w:val="22"/>
          <w:shd w:val="clear" w:color="auto" w:fill="FFFF99"/>
          <w:rtl/>
        </w:rPr>
        <w:tab/>
      </w:r>
      <w:r w:rsidRPr="00F8397A">
        <w:rPr>
          <w:rStyle w:val="default"/>
          <w:rFonts w:cs="FrankRuehl"/>
          <w:vanish/>
          <w:sz w:val="22"/>
          <w:szCs w:val="22"/>
          <w:u w:val="single"/>
          <w:shd w:val="clear" w:color="auto" w:fill="FFFF99"/>
          <w:rtl/>
        </w:rPr>
        <w:t>(א)</w:t>
      </w:r>
      <w:r w:rsidRPr="00F8397A">
        <w:rPr>
          <w:rStyle w:val="default"/>
          <w:rFonts w:cs="FrankRuehl"/>
          <w:vanish/>
          <w:sz w:val="22"/>
          <w:szCs w:val="22"/>
          <w:shd w:val="clear" w:color="auto" w:fill="FFFF99"/>
          <w:rtl/>
        </w:rPr>
        <w:tab/>
        <w:t xml:space="preserve">אחוז הנכות של נכה ייקבע באחוז הנקוב לצד כל אחד מהליקויים או הפגימות אשר במבחנים שבחלקים א', ב' ו-ד' לתוספת לתקנות הביטוח (להלן </w:t>
      </w:r>
      <w:r w:rsidR="00F8397A" w:rsidRPr="00F8397A">
        <w:rPr>
          <w:rStyle w:val="default"/>
          <w:rFonts w:cs="FrankRuehl"/>
          <w:vanish/>
          <w:sz w:val="22"/>
          <w:szCs w:val="22"/>
          <w:shd w:val="clear" w:color="auto" w:fill="FFFF99"/>
          <w:rtl/>
        </w:rPr>
        <w:t>–</w:t>
      </w:r>
      <w:r w:rsidRPr="00F8397A">
        <w:rPr>
          <w:rStyle w:val="default"/>
          <w:rFonts w:cs="FrankRuehl"/>
          <w:vanish/>
          <w:sz w:val="22"/>
          <w:szCs w:val="22"/>
          <w:shd w:val="clear" w:color="auto" w:fill="FFFF99"/>
          <w:rtl/>
        </w:rPr>
        <w:t xml:space="preserve"> התוספת), ובהתאם לכללים שבחלק ג' לתוספת, ובלבד שאחוז הנכות של נכה לא יעלה על 100%.</w:t>
      </w:r>
    </w:p>
    <w:p w14:paraId="72FB00FC" w14:textId="77777777" w:rsidR="00E661AE" w:rsidRPr="00E661AE" w:rsidRDefault="00E661AE" w:rsidP="003638B9">
      <w:pPr>
        <w:pStyle w:val="P00"/>
        <w:spacing w:before="0"/>
        <w:ind w:left="0" w:right="1134"/>
        <w:rPr>
          <w:rStyle w:val="default"/>
          <w:rFonts w:cs="FrankRuehl" w:hint="cs"/>
          <w:sz w:val="2"/>
          <w:szCs w:val="2"/>
          <w:u w:val="single"/>
          <w:rtl/>
        </w:rPr>
      </w:pPr>
      <w:r w:rsidRPr="00F8397A">
        <w:rPr>
          <w:rFonts w:cs="FrankRuehl"/>
          <w:vanish/>
          <w:sz w:val="22"/>
          <w:szCs w:val="22"/>
          <w:shd w:val="clear" w:color="auto" w:fill="FFFF99"/>
          <w:rtl/>
        </w:rPr>
        <w:tab/>
      </w:r>
      <w:r w:rsidRPr="00F8397A">
        <w:rPr>
          <w:rStyle w:val="default"/>
          <w:rFonts w:cs="FrankRuehl"/>
          <w:vanish/>
          <w:sz w:val="22"/>
          <w:szCs w:val="22"/>
          <w:u w:val="single"/>
          <w:shd w:val="clear" w:color="auto" w:fill="FFFF99"/>
          <w:rtl/>
        </w:rPr>
        <w:t>(ב)</w:t>
      </w:r>
      <w:r w:rsidRPr="00F8397A">
        <w:rPr>
          <w:rStyle w:val="default"/>
          <w:rFonts w:cs="FrankRuehl"/>
          <w:vanish/>
          <w:sz w:val="22"/>
          <w:szCs w:val="22"/>
          <w:u w:val="single"/>
          <w:shd w:val="clear" w:color="auto" w:fill="FFFF99"/>
          <w:rtl/>
        </w:rPr>
        <w:tab/>
        <w:t xml:space="preserve">נקבעה נכות לצמיתות בשיעור של יותר מ-89% כתוצאה מחישוב מיוחד של הליקוי, ואחוז הנכות המחושב כאמור מסתיים כשבר אחרי השלם </w:t>
      </w:r>
      <w:r w:rsidR="00F8397A" w:rsidRPr="00F8397A">
        <w:rPr>
          <w:rStyle w:val="default"/>
          <w:rFonts w:cs="FrankRuehl"/>
          <w:vanish/>
          <w:sz w:val="22"/>
          <w:szCs w:val="22"/>
          <w:u w:val="single"/>
          <w:shd w:val="clear" w:color="auto" w:fill="FFFF99"/>
          <w:rtl/>
        </w:rPr>
        <w:t>–</w:t>
      </w:r>
      <w:r w:rsidRPr="00F8397A">
        <w:rPr>
          <w:rStyle w:val="default"/>
          <w:rFonts w:cs="FrankRuehl"/>
          <w:vanish/>
          <w:sz w:val="22"/>
          <w:szCs w:val="22"/>
          <w:u w:val="single"/>
          <w:shd w:val="clear" w:color="auto" w:fill="FFFF99"/>
          <w:rtl/>
        </w:rPr>
        <w:t xml:space="preserve"> יעוגל השבר כלפי מעלה לאחוז שלם.</w:t>
      </w:r>
      <w:bookmarkEnd w:id="11"/>
    </w:p>
    <w:p w14:paraId="2261C4F3" w14:textId="77777777" w:rsidR="004D51A3" w:rsidRPr="001B7F12" w:rsidRDefault="004D51A3">
      <w:pPr>
        <w:pStyle w:val="P00"/>
        <w:spacing w:before="72"/>
        <w:ind w:left="0" w:right="1134"/>
        <w:rPr>
          <w:rStyle w:val="default"/>
          <w:rFonts w:cs="FrankRuehl"/>
          <w:rtl/>
        </w:rPr>
      </w:pPr>
      <w:bookmarkStart w:id="12" w:name="Seif26"/>
      <w:bookmarkEnd w:id="12"/>
      <w:r w:rsidRPr="003638B9">
        <w:rPr>
          <w:rFonts w:cs="Miriam"/>
          <w:lang w:val="he-IL"/>
        </w:rPr>
        <w:pict w14:anchorId="41E3D965">
          <v:rect id="_x0000_s1038" style="position:absolute;left:0;text-align:left;margin-left:464.5pt;margin-top:8.05pt;width:75.05pt;height:24pt;z-index:251670528" o:allowincell="f" filled="f" stroked="f" strokecolor="lime" strokeweight=".25pt">
            <v:textbox style="mso-next-textbox:#_x0000_s1038" inset="0,0,0,0">
              <w:txbxContent>
                <w:p w14:paraId="56938689" w14:textId="77777777" w:rsidR="004D51A3" w:rsidRDefault="004D51A3" w:rsidP="003638B9">
                  <w:pPr>
                    <w:spacing w:line="160" w:lineRule="exact"/>
                    <w:rPr>
                      <w:rFonts w:cs="Miriam"/>
                      <w:noProof/>
                      <w:sz w:val="18"/>
                      <w:szCs w:val="18"/>
                      <w:rtl/>
                    </w:rPr>
                  </w:pPr>
                  <w:r>
                    <w:rPr>
                      <w:rFonts w:cs="Miriam"/>
                      <w:sz w:val="18"/>
                      <w:szCs w:val="18"/>
                      <w:rtl/>
                    </w:rPr>
                    <w:t>קב</w:t>
                  </w:r>
                  <w:r>
                    <w:rPr>
                      <w:rFonts w:cs="Miriam" w:hint="cs"/>
                      <w:sz w:val="18"/>
                      <w:szCs w:val="18"/>
                      <w:rtl/>
                    </w:rPr>
                    <w:t>יע</w:t>
                  </w:r>
                  <w:r>
                    <w:rPr>
                      <w:rFonts w:cs="Miriam"/>
                      <w:sz w:val="18"/>
                      <w:szCs w:val="18"/>
                      <w:rtl/>
                    </w:rPr>
                    <w:t>ת</w:t>
                  </w:r>
                  <w:r>
                    <w:rPr>
                      <w:rFonts w:cs="Miriam" w:hint="cs"/>
                      <w:sz w:val="18"/>
                      <w:szCs w:val="18"/>
                      <w:rtl/>
                    </w:rPr>
                    <w:t xml:space="preserve"> אחוז</w:t>
                  </w:r>
                  <w:r w:rsidR="003638B9">
                    <w:rPr>
                      <w:rFonts w:cs="Miriam" w:hint="cs"/>
                      <w:sz w:val="18"/>
                      <w:szCs w:val="18"/>
                      <w:rtl/>
                    </w:rPr>
                    <w:t xml:space="preserve"> </w:t>
                  </w:r>
                  <w:r>
                    <w:rPr>
                      <w:rFonts w:cs="Miriam"/>
                      <w:sz w:val="18"/>
                      <w:szCs w:val="18"/>
                      <w:rtl/>
                    </w:rPr>
                    <w:t>נכ</w:t>
                  </w:r>
                  <w:r>
                    <w:rPr>
                      <w:rFonts w:cs="Miriam" w:hint="cs"/>
                      <w:sz w:val="18"/>
                      <w:szCs w:val="18"/>
                      <w:rtl/>
                    </w:rPr>
                    <w:t>ות מחוץ</w:t>
                  </w:r>
                  <w:r w:rsidR="003638B9">
                    <w:rPr>
                      <w:rFonts w:cs="Miriam" w:hint="cs"/>
                      <w:noProof/>
                      <w:sz w:val="18"/>
                      <w:szCs w:val="18"/>
                      <w:rtl/>
                    </w:rPr>
                    <w:t xml:space="preserve"> </w:t>
                  </w:r>
                  <w:r>
                    <w:rPr>
                      <w:rFonts w:cs="Miriam"/>
                      <w:sz w:val="18"/>
                      <w:szCs w:val="18"/>
                      <w:rtl/>
                    </w:rPr>
                    <w:t>למ</w:t>
                  </w:r>
                  <w:r>
                    <w:rPr>
                      <w:rFonts w:cs="Miriam" w:hint="cs"/>
                      <w:sz w:val="18"/>
                      <w:szCs w:val="18"/>
                      <w:rtl/>
                    </w:rPr>
                    <w:t>בחנים</w:t>
                  </w:r>
                </w:p>
              </w:txbxContent>
            </v:textbox>
            <w10:anchorlock/>
          </v:rect>
        </w:pict>
      </w:r>
      <w:r w:rsidRPr="003638B9">
        <w:rPr>
          <w:rStyle w:val="big-number"/>
          <w:rFonts w:cs="Miriam"/>
          <w:rtl/>
        </w:rPr>
        <w:t>12</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הועדה רשאית להחליט שאין מקום להזדקק למבחנים שבתוספת, ומשהחליטה כך יעמוד הנכה בפני ועדה אחרת בהרכב של שלושה פוסקים רפואיים שיבחר אותם הרופא המוסמך, ובסמכותם יהיה לקבוע את אחוז הנכות לפי שיקול דעתם, בהתחשב במבחנים שבתוספת; דין הועדה האחרת כדין הועדה לענין תקנות אלה.</w:t>
      </w:r>
    </w:p>
    <w:p w14:paraId="1BCD6C6E" w14:textId="77777777" w:rsidR="004D51A3" w:rsidRPr="001B7F12" w:rsidRDefault="004D51A3">
      <w:pPr>
        <w:pStyle w:val="P00"/>
        <w:spacing w:before="72"/>
        <w:ind w:left="0" w:right="1134"/>
        <w:rPr>
          <w:rStyle w:val="default"/>
          <w:rFonts w:cs="FrankRuehl"/>
          <w:rtl/>
        </w:rPr>
      </w:pPr>
      <w:bookmarkStart w:id="13" w:name="Seif27"/>
      <w:bookmarkEnd w:id="13"/>
      <w:r w:rsidRPr="003638B9">
        <w:rPr>
          <w:rFonts w:cs="Miriam"/>
          <w:lang w:val="he-IL"/>
        </w:rPr>
        <w:pict w14:anchorId="5D17CF0E">
          <v:rect id="_x0000_s1039" style="position:absolute;left:0;text-align:left;margin-left:464.5pt;margin-top:8.05pt;width:75.05pt;height:16pt;z-index:251671552" o:allowincell="f" filled="f" stroked="f" strokecolor="lime" strokeweight=".25pt">
            <v:textbox style="mso-next-textbox:#_x0000_s1039" inset="0,0,0,0">
              <w:txbxContent>
                <w:p w14:paraId="4B9FE07C" w14:textId="77777777" w:rsidR="004D51A3" w:rsidRDefault="004D51A3">
                  <w:pPr>
                    <w:spacing w:line="160" w:lineRule="exact"/>
                    <w:rPr>
                      <w:rFonts w:cs="Miriam"/>
                      <w:noProof/>
                      <w:sz w:val="18"/>
                      <w:szCs w:val="18"/>
                      <w:rtl/>
                    </w:rPr>
                  </w:pPr>
                  <w:r>
                    <w:rPr>
                      <w:rFonts w:cs="Miriam"/>
                      <w:sz w:val="18"/>
                      <w:szCs w:val="18"/>
                      <w:rtl/>
                    </w:rPr>
                    <w:t>תח</w:t>
                  </w:r>
                  <w:r>
                    <w:rPr>
                      <w:rFonts w:cs="Miriam" w:hint="cs"/>
                      <w:sz w:val="18"/>
                      <w:szCs w:val="18"/>
                      <w:rtl/>
                    </w:rPr>
                    <w:t>ולת הקביעה</w:t>
                  </w:r>
                </w:p>
              </w:txbxContent>
            </v:textbox>
            <w10:anchorlock/>
          </v:rect>
        </w:pict>
      </w:r>
      <w:r w:rsidRPr="003638B9">
        <w:rPr>
          <w:rStyle w:val="big-number"/>
          <w:rFonts w:cs="Miriam"/>
          <w:rtl/>
        </w:rPr>
        <w:t>13</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אחוז הנכות שנקבע בידי הועדה הוא מתאריך הגשת הבקשה, אך רשאית הועדה לקבוע את אחוז הנכות מתאריך מוקדם מזה.</w:t>
      </w:r>
    </w:p>
    <w:p w14:paraId="32C57CBF" w14:textId="77777777" w:rsidR="004D51A3" w:rsidRPr="001B7F12" w:rsidRDefault="004D51A3">
      <w:pPr>
        <w:pStyle w:val="P00"/>
        <w:spacing w:before="72"/>
        <w:ind w:left="0" w:right="1134"/>
        <w:rPr>
          <w:rStyle w:val="default"/>
          <w:rFonts w:cs="FrankRuehl"/>
          <w:rtl/>
        </w:rPr>
      </w:pPr>
      <w:bookmarkStart w:id="14" w:name="Seif28"/>
      <w:bookmarkEnd w:id="14"/>
      <w:r w:rsidRPr="003638B9">
        <w:rPr>
          <w:rFonts w:cs="Miriam"/>
          <w:lang w:val="he-IL"/>
        </w:rPr>
        <w:pict w14:anchorId="756F4458">
          <v:rect id="_x0000_s1040" style="position:absolute;left:0;text-align:left;margin-left:464.5pt;margin-top:8.05pt;width:75.05pt;height:19.4pt;z-index:251672576" o:allowincell="f" filled="f" stroked="f" strokecolor="lime" strokeweight=".25pt">
            <v:textbox inset="0,0,0,0">
              <w:txbxContent>
                <w:p w14:paraId="2AFC934F" w14:textId="77777777" w:rsidR="004D51A3" w:rsidRDefault="004D51A3">
                  <w:pPr>
                    <w:spacing w:line="160" w:lineRule="exact"/>
                    <w:rPr>
                      <w:rFonts w:cs="Miriam"/>
                      <w:noProof/>
                      <w:sz w:val="18"/>
                      <w:szCs w:val="18"/>
                      <w:rtl/>
                    </w:rPr>
                  </w:pPr>
                  <w:r>
                    <w:rPr>
                      <w:rFonts w:cs="Miriam"/>
                      <w:sz w:val="18"/>
                      <w:szCs w:val="18"/>
                      <w:rtl/>
                    </w:rPr>
                    <w:t>מו</w:t>
                  </w:r>
                  <w:r>
                    <w:rPr>
                      <w:rFonts w:cs="Miriam" w:hint="cs"/>
                      <w:sz w:val="18"/>
                      <w:szCs w:val="18"/>
                      <w:rtl/>
                    </w:rPr>
                    <w:t>עד לדיון מחדש</w:t>
                  </w:r>
                </w:p>
              </w:txbxContent>
            </v:textbox>
            <w10:anchorlock/>
          </v:rect>
        </w:pict>
      </w:r>
      <w:r w:rsidRPr="003638B9">
        <w:rPr>
          <w:rStyle w:val="big-number"/>
          <w:rFonts w:cs="Miriam"/>
          <w:rtl/>
        </w:rPr>
        <w:t>14</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עם קביעת אחוז נכותו של נכה, תחליט הועדה אם קביעתה זו היא לתקופה בלתי מסויימת או שיש לדון מחדש בקביעת האחוז, ובמקרה זה תציין בהחלטה את המועד לדיון מחדש.</w:t>
      </w:r>
    </w:p>
    <w:p w14:paraId="5D4F7B7C" w14:textId="77777777" w:rsidR="004D51A3" w:rsidRPr="001B7F12" w:rsidRDefault="004D51A3">
      <w:pPr>
        <w:pStyle w:val="P00"/>
        <w:spacing w:before="72"/>
        <w:ind w:left="0" w:right="1134"/>
        <w:rPr>
          <w:rStyle w:val="default"/>
          <w:rFonts w:cs="FrankRuehl"/>
          <w:rtl/>
        </w:rPr>
      </w:pPr>
      <w:bookmarkStart w:id="15" w:name="Seif0"/>
      <w:bookmarkEnd w:id="15"/>
      <w:r w:rsidRPr="003638B9">
        <w:rPr>
          <w:rFonts w:cs="Miriam"/>
          <w:lang w:val="he-IL"/>
        </w:rPr>
        <w:pict w14:anchorId="489DD243">
          <v:rect id="_x0000_s1041" style="position:absolute;left:0;text-align:left;margin-left:464.5pt;margin-top:8.05pt;width:75.05pt;height:22.8pt;z-index:251642880" o:allowincell="f" filled="f" stroked="f" strokecolor="lime" strokeweight=".25pt">
            <v:textbox style="mso-next-textbox:#_x0000_s1041" inset="0,0,0,0">
              <w:txbxContent>
                <w:p w14:paraId="7F66C4F6" w14:textId="77777777" w:rsidR="004D51A3" w:rsidRDefault="004D51A3" w:rsidP="003638B9">
                  <w:pPr>
                    <w:spacing w:line="160" w:lineRule="exact"/>
                    <w:rPr>
                      <w:rFonts w:cs="Miriam"/>
                      <w:noProof/>
                      <w:sz w:val="18"/>
                      <w:szCs w:val="18"/>
                      <w:rtl/>
                    </w:rPr>
                  </w:pPr>
                  <w:r>
                    <w:rPr>
                      <w:rFonts w:cs="Miriam"/>
                      <w:sz w:val="18"/>
                      <w:szCs w:val="18"/>
                      <w:rtl/>
                    </w:rPr>
                    <w:t>חי</w:t>
                  </w:r>
                  <w:r>
                    <w:rPr>
                      <w:rFonts w:cs="Miriam" w:hint="cs"/>
                      <w:sz w:val="18"/>
                      <w:szCs w:val="18"/>
                      <w:rtl/>
                    </w:rPr>
                    <w:t>לוקי דעות בין</w:t>
                  </w:r>
                  <w:r w:rsidR="003638B9">
                    <w:rPr>
                      <w:rFonts w:cs="Miriam" w:hint="cs"/>
                      <w:sz w:val="18"/>
                      <w:szCs w:val="18"/>
                      <w:rtl/>
                    </w:rPr>
                    <w:t xml:space="preserve"> </w:t>
                  </w:r>
                  <w:r>
                    <w:rPr>
                      <w:rFonts w:cs="Miriam"/>
                      <w:sz w:val="18"/>
                      <w:szCs w:val="18"/>
                      <w:rtl/>
                    </w:rPr>
                    <w:t>חב</w:t>
                  </w:r>
                  <w:r>
                    <w:rPr>
                      <w:rFonts w:cs="Miriam" w:hint="cs"/>
                      <w:sz w:val="18"/>
                      <w:szCs w:val="18"/>
                      <w:rtl/>
                    </w:rPr>
                    <w:t>ר</w:t>
                  </w:r>
                  <w:r>
                    <w:rPr>
                      <w:rFonts w:cs="Miriam"/>
                      <w:sz w:val="18"/>
                      <w:szCs w:val="18"/>
                      <w:rtl/>
                    </w:rPr>
                    <w:t xml:space="preserve">י </w:t>
                  </w:r>
                  <w:r>
                    <w:rPr>
                      <w:rFonts w:cs="Miriam" w:hint="cs"/>
                      <w:sz w:val="18"/>
                      <w:szCs w:val="18"/>
                      <w:rtl/>
                    </w:rPr>
                    <w:t>הועדה</w:t>
                  </w:r>
                </w:p>
              </w:txbxContent>
            </v:textbox>
            <w10:anchorlock/>
          </v:rect>
        </w:pict>
      </w:r>
      <w:r w:rsidRPr="003638B9">
        <w:rPr>
          <w:rStyle w:val="big-number"/>
          <w:rFonts w:cs="Miriam"/>
          <w:rtl/>
        </w:rPr>
        <w:t>15</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(א)</w:t>
      </w:r>
      <w:r w:rsidRPr="001B7F12">
        <w:rPr>
          <w:rStyle w:val="default"/>
          <w:rFonts w:cs="FrankRuehl"/>
          <w:rtl/>
        </w:rPr>
        <w:tab/>
        <w:t>בועדה שבה שני פוסקים רפואיים תינתן ההחלטה פה אחד; נחלקו הדעות, ייבחר רופא מוסמך חבר שלישי לועדה מבין הרופאים אשר שמותיהם כלולים ברשימת הפוסקים הרפואיים כאמור בתקנה 1, וההחלטה תתקבל ברוב דעות, ובאין רוב דעות תכריע דעתו של החבר השלישי.</w:t>
      </w:r>
    </w:p>
    <w:p w14:paraId="4D41248E" w14:textId="77777777" w:rsidR="004D51A3" w:rsidRPr="001B7F12" w:rsidRDefault="004D51A3">
      <w:pPr>
        <w:pStyle w:val="P00"/>
        <w:spacing w:before="72"/>
        <w:ind w:left="0" w:right="1134"/>
        <w:rPr>
          <w:rStyle w:val="default"/>
          <w:rFonts w:cs="FrankRuehl"/>
          <w:rtl/>
        </w:rPr>
      </w:pPr>
      <w:r w:rsidRPr="001B7F12">
        <w:rPr>
          <w:rFonts w:cs="FrankRuehl"/>
          <w:sz w:val="26"/>
          <w:rtl/>
        </w:rPr>
        <w:tab/>
      </w:r>
      <w:r w:rsidRPr="001B7F12">
        <w:rPr>
          <w:rStyle w:val="default"/>
          <w:rFonts w:cs="FrankRuehl"/>
          <w:rtl/>
        </w:rPr>
        <w:t>(ב)</w:t>
      </w:r>
      <w:r w:rsidRPr="001B7F12">
        <w:rPr>
          <w:rStyle w:val="default"/>
          <w:rFonts w:cs="FrankRuehl"/>
          <w:rtl/>
        </w:rPr>
        <w:tab/>
        <w:t>בחירת חבר שלישי אינה מחייבת בדיקות מחדש, אלא אם ידרוש החבר השלישי בדיקות נוספות של הנכה.</w:t>
      </w:r>
    </w:p>
    <w:p w14:paraId="572433A0" w14:textId="77777777" w:rsidR="004D51A3" w:rsidRPr="001B7F12" w:rsidRDefault="004D51A3">
      <w:pPr>
        <w:pStyle w:val="P00"/>
        <w:spacing w:before="72"/>
        <w:ind w:left="0" w:right="1134"/>
        <w:rPr>
          <w:rStyle w:val="default"/>
          <w:rFonts w:cs="FrankRuehl"/>
          <w:rtl/>
        </w:rPr>
      </w:pPr>
      <w:bookmarkStart w:id="16" w:name="Seif1"/>
      <w:bookmarkEnd w:id="16"/>
      <w:r w:rsidRPr="003638B9">
        <w:rPr>
          <w:rFonts w:cs="Miriam"/>
          <w:lang w:val="he-IL"/>
        </w:rPr>
        <w:pict w14:anchorId="69983C90">
          <v:rect id="_x0000_s1042" style="position:absolute;left:0;text-align:left;margin-left:464.5pt;margin-top:8.05pt;width:75.05pt;height:24.6pt;z-index:251643904" o:allowincell="f" filled="f" stroked="f" strokecolor="lime" strokeweight=".25pt">
            <v:textbox style="mso-next-textbox:#_x0000_s1042" inset="0,0,0,0">
              <w:txbxContent>
                <w:p w14:paraId="057D5F46" w14:textId="77777777" w:rsidR="004D51A3" w:rsidRDefault="004D51A3" w:rsidP="003638B9">
                  <w:pPr>
                    <w:spacing w:line="160" w:lineRule="exact"/>
                    <w:rPr>
                      <w:rFonts w:cs="Miriam"/>
                      <w:noProof/>
                      <w:sz w:val="18"/>
                      <w:szCs w:val="18"/>
                      <w:rtl/>
                    </w:rPr>
                  </w:pPr>
                  <w:r>
                    <w:rPr>
                      <w:rFonts w:cs="Miriam"/>
                      <w:sz w:val="18"/>
                      <w:szCs w:val="18"/>
                      <w:rtl/>
                    </w:rPr>
                    <w:t>הח</w:t>
                  </w:r>
                  <w:r>
                    <w:rPr>
                      <w:rFonts w:cs="Miriam" w:hint="cs"/>
                      <w:sz w:val="18"/>
                      <w:szCs w:val="18"/>
                      <w:rtl/>
                    </w:rPr>
                    <w:t>לטות הועדה</w:t>
                  </w:r>
                  <w:r w:rsidR="003638B9">
                    <w:rPr>
                      <w:rFonts w:cs="Miriam" w:hint="cs"/>
                      <w:sz w:val="18"/>
                      <w:szCs w:val="18"/>
                      <w:rtl/>
                    </w:rPr>
                    <w:t xml:space="preserve"> </w:t>
                  </w:r>
                  <w:r>
                    <w:rPr>
                      <w:rFonts w:cs="Miriam"/>
                      <w:sz w:val="18"/>
                      <w:szCs w:val="18"/>
                      <w:rtl/>
                    </w:rPr>
                    <w:t>ור</w:t>
                  </w:r>
                  <w:r>
                    <w:rPr>
                      <w:rFonts w:cs="Miriam" w:hint="cs"/>
                      <w:sz w:val="18"/>
                      <w:szCs w:val="18"/>
                      <w:rtl/>
                    </w:rPr>
                    <w:t>ישומן</w:t>
                  </w:r>
                </w:p>
              </w:txbxContent>
            </v:textbox>
            <w10:anchorlock/>
          </v:rect>
        </w:pict>
      </w:r>
      <w:r w:rsidRPr="003638B9">
        <w:rPr>
          <w:rStyle w:val="big-number"/>
          <w:rFonts w:cs="Miriam"/>
          <w:rtl/>
        </w:rPr>
        <w:t>16</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(א)</w:t>
      </w:r>
      <w:r w:rsidRPr="001B7F12">
        <w:rPr>
          <w:rStyle w:val="default"/>
          <w:rFonts w:cs="FrankRuehl"/>
          <w:rtl/>
        </w:rPr>
        <w:tab/>
        <w:t>דיוני הועדה יירשמו בפרוטוקול שייחתם בידי חברי הועדה.</w:t>
      </w:r>
    </w:p>
    <w:p w14:paraId="22DD6B60" w14:textId="77777777" w:rsidR="004D51A3" w:rsidRPr="001B7F12" w:rsidRDefault="004D51A3">
      <w:pPr>
        <w:pStyle w:val="P00"/>
        <w:spacing w:before="72"/>
        <w:ind w:left="0" w:right="1134"/>
        <w:rPr>
          <w:rStyle w:val="default"/>
          <w:rFonts w:cs="FrankRuehl"/>
          <w:rtl/>
        </w:rPr>
      </w:pPr>
      <w:r w:rsidRPr="001B7F12">
        <w:rPr>
          <w:rFonts w:cs="FrankRuehl"/>
          <w:sz w:val="26"/>
          <w:rtl/>
        </w:rPr>
        <w:tab/>
      </w:r>
      <w:r w:rsidRPr="001B7F12">
        <w:rPr>
          <w:rStyle w:val="default"/>
          <w:rFonts w:cs="FrankRuehl"/>
          <w:rtl/>
        </w:rPr>
        <w:t>(ב)</w:t>
      </w:r>
      <w:r w:rsidRPr="001B7F12">
        <w:rPr>
          <w:rStyle w:val="default"/>
          <w:rFonts w:cs="FrankRuehl"/>
          <w:rtl/>
        </w:rPr>
        <w:tab/>
        <w:t>החלטת הועדה הקובעת אחוז הנכות תהיה בכתב ויצורפו אליה הממצאים והנימוקים.</w:t>
      </w:r>
    </w:p>
    <w:p w14:paraId="236D0B15" w14:textId="77777777" w:rsidR="004D51A3" w:rsidRPr="001B7F12" w:rsidRDefault="004D51A3">
      <w:pPr>
        <w:pStyle w:val="P00"/>
        <w:spacing w:before="72"/>
        <w:ind w:left="0" w:right="1134"/>
        <w:rPr>
          <w:rStyle w:val="default"/>
          <w:rFonts w:cs="FrankRuehl"/>
          <w:rtl/>
        </w:rPr>
      </w:pPr>
      <w:r w:rsidRPr="001B7F12">
        <w:rPr>
          <w:rFonts w:cs="FrankRuehl"/>
          <w:sz w:val="26"/>
          <w:rtl/>
        </w:rPr>
        <w:tab/>
      </w:r>
      <w:r w:rsidRPr="001B7F12">
        <w:rPr>
          <w:rStyle w:val="default"/>
          <w:rFonts w:cs="FrankRuehl"/>
          <w:rtl/>
        </w:rPr>
        <w:t>(ג)</w:t>
      </w:r>
      <w:r w:rsidRPr="001B7F12">
        <w:rPr>
          <w:rStyle w:val="default"/>
          <w:rFonts w:cs="FrankRuehl"/>
          <w:rtl/>
        </w:rPr>
        <w:tab/>
        <w:t>ההחלטה תימסר למזכיר.</w:t>
      </w:r>
    </w:p>
    <w:p w14:paraId="294EE9DD" w14:textId="77777777" w:rsidR="004D51A3" w:rsidRPr="001B7F12" w:rsidRDefault="004D51A3">
      <w:pPr>
        <w:pStyle w:val="P00"/>
        <w:spacing w:before="72"/>
        <w:ind w:left="0" w:right="1134"/>
        <w:rPr>
          <w:rStyle w:val="default"/>
          <w:rFonts w:cs="FrankRuehl"/>
          <w:rtl/>
        </w:rPr>
      </w:pPr>
      <w:bookmarkStart w:id="17" w:name="Seif2"/>
      <w:bookmarkEnd w:id="17"/>
      <w:r w:rsidRPr="003638B9">
        <w:rPr>
          <w:rFonts w:cs="Miriam"/>
          <w:lang w:val="he-IL"/>
        </w:rPr>
        <w:pict w14:anchorId="1058538E">
          <v:rect id="_x0000_s1043" style="position:absolute;left:0;text-align:left;margin-left:464.5pt;margin-top:8.05pt;width:75.05pt;height:16pt;z-index:251644928" o:allowincell="f" filled="f" stroked="f" strokecolor="lime" strokeweight=".25pt">
            <v:textbox style="mso-next-textbox:#_x0000_s1043" inset="0,0,0,0">
              <w:txbxContent>
                <w:p w14:paraId="21D04E28" w14:textId="77777777" w:rsidR="004D51A3" w:rsidRDefault="004D51A3" w:rsidP="003638B9">
                  <w:pPr>
                    <w:spacing w:line="160" w:lineRule="exact"/>
                    <w:rPr>
                      <w:rFonts w:cs="Miriam"/>
                      <w:noProof/>
                      <w:sz w:val="18"/>
                      <w:szCs w:val="18"/>
                      <w:rtl/>
                    </w:rPr>
                  </w:pPr>
                  <w:r>
                    <w:rPr>
                      <w:rFonts w:cs="Miriam"/>
                      <w:sz w:val="18"/>
                      <w:szCs w:val="18"/>
                      <w:rtl/>
                    </w:rPr>
                    <w:t>הו</w:t>
                  </w:r>
                  <w:r>
                    <w:rPr>
                      <w:rFonts w:cs="Miriam" w:hint="cs"/>
                      <w:sz w:val="18"/>
                      <w:szCs w:val="18"/>
                      <w:rtl/>
                    </w:rPr>
                    <w:t>דעה לנכה</w:t>
                  </w:r>
                  <w:r w:rsidR="003638B9">
                    <w:rPr>
                      <w:rFonts w:cs="Miriam" w:hint="cs"/>
                      <w:sz w:val="18"/>
                      <w:szCs w:val="18"/>
                      <w:rtl/>
                    </w:rPr>
                    <w:t xml:space="preserve"> </w:t>
                  </w:r>
                  <w:r>
                    <w:rPr>
                      <w:rFonts w:cs="Miriam"/>
                      <w:sz w:val="18"/>
                      <w:szCs w:val="18"/>
                      <w:rtl/>
                    </w:rPr>
                    <w:t>ול</w:t>
                  </w:r>
                  <w:r>
                    <w:rPr>
                      <w:rFonts w:cs="Miriam" w:hint="cs"/>
                      <w:sz w:val="18"/>
                      <w:szCs w:val="18"/>
                      <w:rtl/>
                    </w:rPr>
                    <w:t>נציב</w:t>
                  </w:r>
                </w:p>
              </w:txbxContent>
            </v:textbox>
            <w10:anchorlock/>
          </v:rect>
        </w:pict>
      </w:r>
      <w:r w:rsidRPr="003638B9">
        <w:rPr>
          <w:rStyle w:val="big-number"/>
          <w:rFonts w:cs="Miriam"/>
          <w:rtl/>
        </w:rPr>
        <w:t>17</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המזכיר ימסור לנכה העתק החלטת הועדה, ולפי בקשת הנכה גם העתק הממצאים והנימוקים; העתק מההחלטה בצירוף הממצאים והנימוקים ימסור המזכיר לנציב.</w:t>
      </w:r>
    </w:p>
    <w:p w14:paraId="536E96D4" w14:textId="77777777" w:rsidR="004D51A3" w:rsidRPr="001B7F12" w:rsidRDefault="004D51A3" w:rsidP="003638B9">
      <w:pPr>
        <w:pStyle w:val="P00"/>
        <w:spacing w:before="72"/>
        <w:ind w:left="0" w:right="1134"/>
        <w:rPr>
          <w:rStyle w:val="default"/>
          <w:rFonts w:cs="FrankRuehl"/>
          <w:rtl/>
        </w:rPr>
      </w:pPr>
      <w:bookmarkStart w:id="18" w:name="Seif3"/>
      <w:bookmarkEnd w:id="18"/>
      <w:r w:rsidRPr="003638B9">
        <w:rPr>
          <w:rFonts w:cs="Miriam"/>
          <w:lang w:val="he-IL"/>
        </w:rPr>
        <w:pict w14:anchorId="278A3000">
          <v:rect id="_x0000_s1044" style="position:absolute;left:0;text-align:left;margin-left:464.5pt;margin-top:8.05pt;width:75.05pt;height:24pt;z-index:251645952" o:allowincell="f" filled="f" stroked="f" strokecolor="lime" strokeweight=".25pt">
            <v:textbox style="mso-next-textbox:#_x0000_s1044" inset="0,0,0,0">
              <w:txbxContent>
                <w:p w14:paraId="40FC542A" w14:textId="77777777" w:rsidR="004D51A3" w:rsidRDefault="004D51A3" w:rsidP="003638B9">
                  <w:pPr>
                    <w:spacing w:line="160" w:lineRule="exact"/>
                    <w:rPr>
                      <w:rFonts w:cs="Miriam"/>
                      <w:noProof/>
                      <w:sz w:val="18"/>
                      <w:szCs w:val="18"/>
                      <w:rtl/>
                    </w:rPr>
                  </w:pPr>
                  <w:r>
                    <w:rPr>
                      <w:rFonts w:cs="Miriam"/>
                      <w:sz w:val="18"/>
                      <w:szCs w:val="18"/>
                      <w:rtl/>
                    </w:rPr>
                    <w:t>הר</w:t>
                  </w:r>
                  <w:r>
                    <w:rPr>
                      <w:rFonts w:cs="Miriam" w:hint="cs"/>
                      <w:sz w:val="18"/>
                      <w:szCs w:val="18"/>
                      <w:rtl/>
                    </w:rPr>
                    <w:t>כב ועדת</w:t>
                  </w:r>
                  <w:r w:rsidR="003638B9">
                    <w:rPr>
                      <w:rFonts w:cs="Miriam" w:hint="cs"/>
                      <w:sz w:val="18"/>
                      <w:szCs w:val="18"/>
                      <w:rtl/>
                    </w:rPr>
                    <w:t xml:space="preserve"> </w:t>
                  </w:r>
                  <w:r>
                    <w:rPr>
                      <w:rFonts w:cs="Miriam"/>
                      <w:sz w:val="18"/>
                      <w:szCs w:val="18"/>
                      <w:rtl/>
                    </w:rPr>
                    <w:t>ער</w:t>
                  </w:r>
                  <w:r>
                    <w:rPr>
                      <w:rFonts w:cs="Miriam" w:hint="cs"/>
                      <w:sz w:val="18"/>
                      <w:szCs w:val="18"/>
                      <w:rtl/>
                    </w:rPr>
                    <w:t>רים ומועד</w:t>
                  </w:r>
                  <w:r w:rsidR="003638B9">
                    <w:rPr>
                      <w:rFonts w:cs="Miriam" w:hint="cs"/>
                      <w:noProof/>
                      <w:sz w:val="18"/>
                      <w:szCs w:val="18"/>
                      <w:rtl/>
                    </w:rPr>
                    <w:t xml:space="preserve"> </w:t>
                  </w:r>
                  <w:r>
                    <w:rPr>
                      <w:rFonts w:cs="Miriam"/>
                      <w:sz w:val="18"/>
                      <w:szCs w:val="18"/>
                      <w:rtl/>
                    </w:rPr>
                    <w:t>הג</w:t>
                  </w:r>
                  <w:r>
                    <w:rPr>
                      <w:rFonts w:cs="Miriam" w:hint="cs"/>
                      <w:sz w:val="18"/>
                      <w:szCs w:val="18"/>
                      <w:rtl/>
                    </w:rPr>
                    <w:t>שת הערר</w:t>
                  </w:r>
                </w:p>
              </w:txbxContent>
            </v:textbox>
            <w10:anchorlock/>
          </v:rect>
        </w:pict>
      </w:r>
      <w:r w:rsidRPr="003638B9">
        <w:rPr>
          <w:rStyle w:val="big-number"/>
          <w:rFonts w:cs="Miriam"/>
          <w:rtl/>
        </w:rPr>
        <w:t>18</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(א)</w:t>
      </w:r>
      <w:r w:rsidRPr="001B7F12">
        <w:rPr>
          <w:rStyle w:val="default"/>
          <w:rFonts w:cs="FrankRuehl"/>
          <w:rtl/>
        </w:rPr>
        <w:tab/>
        <w:t xml:space="preserve">הנכה או הנציב רשאים לערור על החלטת הועדה בדבר אחוז נכותו של הנכה בפני ועדה רפואית לעררים (להלן </w:t>
      </w:r>
      <w:r w:rsidR="003638B9">
        <w:rPr>
          <w:rStyle w:val="default"/>
          <w:rFonts w:cs="FrankRuehl" w:hint="cs"/>
          <w:rtl/>
        </w:rPr>
        <w:t>-</w:t>
      </w:r>
      <w:r w:rsidRPr="001B7F12">
        <w:rPr>
          <w:rStyle w:val="default"/>
          <w:rFonts w:cs="FrankRuehl"/>
          <w:rtl/>
        </w:rPr>
        <w:t xml:space="preserve"> ועדה לעררים), תוך 45 יום מהתאריך שבו נמסרה להם ההחלטה; העורר ישלם למוסד את הוצאותיו כפי שייקבעו בידי המוסד.</w:t>
      </w:r>
    </w:p>
    <w:p w14:paraId="549D3129" w14:textId="77777777" w:rsidR="004D51A3" w:rsidRPr="001B7F12" w:rsidRDefault="004D51A3" w:rsidP="003638B9">
      <w:pPr>
        <w:pStyle w:val="P00"/>
        <w:spacing w:before="72"/>
        <w:ind w:left="0" w:right="1134"/>
        <w:rPr>
          <w:rStyle w:val="default"/>
          <w:rFonts w:cs="FrankRuehl"/>
          <w:rtl/>
        </w:rPr>
      </w:pPr>
      <w:r w:rsidRPr="001B7F12">
        <w:rPr>
          <w:rFonts w:cs="FrankRuehl"/>
          <w:sz w:val="26"/>
          <w:rtl/>
        </w:rPr>
        <w:tab/>
      </w:r>
      <w:r w:rsidRPr="001B7F12">
        <w:rPr>
          <w:rStyle w:val="default"/>
          <w:rFonts w:cs="FrankRuehl"/>
          <w:rtl/>
        </w:rPr>
        <w:t>(ב)</w:t>
      </w:r>
      <w:r w:rsidRPr="001B7F12">
        <w:rPr>
          <w:rStyle w:val="default"/>
          <w:rFonts w:cs="FrankRuehl"/>
          <w:rtl/>
        </w:rPr>
        <w:tab/>
        <w:t>ועדה לעררים תורכב משלושה רופאים אשר ייבחרו על ידי רופא מוסמך מבין הרופאים אשר שמותיהם כלולים ברשימת חברי ועדות רפואיות לעררים שנקבעה בידי שר העבודה ופורסמה ברשומות, על פי חוק הביטוח הלאומי [נוסח משולב], תשכ"ח</w:t>
      </w:r>
      <w:r w:rsidR="003638B9">
        <w:rPr>
          <w:rStyle w:val="default"/>
          <w:rFonts w:cs="FrankRuehl" w:hint="cs"/>
          <w:rtl/>
        </w:rPr>
        <w:t>-</w:t>
      </w:r>
      <w:r w:rsidRPr="001B7F12">
        <w:rPr>
          <w:rStyle w:val="default"/>
          <w:rFonts w:cs="FrankRuehl"/>
          <w:rtl/>
        </w:rPr>
        <w:t>1968; חברי הועדה לעררים הדנה בערר יבחרו מביניהם יושב ראש.</w:t>
      </w:r>
    </w:p>
    <w:p w14:paraId="2D73CC2F" w14:textId="77777777" w:rsidR="004D51A3" w:rsidRPr="001B7F12" w:rsidRDefault="004D51A3">
      <w:pPr>
        <w:pStyle w:val="P00"/>
        <w:spacing w:before="72"/>
        <w:ind w:left="0" w:right="1134"/>
        <w:rPr>
          <w:rStyle w:val="default"/>
          <w:rFonts w:cs="FrankRuehl"/>
          <w:rtl/>
        </w:rPr>
      </w:pPr>
      <w:r w:rsidRPr="001B7F12">
        <w:rPr>
          <w:rFonts w:cs="FrankRuehl"/>
          <w:sz w:val="26"/>
          <w:rtl/>
        </w:rPr>
        <w:tab/>
      </w:r>
      <w:r w:rsidRPr="001B7F12">
        <w:rPr>
          <w:rStyle w:val="default"/>
          <w:rFonts w:cs="FrankRuehl"/>
          <w:rtl/>
        </w:rPr>
        <w:t>(ג)</w:t>
      </w:r>
      <w:r w:rsidRPr="001B7F12">
        <w:rPr>
          <w:rStyle w:val="default"/>
          <w:rFonts w:cs="FrankRuehl"/>
          <w:rtl/>
        </w:rPr>
        <w:tab/>
        <w:t>החלטת הועדה לעררים תהא סופית.</w:t>
      </w:r>
    </w:p>
    <w:p w14:paraId="4E6CFC31" w14:textId="77777777" w:rsidR="004D51A3" w:rsidRPr="001B7F12" w:rsidRDefault="004D51A3">
      <w:pPr>
        <w:pStyle w:val="P00"/>
        <w:spacing w:before="72"/>
        <w:ind w:left="0" w:right="1134"/>
        <w:rPr>
          <w:rStyle w:val="default"/>
          <w:rFonts w:cs="FrankRuehl"/>
          <w:rtl/>
        </w:rPr>
      </w:pPr>
      <w:bookmarkStart w:id="19" w:name="Seif4"/>
      <w:bookmarkEnd w:id="19"/>
      <w:r w:rsidRPr="003638B9">
        <w:rPr>
          <w:rFonts w:cs="Miriam"/>
          <w:lang w:val="he-IL"/>
        </w:rPr>
        <w:pict w14:anchorId="7B60396D">
          <v:rect id="_x0000_s1045" style="position:absolute;left:0;text-align:left;margin-left:464.5pt;margin-top:8.05pt;width:75.05pt;height:17.45pt;z-index:251646976" o:allowincell="f" filled="f" stroked="f" strokecolor="lime" strokeweight=".25pt">
            <v:textbox style="mso-next-textbox:#_x0000_s1045" inset="0,0,0,0">
              <w:txbxContent>
                <w:p w14:paraId="43BC203B" w14:textId="77777777" w:rsidR="004D51A3" w:rsidRDefault="004D51A3">
                  <w:pPr>
                    <w:spacing w:line="160" w:lineRule="exact"/>
                    <w:rPr>
                      <w:rFonts w:cs="Miriam"/>
                      <w:noProof/>
                      <w:sz w:val="18"/>
                      <w:szCs w:val="18"/>
                      <w:rtl/>
                    </w:rPr>
                  </w:pPr>
                  <w:r>
                    <w:rPr>
                      <w:rFonts w:cs="Miriam"/>
                      <w:sz w:val="18"/>
                      <w:szCs w:val="18"/>
                      <w:rtl/>
                    </w:rPr>
                    <w:t>או</w:t>
                  </w:r>
                  <w:r>
                    <w:rPr>
                      <w:rFonts w:cs="Miriam" w:hint="cs"/>
                      <w:sz w:val="18"/>
                      <w:szCs w:val="18"/>
                      <w:rtl/>
                    </w:rPr>
                    <w:t>פן הערר</w:t>
                  </w:r>
                </w:p>
              </w:txbxContent>
            </v:textbox>
            <w10:anchorlock/>
          </v:rect>
        </w:pict>
      </w:r>
      <w:r w:rsidRPr="003638B9">
        <w:rPr>
          <w:rStyle w:val="big-number"/>
          <w:rFonts w:cs="Miriam"/>
          <w:rtl/>
        </w:rPr>
        <w:t>19</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(א)</w:t>
      </w:r>
      <w:r w:rsidRPr="001B7F12">
        <w:rPr>
          <w:rStyle w:val="default"/>
          <w:rFonts w:cs="FrankRuehl"/>
          <w:rtl/>
        </w:rPr>
        <w:tab/>
        <w:t>נכה המבקש לערור על החלטת הועדה יגיש את הערר לנציב ויציין בו את נימוקי הערר.</w:t>
      </w:r>
    </w:p>
    <w:p w14:paraId="4613CAD4" w14:textId="77777777" w:rsidR="004D51A3" w:rsidRPr="001B7F12" w:rsidRDefault="004D51A3">
      <w:pPr>
        <w:pStyle w:val="P00"/>
        <w:spacing w:before="72"/>
        <w:ind w:left="0" w:right="1134"/>
        <w:rPr>
          <w:rStyle w:val="default"/>
          <w:rFonts w:cs="FrankRuehl"/>
          <w:rtl/>
        </w:rPr>
      </w:pPr>
      <w:r w:rsidRPr="001B7F12">
        <w:rPr>
          <w:rFonts w:cs="FrankRuehl"/>
          <w:sz w:val="26"/>
          <w:rtl/>
        </w:rPr>
        <w:tab/>
      </w:r>
      <w:r w:rsidRPr="001B7F12">
        <w:rPr>
          <w:rStyle w:val="default"/>
          <w:rFonts w:cs="FrankRuehl"/>
          <w:rtl/>
        </w:rPr>
        <w:t>(ב)</w:t>
      </w:r>
      <w:r w:rsidRPr="001B7F12">
        <w:rPr>
          <w:rStyle w:val="default"/>
          <w:rFonts w:cs="FrankRuehl"/>
          <w:rtl/>
        </w:rPr>
        <w:tab/>
        <w:t>הנציב יעביר את הערר למזכיר.</w:t>
      </w:r>
    </w:p>
    <w:p w14:paraId="0058F77E" w14:textId="77777777" w:rsidR="004D51A3" w:rsidRPr="001B7F12" w:rsidRDefault="004D51A3">
      <w:pPr>
        <w:pStyle w:val="P00"/>
        <w:spacing w:before="72"/>
        <w:ind w:left="0" w:right="1134"/>
        <w:rPr>
          <w:rStyle w:val="default"/>
          <w:rFonts w:cs="FrankRuehl"/>
          <w:rtl/>
        </w:rPr>
      </w:pPr>
      <w:r w:rsidRPr="001B7F12">
        <w:rPr>
          <w:rFonts w:cs="FrankRuehl"/>
          <w:sz w:val="26"/>
          <w:rtl/>
        </w:rPr>
        <w:tab/>
      </w:r>
      <w:r w:rsidRPr="001B7F12">
        <w:rPr>
          <w:rStyle w:val="default"/>
          <w:rFonts w:cs="FrankRuehl"/>
          <w:rtl/>
        </w:rPr>
        <w:t>(ג)</w:t>
      </w:r>
      <w:r w:rsidRPr="001B7F12">
        <w:rPr>
          <w:rStyle w:val="default"/>
          <w:rFonts w:cs="FrankRuehl"/>
          <w:rtl/>
        </w:rPr>
        <w:tab/>
        <w:t>מבקש הנציב לערור על החלטת הועדה יגיש את הערר על כל נימוקיו ישירות למזכיר.</w:t>
      </w:r>
    </w:p>
    <w:p w14:paraId="701B5365" w14:textId="77777777" w:rsidR="004D51A3" w:rsidRPr="001B7F12" w:rsidRDefault="004D51A3">
      <w:pPr>
        <w:pStyle w:val="P00"/>
        <w:spacing w:before="72"/>
        <w:ind w:left="0" w:right="1134"/>
        <w:rPr>
          <w:rStyle w:val="default"/>
          <w:rFonts w:cs="FrankRuehl"/>
          <w:rtl/>
        </w:rPr>
      </w:pPr>
      <w:r w:rsidRPr="001B7F12">
        <w:rPr>
          <w:rFonts w:cs="FrankRuehl"/>
          <w:sz w:val="26"/>
          <w:rtl/>
        </w:rPr>
        <w:tab/>
      </w:r>
      <w:r w:rsidRPr="001B7F12">
        <w:rPr>
          <w:rStyle w:val="default"/>
          <w:rFonts w:cs="FrankRuehl"/>
          <w:rtl/>
        </w:rPr>
        <w:t>(ה)</w:t>
      </w:r>
      <w:r w:rsidRPr="001B7F12">
        <w:rPr>
          <w:rStyle w:val="default"/>
          <w:rFonts w:cs="FrankRuehl"/>
          <w:rtl/>
        </w:rPr>
        <w:tab/>
        <w:t>המזכיר ימציא העתק מהערר לנכה.</w:t>
      </w:r>
    </w:p>
    <w:p w14:paraId="635B337D" w14:textId="77777777" w:rsidR="004D51A3" w:rsidRPr="001B7F12" w:rsidRDefault="004D51A3">
      <w:pPr>
        <w:pStyle w:val="P00"/>
        <w:spacing w:before="72"/>
        <w:ind w:left="0" w:right="1134"/>
        <w:rPr>
          <w:rStyle w:val="default"/>
          <w:rFonts w:cs="FrankRuehl"/>
          <w:rtl/>
        </w:rPr>
      </w:pPr>
      <w:bookmarkStart w:id="20" w:name="Seif5"/>
      <w:bookmarkEnd w:id="20"/>
      <w:r w:rsidRPr="003638B9">
        <w:rPr>
          <w:rFonts w:cs="Miriam"/>
          <w:lang w:val="he-IL"/>
        </w:rPr>
        <w:pict w14:anchorId="35880B1A">
          <v:rect id="_x0000_s1046" style="position:absolute;left:0;text-align:left;margin-left:464.5pt;margin-top:8.05pt;width:75.05pt;height:16pt;z-index:251648000" o:allowincell="f" filled="f" stroked="f" strokecolor="lime" strokeweight=".25pt">
            <v:textbox style="mso-next-textbox:#_x0000_s1046" inset="0,0,0,0">
              <w:txbxContent>
                <w:p w14:paraId="1ACAB0AB" w14:textId="77777777" w:rsidR="004D51A3" w:rsidRDefault="004D51A3" w:rsidP="003638B9">
                  <w:pPr>
                    <w:spacing w:line="160" w:lineRule="exact"/>
                    <w:rPr>
                      <w:rFonts w:cs="Miriam"/>
                      <w:noProof/>
                      <w:sz w:val="18"/>
                      <w:szCs w:val="18"/>
                      <w:rtl/>
                    </w:rPr>
                  </w:pPr>
                  <w:r>
                    <w:rPr>
                      <w:rFonts w:cs="Miriam"/>
                      <w:sz w:val="18"/>
                      <w:szCs w:val="18"/>
                      <w:rtl/>
                    </w:rPr>
                    <w:t>סמ</w:t>
                  </w:r>
                  <w:r>
                    <w:rPr>
                      <w:rFonts w:cs="Miriam" w:hint="cs"/>
                      <w:sz w:val="18"/>
                      <w:szCs w:val="18"/>
                      <w:rtl/>
                    </w:rPr>
                    <w:t>כות ועדת</w:t>
                  </w:r>
                  <w:r w:rsidR="003638B9">
                    <w:rPr>
                      <w:rFonts w:cs="Miriam" w:hint="cs"/>
                      <w:sz w:val="18"/>
                      <w:szCs w:val="18"/>
                      <w:rtl/>
                    </w:rPr>
                    <w:t xml:space="preserve"> </w:t>
                  </w:r>
                  <w:r>
                    <w:rPr>
                      <w:rFonts w:cs="Miriam"/>
                      <w:sz w:val="18"/>
                      <w:szCs w:val="18"/>
                      <w:rtl/>
                    </w:rPr>
                    <w:t>הע</w:t>
                  </w:r>
                  <w:r>
                    <w:rPr>
                      <w:rFonts w:cs="Miriam" w:hint="cs"/>
                      <w:sz w:val="18"/>
                      <w:szCs w:val="18"/>
                      <w:rtl/>
                    </w:rPr>
                    <w:t>ררים</w:t>
                  </w:r>
                </w:p>
              </w:txbxContent>
            </v:textbox>
            <w10:anchorlock/>
          </v:rect>
        </w:pict>
      </w:r>
      <w:r w:rsidRPr="003638B9">
        <w:rPr>
          <w:rStyle w:val="big-number"/>
          <w:rFonts w:cs="Miriam"/>
          <w:rtl/>
        </w:rPr>
        <w:t>20</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ועדה לעררים רשאית לאשר החלטת הועדה, לבטלה או לשנותה.</w:t>
      </w:r>
    </w:p>
    <w:p w14:paraId="3CD33CEB" w14:textId="77777777" w:rsidR="004D51A3" w:rsidRPr="001B7F12" w:rsidRDefault="004D51A3">
      <w:pPr>
        <w:pStyle w:val="P00"/>
        <w:spacing w:before="72"/>
        <w:ind w:left="0" w:right="1134"/>
        <w:rPr>
          <w:rStyle w:val="default"/>
          <w:rFonts w:cs="FrankRuehl"/>
          <w:rtl/>
        </w:rPr>
      </w:pPr>
      <w:bookmarkStart w:id="21" w:name="Seif6"/>
      <w:bookmarkEnd w:id="21"/>
      <w:r w:rsidRPr="003638B9">
        <w:rPr>
          <w:rFonts w:cs="Miriam"/>
          <w:lang w:val="he-IL"/>
        </w:rPr>
        <w:pict w14:anchorId="3F1EABB4">
          <v:rect id="_x0000_s1047" style="position:absolute;left:0;text-align:left;margin-left:464.5pt;margin-top:8.05pt;width:75.05pt;height:10.25pt;z-index:251649024" o:allowincell="f" filled="f" stroked="f" strokecolor="lime" strokeweight=".25pt">
            <v:textbox style="mso-next-textbox:#_x0000_s1047" inset="0,0,0,0">
              <w:txbxContent>
                <w:p w14:paraId="25DAB1BB" w14:textId="77777777" w:rsidR="004D51A3" w:rsidRDefault="004D51A3">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3638B9">
        <w:rPr>
          <w:rStyle w:val="big-number"/>
          <w:rFonts w:cs="Miriam"/>
          <w:rtl/>
        </w:rPr>
        <w:t>21</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(א)</w:t>
      </w:r>
      <w:r w:rsidRPr="001B7F12">
        <w:rPr>
          <w:rStyle w:val="default"/>
          <w:rFonts w:cs="FrankRuehl"/>
          <w:rtl/>
        </w:rPr>
        <w:tab/>
        <w:t>תקנות 5, 7, 9, 10, 11, 13, 14, 16 ו-17 יחולו על ערר בפני ועדה לעררים בשינויים המחוייבים, לפי הענין.</w:t>
      </w:r>
    </w:p>
    <w:p w14:paraId="0ED4DC8A" w14:textId="77777777" w:rsidR="004D51A3" w:rsidRPr="001B7F12" w:rsidRDefault="004D51A3">
      <w:pPr>
        <w:pStyle w:val="P00"/>
        <w:spacing w:before="72"/>
        <w:ind w:left="0" w:right="1134"/>
        <w:rPr>
          <w:rStyle w:val="default"/>
          <w:rFonts w:cs="FrankRuehl"/>
          <w:rtl/>
        </w:rPr>
      </w:pPr>
      <w:r w:rsidRPr="001B7F12">
        <w:rPr>
          <w:rFonts w:cs="FrankRuehl"/>
          <w:sz w:val="26"/>
          <w:rtl/>
        </w:rPr>
        <w:tab/>
      </w:r>
      <w:r w:rsidRPr="001B7F12">
        <w:rPr>
          <w:rStyle w:val="default"/>
          <w:rFonts w:cs="FrankRuehl"/>
          <w:rtl/>
        </w:rPr>
        <w:t>(ב)</w:t>
      </w:r>
      <w:r w:rsidRPr="001B7F12">
        <w:rPr>
          <w:rStyle w:val="default"/>
          <w:rFonts w:cs="FrankRuehl"/>
          <w:rtl/>
        </w:rPr>
        <w:tab/>
        <w:t>הועדה לעררים רשאית לקבוע את אחוז הנכות לפי שיקול דעתה, בהתחשב במבחנים שבתוספת.</w:t>
      </w:r>
    </w:p>
    <w:p w14:paraId="171D5375" w14:textId="77777777" w:rsidR="004D51A3" w:rsidRPr="001B7F12" w:rsidRDefault="004D51A3">
      <w:pPr>
        <w:pStyle w:val="P00"/>
        <w:spacing w:before="72"/>
        <w:ind w:left="0" w:right="1134"/>
        <w:rPr>
          <w:rStyle w:val="default"/>
          <w:rFonts w:cs="FrankRuehl"/>
          <w:rtl/>
        </w:rPr>
      </w:pPr>
      <w:bookmarkStart w:id="22" w:name="Seif7"/>
      <w:bookmarkEnd w:id="22"/>
      <w:r w:rsidRPr="003638B9">
        <w:rPr>
          <w:rFonts w:cs="Miriam"/>
          <w:lang w:val="he-IL"/>
        </w:rPr>
        <w:pict w14:anchorId="16ADE844">
          <v:rect id="_x0000_s1048" style="position:absolute;left:0;text-align:left;margin-left:464.5pt;margin-top:8.05pt;width:75.05pt;height:23.2pt;z-index:251650048" o:allowincell="f" filled="f" stroked="f" strokecolor="lime" strokeweight=".25pt">
            <v:textbox style="mso-next-textbox:#_x0000_s1048" inset="0,0,0,0">
              <w:txbxContent>
                <w:p w14:paraId="4212EC8E" w14:textId="77777777" w:rsidR="004D51A3" w:rsidRDefault="004D51A3" w:rsidP="003638B9">
                  <w:pPr>
                    <w:spacing w:line="160" w:lineRule="exact"/>
                    <w:rPr>
                      <w:rFonts w:cs="Miriam"/>
                      <w:noProof/>
                      <w:sz w:val="18"/>
                      <w:szCs w:val="18"/>
                      <w:rtl/>
                    </w:rPr>
                  </w:pPr>
                  <w:r>
                    <w:rPr>
                      <w:rFonts w:cs="Miriam"/>
                      <w:sz w:val="18"/>
                      <w:szCs w:val="18"/>
                      <w:rtl/>
                    </w:rPr>
                    <w:t>הח</w:t>
                  </w:r>
                  <w:r>
                    <w:rPr>
                      <w:rFonts w:cs="Miriam" w:hint="cs"/>
                      <w:sz w:val="18"/>
                      <w:szCs w:val="18"/>
                      <w:rtl/>
                    </w:rPr>
                    <w:t>לטת הועדה</w:t>
                  </w:r>
                  <w:r w:rsidR="003638B9">
                    <w:rPr>
                      <w:rFonts w:cs="Miriam" w:hint="cs"/>
                      <w:sz w:val="18"/>
                      <w:szCs w:val="18"/>
                      <w:rtl/>
                    </w:rPr>
                    <w:t xml:space="preserve"> </w:t>
                  </w:r>
                  <w:r>
                    <w:rPr>
                      <w:rFonts w:cs="Miriam"/>
                      <w:sz w:val="18"/>
                      <w:szCs w:val="18"/>
                      <w:rtl/>
                    </w:rPr>
                    <w:t>לע</w:t>
                  </w:r>
                  <w:r>
                    <w:rPr>
                      <w:rFonts w:cs="Miriam" w:hint="cs"/>
                      <w:sz w:val="18"/>
                      <w:szCs w:val="18"/>
                      <w:rtl/>
                    </w:rPr>
                    <w:t>ררים</w:t>
                  </w:r>
                </w:p>
              </w:txbxContent>
            </v:textbox>
            <w10:anchorlock/>
          </v:rect>
        </w:pict>
      </w:r>
      <w:r w:rsidRPr="003638B9">
        <w:rPr>
          <w:rStyle w:val="big-number"/>
          <w:rFonts w:cs="Miriam"/>
          <w:rtl/>
        </w:rPr>
        <w:t>22</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החלטת הועדה לעררים תינתן פה אחד או ברוב דעות, ובאין רוב דעות יכריע היושב ראש.</w:t>
      </w:r>
    </w:p>
    <w:p w14:paraId="5B176141" w14:textId="77777777" w:rsidR="004D51A3" w:rsidRPr="001B7F12" w:rsidRDefault="004D51A3">
      <w:pPr>
        <w:pStyle w:val="P00"/>
        <w:spacing w:before="72"/>
        <w:ind w:left="0" w:right="1134"/>
        <w:rPr>
          <w:rStyle w:val="default"/>
          <w:rFonts w:cs="FrankRuehl"/>
          <w:rtl/>
        </w:rPr>
      </w:pPr>
      <w:bookmarkStart w:id="23" w:name="Seif8"/>
      <w:bookmarkEnd w:id="23"/>
      <w:r w:rsidRPr="003638B9">
        <w:rPr>
          <w:rFonts w:cs="Miriam"/>
          <w:lang w:val="he-IL"/>
        </w:rPr>
        <w:pict w14:anchorId="28B4444F">
          <v:rect id="_x0000_s1049" style="position:absolute;left:0;text-align:left;margin-left:464.5pt;margin-top:8.05pt;width:75.05pt;height:21.6pt;z-index:251651072" o:allowincell="f" filled="f" stroked="f" strokecolor="lime" strokeweight=".25pt">
            <v:textbox style="mso-next-textbox:#_x0000_s1049" inset="0,0,0,0">
              <w:txbxContent>
                <w:p w14:paraId="764C5B93" w14:textId="77777777" w:rsidR="004D51A3" w:rsidRDefault="004D51A3" w:rsidP="003638B9">
                  <w:pPr>
                    <w:spacing w:line="160" w:lineRule="exact"/>
                    <w:rPr>
                      <w:rFonts w:cs="Miriam"/>
                      <w:noProof/>
                      <w:sz w:val="18"/>
                      <w:szCs w:val="18"/>
                      <w:rtl/>
                    </w:rPr>
                  </w:pPr>
                  <w:r>
                    <w:rPr>
                      <w:rFonts w:cs="Miriam"/>
                      <w:sz w:val="18"/>
                      <w:szCs w:val="18"/>
                      <w:rtl/>
                    </w:rPr>
                    <w:t>אי</w:t>
                  </w:r>
                  <w:r>
                    <w:rPr>
                      <w:rFonts w:cs="Miriam" w:hint="cs"/>
                      <w:sz w:val="18"/>
                      <w:szCs w:val="18"/>
                      <w:rtl/>
                    </w:rPr>
                    <w:t xml:space="preserve"> התייצבות</w:t>
                  </w:r>
                  <w:r w:rsidR="003638B9">
                    <w:rPr>
                      <w:rFonts w:cs="Miriam" w:hint="cs"/>
                      <w:sz w:val="18"/>
                      <w:szCs w:val="18"/>
                      <w:rtl/>
                    </w:rPr>
                    <w:t xml:space="preserve"> </w:t>
                  </w:r>
                  <w:r>
                    <w:rPr>
                      <w:rFonts w:cs="Miriam"/>
                      <w:sz w:val="18"/>
                      <w:szCs w:val="18"/>
                      <w:rtl/>
                    </w:rPr>
                    <w:t>הנ</w:t>
                  </w:r>
                  <w:r>
                    <w:rPr>
                      <w:rFonts w:cs="Miriam" w:hint="cs"/>
                      <w:sz w:val="18"/>
                      <w:szCs w:val="18"/>
                      <w:rtl/>
                    </w:rPr>
                    <w:t>כה בערר</w:t>
                  </w:r>
                </w:p>
              </w:txbxContent>
            </v:textbox>
            <w10:anchorlock/>
          </v:rect>
        </w:pict>
      </w:r>
      <w:r w:rsidRPr="003638B9">
        <w:rPr>
          <w:rStyle w:val="big-number"/>
          <w:rFonts w:cs="Miriam"/>
          <w:rtl/>
        </w:rPr>
        <w:t>23</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עורר הנכה ולא התייצב לפני הועדה לעררים במועד ובמקום שנקבעו בהזמנה, רשאית הועדה לדון ולהחליט בערר שלא בפניו לפי החומר שברשותה; אולם, אם נבצר ממנה להחליט ולא הופיע העורר בפני הועדה לעררים לאחר הזמנה נוספת יידחה הערר; אולם, אם הודיע העורר לפני המועד שנקבע לדיון בערר או לאחריו שאינו יכול להתייצב מסיבה סבירה שתפורט בידו, רשאי יושב ראש הועדה לקבוע מועד אחר לדיון.</w:t>
      </w:r>
    </w:p>
    <w:p w14:paraId="2AFAEBD5" w14:textId="77777777" w:rsidR="004D51A3" w:rsidRPr="001B7F12" w:rsidRDefault="004D51A3">
      <w:pPr>
        <w:pStyle w:val="P00"/>
        <w:spacing w:before="72"/>
        <w:ind w:left="0" w:right="1134"/>
        <w:rPr>
          <w:rStyle w:val="default"/>
          <w:rFonts w:cs="FrankRuehl"/>
          <w:rtl/>
        </w:rPr>
      </w:pPr>
      <w:bookmarkStart w:id="24" w:name="Seif9"/>
      <w:bookmarkEnd w:id="24"/>
      <w:r w:rsidRPr="003638B9">
        <w:rPr>
          <w:rFonts w:cs="Miriam"/>
          <w:lang w:val="he-IL"/>
        </w:rPr>
        <w:pict w14:anchorId="26AD48BE">
          <v:rect id="_x0000_s1050" style="position:absolute;left:0;text-align:left;margin-left:464.5pt;margin-top:8.05pt;width:75.05pt;height:24pt;z-index:251652096" o:allowincell="f" filled="f" stroked="f" strokecolor="lime" strokeweight=".25pt">
            <v:textbox style="mso-next-textbox:#_x0000_s1050" inset="0,0,0,0">
              <w:txbxContent>
                <w:p w14:paraId="4EEA96FD" w14:textId="77777777" w:rsidR="004D51A3" w:rsidRDefault="004D51A3" w:rsidP="003638B9">
                  <w:pPr>
                    <w:spacing w:line="160" w:lineRule="exact"/>
                    <w:rPr>
                      <w:rFonts w:cs="Miriam"/>
                      <w:noProof/>
                      <w:sz w:val="18"/>
                      <w:szCs w:val="18"/>
                      <w:rtl/>
                    </w:rPr>
                  </w:pPr>
                  <w:r>
                    <w:rPr>
                      <w:rFonts w:cs="Miriam"/>
                      <w:sz w:val="18"/>
                      <w:szCs w:val="18"/>
                      <w:rtl/>
                    </w:rPr>
                    <w:t>אי</w:t>
                  </w:r>
                  <w:r>
                    <w:rPr>
                      <w:rFonts w:cs="Miriam" w:hint="cs"/>
                      <w:sz w:val="18"/>
                      <w:szCs w:val="18"/>
                      <w:rtl/>
                    </w:rPr>
                    <w:t xml:space="preserve"> התייצבות</w:t>
                  </w:r>
                  <w:r w:rsidR="003638B9">
                    <w:rPr>
                      <w:rFonts w:cs="Miriam" w:hint="cs"/>
                      <w:sz w:val="18"/>
                      <w:szCs w:val="18"/>
                      <w:rtl/>
                    </w:rPr>
                    <w:t xml:space="preserve"> </w:t>
                  </w:r>
                  <w:r>
                    <w:rPr>
                      <w:rFonts w:cs="Miriam"/>
                      <w:sz w:val="18"/>
                      <w:szCs w:val="18"/>
                      <w:rtl/>
                    </w:rPr>
                    <w:t>בע</w:t>
                  </w:r>
                  <w:r>
                    <w:rPr>
                      <w:rFonts w:cs="Miriam" w:hint="cs"/>
                      <w:sz w:val="18"/>
                      <w:szCs w:val="18"/>
                      <w:rtl/>
                    </w:rPr>
                    <w:t xml:space="preserve">רר </w:t>
                  </w:r>
                  <w:r>
                    <w:rPr>
                      <w:rFonts w:cs="Miriam"/>
                      <w:sz w:val="18"/>
                      <w:szCs w:val="18"/>
                      <w:rtl/>
                    </w:rPr>
                    <w:t>מ</w:t>
                  </w:r>
                  <w:r>
                    <w:rPr>
                      <w:rFonts w:cs="Miriam" w:hint="cs"/>
                      <w:sz w:val="18"/>
                      <w:szCs w:val="18"/>
                      <w:rtl/>
                    </w:rPr>
                    <w:t>טעם</w:t>
                  </w:r>
                  <w:r w:rsidR="003638B9">
                    <w:rPr>
                      <w:rFonts w:cs="Miriam" w:hint="cs"/>
                      <w:noProof/>
                      <w:sz w:val="18"/>
                      <w:szCs w:val="18"/>
                      <w:rtl/>
                    </w:rPr>
                    <w:t xml:space="preserve"> </w:t>
                  </w:r>
                  <w:r>
                    <w:rPr>
                      <w:rFonts w:cs="Miriam"/>
                      <w:sz w:val="18"/>
                      <w:szCs w:val="18"/>
                      <w:rtl/>
                    </w:rPr>
                    <w:t>הנ</w:t>
                  </w:r>
                  <w:r>
                    <w:rPr>
                      <w:rFonts w:cs="Miriam" w:hint="cs"/>
                      <w:sz w:val="18"/>
                      <w:szCs w:val="18"/>
                      <w:rtl/>
                    </w:rPr>
                    <w:t>ציב</w:t>
                  </w:r>
                </w:p>
              </w:txbxContent>
            </v:textbox>
            <w10:anchorlock/>
          </v:rect>
        </w:pict>
      </w:r>
      <w:r w:rsidRPr="003638B9">
        <w:rPr>
          <w:rStyle w:val="big-number"/>
          <w:rFonts w:cs="Miriam"/>
          <w:rtl/>
        </w:rPr>
        <w:t>24</w:t>
      </w:r>
      <w:r w:rsidRPr="003638B9">
        <w:rPr>
          <w:rStyle w:val="big-number"/>
          <w:rFonts w:cs="FrankRuehl" w:hint="cs"/>
          <w:sz w:val="26"/>
          <w:szCs w:val="26"/>
          <w:rtl/>
        </w:rPr>
        <w:t>.</w:t>
      </w:r>
      <w:r w:rsidRPr="003638B9">
        <w:rPr>
          <w:rStyle w:val="big-number"/>
          <w:rFonts w:cs="FrankRuehl"/>
          <w:sz w:val="26"/>
          <w:szCs w:val="26"/>
          <w:rtl/>
        </w:rPr>
        <w:tab/>
      </w:r>
      <w:r w:rsidRPr="001B7F12">
        <w:rPr>
          <w:rStyle w:val="default"/>
          <w:rFonts w:cs="FrankRuehl"/>
          <w:rtl/>
        </w:rPr>
        <w:t>(א)</w:t>
      </w:r>
      <w:r w:rsidRPr="001B7F12">
        <w:rPr>
          <w:rStyle w:val="default"/>
          <w:rFonts w:cs="FrankRuehl"/>
          <w:rtl/>
        </w:rPr>
        <w:tab/>
        <w:t>עורר הנציב ובא כוחו לא הופיע בפני הועדה לעררים במועד ובמקום שנקבעו בהזמנה, ולא נתן סיבה סבירה לאי התייצבות, רשאית הועדה לדון ולהחליט בהעדרו.</w:t>
      </w:r>
    </w:p>
    <w:p w14:paraId="77360F76" w14:textId="77777777" w:rsidR="004D51A3" w:rsidRPr="001B7F12" w:rsidRDefault="004D51A3">
      <w:pPr>
        <w:pStyle w:val="P00"/>
        <w:spacing w:before="72"/>
        <w:ind w:left="0" w:right="1134"/>
        <w:rPr>
          <w:rStyle w:val="default"/>
          <w:rFonts w:cs="FrankRuehl"/>
          <w:rtl/>
        </w:rPr>
      </w:pPr>
      <w:r w:rsidRPr="001B7F12">
        <w:rPr>
          <w:rFonts w:cs="FrankRuehl"/>
          <w:sz w:val="26"/>
          <w:rtl/>
        </w:rPr>
        <w:tab/>
      </w:r>
      <w:r w:rsidRPr="001B7F12">
        <w:rPr>
          <w:rStyle w:val="default"/>
          <w:rFonts w:cs="FrankRuehl"/>
          <w:rtl/>
        </w:rPr>
        <w:t>(ב)</w:t>
      </w:r>
      <w:r w:rsidRPr="001B7F12">
        <w:rPr>
          <w:rStyle w:val="default"/>
          <w:rFonts w:cs="FrankRuehl"/>
          <w:rtl/>
        </w:rPr>
        <w:tab/>
        <w:t>עורר הנציב, רשאית הועדה לעררים להזמין את הנכה להתייצב בפניה; לא התייצב הנכה בפני הועדה במועד הנקוב בהזמנה מבלי שהודיע למזכיר על כך בכתב לפני המועד האמור או בלי שנתן סיבה מתקבלת על הדעת לאי-התייצבותו רשאית הועדה לדון בערר בהעדרו.</w:t>
      </w:r>
    </w:p>
    <w:p w14:paraId="6FFC0DD6" w14:textId="77777777" w:rsidR="004D51A3" w:rsidRPr="001B7F12" w:rsidRDefault="004D51A3" w:rsidP="003638B9">
      <w:pPr>
        <w:pStyle w:val="P00"/>
        <w:spacing w:before="72"/>
        <w:ind w:left="0" w:right="1134"/>
        <w:rPr>
          <w:rStyle w:val="default"/>
          <w:rFonts w:cs="FrankRuehl"/>
          <w:rtl/>
        </w:rPr>
      </w:pPr>
      <w:bookmarkStart w:id="25" w:name="Seif10"/>
      <w:bookmarkEnd w:id="25"/>
      <w:r w:rsidRPr="003638B9">
        <w:rPr>
          <w:rFonts w:cs="Miriam"/>
          <w:lang w:val="he-IL"/>
        </w:rPr>
        <w:pict w14:anchorId="60CC63C8">
          <v:rect id="_x0000_s1051" style="position:absolute;left:0;text-align:left;margin-left:464.5pt;margin-top:8.05pt;width:75.05pt;height:18.8pt;z-index:251653120" o:allowincell="f" filled="f" stroked="f" strokecolor="lime" strokeweight=".25pt">
            <v:textbox style="mso-next-textbox:#_x0000_s1051" inset="0,0,0,0">
              <w:txbxContent>
                <w:p w14:paraId="15F8DA3F" w14:textId="77777777" w:rsidR="004D51A3" w:rsidRDefault="004D51A3" w:rsidP="003638B9">
                  <w:pPr>
                    <w:spacing w:line="160" w:lineRule="exact"/>
                    <w:rPr>
                      <w:rFonts w:cs="Miriam"/>
                      <w:noProof/>
                      <w:sz w:val="18"/>
                      <w:szCs w:val="18"/>
                      <w:rtl/>
                    </w:rPr>
                  </w:pPr>
                  <w:r>
                    <w:rPr>
                      <w:rFonts w:cs="Miriam"/>
                      <w:sz w:val="18"/>
                      <w:szCs w:val="18"/>
                      <w:rtl/>
                    </w:rPr>
                    <w:t>די</w:t>
                  </w:r>
                  <w:r>
                    <w:rPr>
                      <w:rFonts w:cs="Miriam" w:hint="cs"/>
                      <w:sz w:val="18"/>
                      <w:szCs w:val="18"/>
                      <w:rtl/>
                    </w:rPr>
                    <w:t>ון מחדש לפי</w:t>
                  </w:r>
                  <w:r w:rsidR="003638B9">
                    <w:rPr>
                      <w:rFonts w:cs="Miriam" w:hint="cs"/>
                      <w:sz w:val="18"/>
                      <w:szCs w:val="18"/>
                      <w:rtl/>
                    </w:rPr>
                    <w:t xml:space="preserve"> </w:t>
                  </w:r>
                  <w:r>
                    <w:rPr>
                      <w:rFonts w:cs="Miriam"/>
                      <w:sz w:val="18"/>
                      <w:szCs w:val="18"/>
                      <w:rtl/>
                    </w:rPr>
                    <w:t>בק</w:t>
                  </w:r>
                  <w:r>
                    <w:rPr>
                      <w:rFonts w:cs="Miriam" w:hint="cs"/>
                      <w:sz w:val="18"/>
                      <w:szCs w:val="18"/>
                      <w:rtl/>
                    </w:rPr>
                    <w:t>שת הנכה</w:t>
                  </w:r>
                </w:p>
              </w:txbxContent>
            </v:textbox>
            <w10:anchorlock/>
          </v:rect>
        </w:pict>
      </w:r>
      <w:r w:rsidRPr="003638B9">
        <w:rPr>
          <w:rStyle w:val="big-number"/>
          <w:rFonts w:cs="Miriam"/>
          <w:rtl/>
        </w:rPr>
        <w:t>25</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עברו ששה חדשים מאז נקבע לאחרונה אחוז נכותו של נכה על פי תקנות אלה או תקנות מס הכנסה (קביעת אחוז נכות), תשל"א</w:t>
      </w:r>
      <w:r w:rsidR="003638B9">
        <w:rPr>
          <w:rStyle w:val="default"/>
          <w:rFonts w:cs="FrankRuehl" w:hint="cs"/>
          <w:rtl/>
        </w:rPr>
        <w:t>-</w:t>
      </w:r>
      <w:r w:rsidRPr="001B7F12">
        <w:rPr>
          <w:rStyle w:val="default"/>
          <w:rFonts w:cs="FrankRuehl"/>
          <w:rtl/>
        </w:rPr>
        <w:t>1971, רשאי הנכה לבקש קביעת אחוז נכות מחדש אם הביא אישור מרופא כי מצבו הרפואי הוחמר; הוראות תקנות אלה יחולו, בשינויים המחוייבים, לרבות תשלום למוסד בשל הוצאותיו כפי שיקבע.</w:t>
      </w:r>
    </w:p>
    <w:p w14:paraId="33ABC134" w14:textId="77777777" w:rsidR="004D51A3" w:rsidRPr="001B7F12" w:rsidRDefault="004D51A3">
      <w:pPr>
        <w:pStyle w:val="P00"/>
        <w:spacing w:before="72"/>
        <w:ind w:left="0" w:right="1134"/>
        <w:rPr>
          <w:rStyle w:val="default"/>
          <w:rFonts w:cs="FrankRuehl"/>
          <w:rtl/>
        </w:rPr>
      </w:pPr>
      <w:bookmarkStart w:id="26" w:name="Seif11"/>
      <w:bookmarkEnd w:id="26"/>
      <w:r w:rsidRPr="003638B9">
        <w:rPr>
          <w:rFonts w:cs="Miriam"/>
          <w:lang w:val="he-IL"/>
        </w:rPr>
        <w:pict w14:anchorId="1C1CE9CB">
          <v:rect id="_x0000_s1052" style="position:absolute;left:0;text-align:left;margin-left:464.5pt;margin-top:8.05pt;width:75.05pt;height:23.2pt;z-index:251654144" o:allowincell="f" filled="f" stroked="f" strokecolor="lime" strokeweight=".25pt">
            <v:textbox style="mso-next-textbox:#_x0000_s1052" inset="0,0,0,0">
              <w:txbxContent>
                <w:p w14:paraId="59CD6B39" w14:textId="77777777" w:rsidR="004D51A3" w:rsidRDefault="004D51A3" w:rsidP="003638B9">
                  <w:pPr>
                    <w:spacing w:line="160" w:lineRule="exact"/>
                    <w:rPr>
                      <w:rFonts w:cs="Miriam"/>
                      <w:noProof/>
                      <w:sz w:val="18"/>
                      <w:szCs w:val="18"/>
                      <w:rtl/>
                    </w:rPr>
                  </w:pPr>
                  <w:r>
                    <w:rPr>
                      <w:rFonts w:cs="Miriam"/>
                      <w:sz w:val="18"/>
                      <w:szCs w:val="18"/>
                      <w:rtl/>
                    </w:rPr>
                    <w:t>די</w:t>
                  </w:r>
                  <w:r>
                    <w:rPr>
                      <w:rFonts w:cs="Miriam" w:hint="cs"/>
                      <w:sz w:val="18"/>
                      <w:szCs w:val="18"/>
                      <w:rtl/>
                    </w:rPr>
                    <w:t>ון מחדש לפי</w:t>
                  </w:r>
                  <w:r w:rsidR="003638B9">
                    <w:rPr>
                      <w:rFonts w:cs="Miriam" w:hint="cs"/>
                      <w:sz w:val="18"/>
                      <w:szCs w:val="18"/>
                      <w:rtl/>
                    </w:rPr>
                    <w:t xml:space="preserve"> </w:t>
                  </w:r>
                  <w:r>
                    <w:rPr>
                      <w:rFonts w:cs="Miriam"/>
                      <w:sz w:val="18"/>
                      <w:szCs w:val="18"/>
                      <w:rtl/>
                    </w:rPr>
                    <w:t>בק</w:t>
                  </w:r>
                  <w:r>
                    <w:rPr>
                      <w:rFonts w:cs="Miriam" w:hint="cs"/>
                      <w:sz w:val="18"/>
                      <w:szCs w:val="18"/>
                      <w:rtl/>
                    </w:rPr>
                    <w:t>שת הנציב</w:t>
                  </w:r>
                </w:p>
              </w:txbxContent>
            </v:textbox>
            <w10:anchorlock/>
          </v:rect>
        </w:pict>
      </w:r>
      <w:r w:rsidRPr="003638B9">
        <w:rPr>
          <w:rStyle w:val="big-number"/>
          <w:rFonts w:cs="Miriam"/>
          <w:rtl/>
        </w:rPr>
        <w:t>26</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עברה שנה מאז נקבע לאחרונה אחוז נכותו של נכה, רשאי הנציב לבקש קביעה מחדש של אחוז הנכות והוראות תקנות אלה יחולו, בשינויים המחוייבים לפי הענין.</w:t>
      </w:r>
    </w:p>
    <w:p w14:paraId="5F1FC879" w14:textId="77777777" w:rsidR="004D51A3" w:rsidRPr="001B7F12" w:rsidRDefault="004D51A3">
      <w:pPr>
        <w:pStyle w:val="P00"/>
        <w:spacing w:before="72"/>
        <w:ind w:left="0" w:right="1134"/>
        <w:rPr>
          <w:rStyle w:val="default"/>
          <w:rFonts w:cs="FrankRuehl"/>
          <w:rtl/>
        </w:rPr>
      </w:pPr>
      <w:bookmarkStart w:id="27" w:name="Seif12"/>
      <w:bookmarkEnd w:id="27"/>
      <w:r w:rsidRPr="003638B9">
        <w:rPr>
          <w:rFonts w:cs="Miriam"/>
          <w:lang w:val="he-IL"/>
        </w:rPr>
        <w:pict w14:anchorId="1C41C712">
          <v:rect id="_x0000_s1053" style="position:absolute;left:0;text-align:left;margin-left:464.5pt;margin-top:8.05pt;width:75.05pt;height:26.6pt;z-index:251655168" o:allowincell="f" filled="f" stroked="f" strokecolor="lime" strokeweight=".25pt">
            <v:textbox style="mso-next-textbox:#_x0000_s1053" inset="0,0,0,0">
              <w:txbxContent>
                <w:p w14:paraId="226B10F8" w14:textId="77777777" w:rsidR="004D51A3" w:rsidRDefault="004D51A3" w:rsidP="003638B9">
                  <w:pPr>
                    <w:spacing w:line="160" w:lineRule="exact"/>
                    <w:rPr>
                      <w:rFonts w:cs="Miriam"/>
                      <w:noProof/>
                      <w:sz w:val="18"/>
                      <w:szCs w:val="18"/>
                      <w:rtl/>
                    </w:rPr>
                  </w:pPr>
                  <w:r>
                    <w:rPr>
                      <w:rFonts w:cs="Miriam"/>
                      <w:sz w:val="18"/>
                      <w:szCs w:val="18"/>
                      <w:rtl/>
                    </w:rPr>
                    <w:t>אי</w:t>
                  </w:r>
                  <w:r>
                    <w:rPr>
                      <w:rFonts w:cs="Miriam" w:hint="cs"/>
                      <w:sz w:val="18"/>
                      <w:szCs w:val="18"/>
                      <w:rtl/>
                    </w:rPr>
                    <w:t xml:space="preserve"> התייצבות</w:t>
                  </w:r>
                  <w:r w:rsidR="003638B9">
                    <w:rPr>
                      <w:rFonts w:cs="Miriam" w:hint="cs"/>
                      <w:sz w:val="18"/>
                      <w:szCs w:val="18"/>
                      <w:rtl/>
                    </w:rPr>
                    <w:t xml:space="preserve"> </w:t>
                  </w:r>
                  <w:r>
                    <w:rPr>
                      <w:rFonts w:cs="Miriam"/>
                      <w:sz w:val="18"/>
                      <w:szCs w:val="18"/>
                      <w:rtl/>
                    </w:rPr>
                    <w:t>ל</w:t>
                  </w:r>
                  <w:r>
                    <w:rPr>
                      <w:rFonts w:cs="Miriam" w:hint="cs"/>
                      <w:sz w:val="18"/>
                      <w:szCs w:val="18"/>
                      <w:rtl/>
                    </w:rPr>
                    <w:t>ב</w:t>
                  </w:r>
                  <w:r>
                    <w:rPr>
                      <w:rFonts w:cs="Miriam"/>
                      <w:sz w:val="18"/>
                      <w:szCs w:val="18"/>
                      <w:rtl/>
                    </w:rPr>
                    <w:t>ד</w:t>
                  </w:r>
                  <w:r>
                    <w:rPr>
                      <w:rFonts w:cs="Miriam" w:hint="cs"/>
                      <w:sz w:val="18"/>
                      <w:szCs w:val="18"/>
                      <w:rtl/>
                    </w:rPr>
                    <w:t>יקה מחדש</w:t>
                  </w:r>
                </w:p>
              </w:txbxContent>
            </v:textbox>
            <w10:anchorlock/>
          </v:rect>
        </w:pict>
      </w:r>
      <w:r w:rsidRPr="003638B9">
        <w:rPr>
          <w:rStyle w:val="big-number"/>
          <w:rFonts w:cs="Miriam"/>
          <w:rtl/>
        </w:rPr>
        <w:t>27</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לא התייצב הנכה לבדיקה מחדש בהתאם לתקנה 26 ולא נתן סיבה סבירה לאי-התייצבותו יחולו עליו הוראות תקנה 8.</w:t>
      </w:r>
    </w:p>
    <w:p w14:paraId="615AA8F7" w14:textId="77777777" w:rsidR="004D51A3" w:rsidRPr="001B7F12" w:rsidRDefault="004D51A3">
      <w:pPr>
        <w:pStyle w:val="P00"/>
        <w:spacing w:before="72"/>
        <w:ind w:left="0" w:right="1134"/>
        <w:rPr>
          <w:rStyle w:val="default"/>
          <w:rFonts w:cs="FrankRuehl"/>
          <w:rtl/>
        </w:rPr>
      </w:pPr>
      <w:bookmarkStart w:id="28" w:name="Seif13"/>
      <w:bookmarkEnd w:id="28"/>
      <w:r w:rsidRPr="003638B9">
        <w:rPr>
          <w:rFonts w:cs="Miriam"/>
          <w:lang w:val="he-IL"/>
        </w:rPr>
        <w:pict w14:anchorId="227ECB77">
          <v:rect id="_x0000_s1054" style="position:absolute;left:0;text-align:left;margin-left:464.5pt;margin-top:8.05pt;width:75.05pt;height:12pt;z-index:251656192" o:allowincell="f" filled="f" stroked="f" strokecolor="lime" strokeweight=".25pt">
            <v:textbox style="mso-next-textbox:#_x0000_s1054" inset="0,0,0,0">
              <w:txbxContent>
                <w:p w14:paraId="63D96C9D" w14:textId="77777777" w:rsidR="004D51A3" w:rsidRDefault="004D51A3">
                  <w:pPr>
                    <w:spacing w:line="160" w:lineRule="exact"/>
                    <w:rPr>
                      <w:rFonts w:cs="Miriam"/>
                      <w:noProof/>
                      <w:sz w:val="18"/>
                      <w:szCs w:val="18"/>
                      <w:rtl/>
                    </w:rPr>
                  </w:pPr>
                  <w:r>
                    <w:rPr>
                      <w:rFonts w:cs="Miriam"/>
                      <w:sz w:val="18"/>
                      <w:szCs w:val="18"/>
                      <w:rtl/>
                    </w:rPr>
                    <w:t>סו</w:t>
                  </w:r>
                  <w:r>
                    <w:rPr>
                      <w:rFonts w:cs="Miriam" w:hint="cs"/>
                      <w:sz w:val="18"/>
                      <w:szCs w:val="18"/>
                      <w:rtl/>
                    </w:rPr>
                    <w:t>דיות הדיונים</w:t>
                  </w:r>
                </w:p>
              </w:txbxContent>
            </v:textbox>
            <w10:anchorlock/>
          </v:rect>
        </w:pict>
      </w:r>
      <w:r w:rsidRPr="003638B9">
        <w:rPr>
          <w:rStyle w:val="big-number"/>
          <w:rFonts w:cs="Miriam"/>
          <w:rtl/>
        </w:rPr>
        <w:t>28</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המסמכים הרפואיים אשר בידי ועדה או בידי ועדה לעררים הם סודיים אך מותר להביאם לידיעת אדם אשר לעזרתו או לשירותו נזקקות ועדות כאמור בקשר לקביעת אחוז נכות וכן לידיעת הנציב.</w:t>
      </w:r>
    </w:p>
    <w:p w14:paraId="6E10F1DB" w14:textId="77777777" w:rsidR="004D51A3" w:rsidRPr="001B7F12" w:rsidRDefault="004D51A3" w:rsidP="003638B9">
      <w:pPr>
        <w:pStyle w:val="P00"/>
        <w:spacing w:before="72"/>
        <w:ind w:left="0" w:right="1134"/>
        <w:rPr>
          <w:rStyle w:val="default"/>
          <w:rFonts w:cs="FrankRuehl"/>
          <w:rtl/>
        </w:rPr>
      </w:pPr>
      <w:bookmarkStart w:id="29" w:name="Seif14"/>
      <w:bookmarkEnd w:id="29"/>
      <w:r w:rsidRPr="003638B9">
        <w:rPr>
          <w:rFonts w:cs="Miriam"/>
          <w:lang w:val="he-IL"/>
        </w:rPr>
        <w:pict w14:anchorId="75506A78">
          <v:rect id="_x0000_s1055" style="position:absolute;left:0;text-align:left;margin-left:464.5pt;margin-top:8.05pt;width:75.05pt;height:11.4pt;z-index:251657216" o:allowincell="f" filled="f" stroked="f" strokecolor="lime" strokeweight=".25pt">
            <v:textbox style="mso-next-textbox:#_x0000_s1055" inset="0,0,0,0">
              <w:txbxContent>
                <w:p w14:paraId="6058897F" w14:textId="77777777" w:rsidR="004D51A3" w:rsidRDefault="004D51A3">
                  <w:pPr>
                    <w:spacing w:line="160" w:lineRule="exac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sidRPr="003638B9">
        <w:rPr>
          <w:rStyle w:val="big-number"/>
          <w:rFonts w:cs="Miriam"/>
          <w:rtl/>
        </w:rPr>
        <w:t>29</w:t>
      </w:r>
      <w:r w:rsidRPr="003638B9">
        <w:rPr>
          <w:rStyle w:val="big-number"/>
          <w:rFonts w:cs="FrankRuehl"/>
          <w:sz w:val="26"/>
          <w:szCs w:val="26"/>
          <w:rtl/>
        </w:rPr>
        <w:t>.</w:t>
      </w:r>
      <w:r w:rsidRPr="003638B9">
        <w:rPr>
          <w:rStyle w:val="big-number"/>
          <w:rFonts w:cs="FrankRuehl"/>
          <w:sz w:val="26"/>
          <w:szCs w:val="26"/>
          <w:rtl/>
        </w:rPr>
        <w:tab/>
      </w:r>
      <w:r w:rsidRPr="001B7F12">
        <w:rPr>
          <w:rStyle w:val="default"/>
          <w:rFonts w:cs="FrankRuehl"/>
          <w:rtl/>
        </w:rPr>
        <w:t>תקנות מס הכנסה (קביעת אחוז נכות), תשל"א</w:t>
      </w:r>
      <w:r w:rsidR="003638B9">
        <w:rPr>
          <w:rStyle w:val="default"/>
          <w:rFonts w:cs="FrankRuehl" w:hint="cs"/>
          <w:rtl/>
        </w:rPr>
        <w:t>-</w:t>
      </w:r>
      <w:r w:rsidRPr="001B7F12">
        <w:rPr>
          <w:rStyle w:val="default"/>
          <w:rFonts w:cs="FrankRuehl"/>
          <w:rtl/>
        </w:rPr>
        <w:t xml:space="preserve">1971 </w:t>
      </w:r>
      <w:r w:rsidR="00F8397A">
        <w:rPr>
          <w:rStyle w:val="default"/>
          <w:rFonts w:cs="FrankRuehl"/>
          <w:rtl/>
        </w:rPr>
        <w:t>–</w:t>
      </w:r>
      <w:r w:rsidRPr="001B7F12">
        <w:rPr>
          <w:rStyle w:val="default"/>
          <w:rFonts w:cs="FrankRuehl"/>
          <w:rtl/>
        </w:rPr>
        <w:t xml:space="preserve"> בטלות.</w:t>
      </w:r>
    </w:p>
    <w:p w14:paraId="1B1B4E81" w14:textId="77777777" w:rsidR="004D51A3" w:rsidRPr="003638B9" w:rsidRDefault="004D51A3">
      <w:pPr>
        <w:pStyle w:val="P00"/>
        <w:spacing w:before="72"/>
        <w:ind w:left="0" w:right="1134"/>
        <w:rPr>
          <w:rStyle w:val="default"/>
          <w:rFonts w:cs="FrankRuehl" w:hint="cs"/>
          <w:rtl/>
        </w:rPr>
      </w:pPr>
    </w:p>
    <w:p w14:paraId="019F6CBB" w14:textId="77777777" w:rsidR="003638B9" w:rsidRPr="003638B9" w:rsidRDefault="003638B9">
      <w:pPr>
        <w:pStyle w:val="P00"/>
        <w:spacing w:before="72"/>
        <w:ind w:left="0" w:right="1134"/>
        <w:rPr>
          <w:rStyle w:val="default"/>
          <w:rFonts w:cs="FrankRuehl" w:hint="cs"/>
          <w:rtl/>
        </w:rPr>
      </w:pPr>
    </w:p>
    <w:p w14:paraId="5C1AE872" w14:textId="77777777" w:rsidR="004D51A3" w:rsidRDefault="004D51A3" w:rsidP="00F8397A">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w:t>
      </w:r>
      <w:r>
        <w:rPr>
          <w:rFonts w:cs="FrankRuehl"/>
          <w:sz w:val="26"/>
          <w:rtl/>
        </w:rPr>
        <w:t>ו</w:t>
      </w:r>
      <w:r>
        <w:rPr>
          <w:rFonts w:cs="FrankRuehl" w:hint="cs"/>
          <w:sz w:val="26"/>
          <w:rtl/>
        </w:rPr>
        <w:t xml:space="preserve"> בחשון תש"ם (16 בנובמבר 1979)</w:t>
      </w:r>
      <w:r>
        <w:rPr>
          <w:rFonts w:cs="FrankRuehl"/>
          <w:sz w:val="26"/>
          <w:rtl/>
        </w:rPr>
        <w:tab/>
        <w:t>י</w:t>
      </w:r>
      <w:r>
        <w:rPr>
          <w:rFonts w:cs="FrankRuehl" w:hint="cs"/>
          <w:sz w:val="26"/>
          <w:rtl/>
        </w:rPr>
        <w:t>גאל הורביץ</w:t>
      </w:r>
    </w:p>
    <w:p w14:paraId="0F544532" w14:textId="77777777" w:rsidR="004D51A3" w:rsidRDefault="004D51A3" w:rsidP="00F8397A">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14:paraId="2EEF3DB2" w14:textId="77777777" w:rsidR="003638B9" w:rsidRPr="003638B9" w:rsidRDefault="003638B9" w:rsidP="003638B9">
      <w:pPr>
        <w:pStyle w:val="P00"/>
        <w:spacing w:before="72"/>
        <w:ind w:left="0" w:right="1134"/>
        <w:rPr>
          <w:rStyle w:val="default"/>
          <w:rFonts w:cs="FrankRuehl" w:hint="cs"/>
          <w:rtl/>
        </w:rPr>
      </w:pPr>
    </w:p>
    <w:p w14:paraId="2B1EA7C9" w14:textId="77777777" w:rsidR="003638B9" w:rsidRPr="003638B9" w:rsidRDefault="003638B9" w:rsidP="003638B9">
      <w:pPr>
        <w:pStyle w:val="P00"/>
        <w:spacing w:before="72"/>
        <w:ind w:left="0" w:right="1134"/>
        <w:rPr>
          <w:rStyle w:val="default"/>
          <w:rFonts w:cs="FrankRuehl"/>
          <w:rtl/>
        </w:rPr>
      </w:pPr>
    </w:p>
    <w:p w14:paraId="5217A6DB" w14:textId="77777777" w:rsidR="004D51A3" w:rsidRPr="003638B9" w:rsidRDefault="004D51A3" w:rsidP="003638B9">
      <w:pPr>
        <w:pStyle w:val="P00"/>
        <w:spacing w:before="72"/>
        <w:ind w:left="0" w:right="1134"/>
        <w:rPr>
          <w:rStyle w:val="default"/>
          <w:rFonts w:cs="FrankRuehl"/>
          <w:rtl/>
        </w:rPr>
      </w:pPr>
      <w:bookmarkStart w:id="30" w:name="LawPartEnd"/>
    </w:p>
    <w:bookmarkEnd w:id="30"/>
    <w:p w14:paraId="7068FB6B" w14:textId="77777777" w:rsidR="004D51A3" w:rsidRPr="003638B9" w:rsidRDefault="004D51A3" w:rsidP="003638B9">
      <w:pPr>
        <w:pStyle w:val="P00"/>
        <w:spacing w:before="72"/>
        <w:ind w:left="0" w:right="1134"/>
        <w:rPr>
          <w:rStyle w:val="default"/>
          <w:rFonts w:cs="FrankRuehl"/>
          <w:rtl/>
        </w:rPr>
      </w:pPr>
    </w:p>
    <w:sectPr w:rsidR="004D51A3" w:rsidRPr="003638B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F2890" w14:textId="77777777" w:rsidR="0009279C" w:rsidRDefault="0009279C">
      <w:r>
        <w:separator/>
      </w:r>
    </w:p>
  </w:endnote>
  <w:endnote w:type="continuationSeparator" w:id="0">
    <w:p w14:paraId="345CDC63" w14:textId="77777777" w:rsidR="0009279C" w:rsidRDefault="00092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5730" w14:textId="77777777" w:rsidR="004D51A3" w:rsidRDefault="004D51A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FCAA227" w14:textId="77777777" w:rsidR="004D51A3" w:rsidRDefault="004D51A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BBBAA93" w14:textId="77777777" w:rsidR="004D51A3" w:rsidRDefault="004D51A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3C55">
      <w:rPr>
        <w:rFonts w:cs="TopType Jerushalmi"/>
        <w:noProof/>
        <w:color w:val="000000"/>
        <w:sz w:val="14"/>
        <w:szCs w:val="14"/>
      </w:rPr>
      <w:t>D:\Yael\hakika\Revadim\255_064.doc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9B7FC" w14:textId="77777777" w:rsidR="004D51A3" w:rsidRDefault="004D51A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8397A">
      <w:rPr>
        <w:rFonts w:hAnsi="FrankRuehl" w:cs="FrankRuehl"/>
        <w:noProof/>
        <w:sz w:val="24"/>
        <w:szCs w:val="24"/>
        <w:rtl/>
      </w:rPr>
      <w:t>2</w:t>
    </w:r>
    <w:r>
      <w:rPr>
        <w:rFonts w:hAnsi="FrankRuehl" w:cs="FrankRuehl"/>
        <w:sz w:val="24"/>
        <w:szCs w:val="24"/>
        <w:rtl/>
      </w:rPr>
      <w:fldChar w:fldCharType="end"/>
    </w:r>
  </w:p>
  <w:p w14:paraId="05841A1D" w14:textId="77777777" w:rsidR="004D51A3" w:rsidRDefault="004D51A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7EA7CAA" w14:textId="77777777" w:rsidR="004D51A3" w:rsidRDefault="004D51A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3C55">
      <w:rPr>
        <w:rFonts w:cs="TopType Jerushalmi"/>
        <w:noProof/>
        <w:color w:val="000000"/>
        <w:sz w:val="14"/>
        <w:szCs w:val="14"/>
      </w:rPr>
      <w:t>D:\Yael\hakika\Revadim\255_064.doc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1806C" w14:textId="77777777" w:rsidR="0009279C" w:rsidRDefault="0009279C" w:rsidP="005B3C55">
      <w:pPr>
        <w:spacing w:before="60"/>
        <w:ind w:right="1134"/>
      </w:pPr>
      <w:r>
        <w:separator/>
      </w:r>
    </w:p>
  </w:footnote>
  <w:footnote w:type="continuationSeparator" w:id="0">
    <w:p w14:paraId="694A27F5" w14:textId="77777777" w:rsidR="0009279C" w:rsidRDefault="0009279C">
      <w:r>
        <w:continuationSeparator/>
      </w:r>
    </w:p>
  </w:footnote>
  <w:footnote w:id="1">
    <w:p w14:paraId="654F6602" w14:textId="77777777" w:rsidR="005B3C55" w:rsidRPr="001B7F12" w:rsidRDefault="005B3C55" w:rsidP="005B3C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B3C55">
        <w:rPr>
          <w:rFonts w:cs="FrankRuehl"/>
          <w:rtl/>
        </w:rPr>
        <w:t xml:space="preserve">* </w:t>
      </w:r>
      <w:r w:rsidRPr="001B7F12">
        <w:rPr>
          <w:rFonts w:cs="FrankRuehl"/>
          <w:rtl/>
        </w:rPr>
        <w:t>פו</w:t>
      </w:r>
      <w:r w:rsidRPr="001B7F12">
        <w:rPr>
          <w:rFonts w:cs="FrankRuehl" w:hint="cs"/>
          <w:rtl/>
        </w:rPr>
        <w:t xml:space="preserve">רסמו </w:t>
      </w:r>
      <w:hyperlink r:id="rId1" w:history="1">
        <w:r w:rsidRPr="001B7F12">
          <w:rPr>
            <w:rStyle w:val="Hyperlink"/>
            <w:rFonts w:cs="FrankRuehl" w:hint="cs"/>
            <w:rtl/>
          </w:rPr>
          <w:t>ק"ת תש"ם מס' 4060</w:t>
        </w:r>
      </w:hyperlink>
      <w:r w:rsidRPr="001B7F12">
        <w:rPr>
          <w:rFonts w:cs="FrankRuehl" w:hint="cs"/>
          <w:rtl/>
        </w:rPr>
        <w:t xml:space="preserve"> מיום 2.12.1979 עמ' 470.</w:t>
      </w:r>
    </w:p>
    <w:p w14:paraId="32093F82" w14:textId="77777777" w:rsidR="005B3C55" w:rsidRPr="005B3C55" w:rsidRDefault="005B3C55" w:rsidP="005B3C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1B7F12">
        <w:rPr>
          <w:rFonts w:cs="FrankRuehl" w:hint="cs"/>
          <w:rtl/>
        </w:rPr>
        <w:t>ת</w:t>
      </w:r>
      <w:r w:rsidRPr="001B7F12">
        <w:rPr>
          <w:rFonts w:cs="FrankRuehl"/>
          <w:rtl/>
        </w:rPr>
        <w:t>ו</w:t>
      </w:r>
      <w:r w:rsidRPr="001B7F12">
        <w:rPr>
          <w:rFonts w:cs="FrankRuehl" w:hint="cs"/>
          <w:rtl/>
        </w:rPr>
        <w:t xml:space="preserve">קנו </w:t>
      </w:r>
      <w:hyperlink r:id="rId2" w:history="1">
        <w:r w:rsidRPr="001B7F12">
          <w:rPr>
            <w:rStyle w:val="Hyperlink"/>
            <w:rFonts w:cs="FrankRuehl" w:hint="cs"/>
            <w:rtl/>
          </w:rPr>
          <w:t>ק"ת תשס"א</w:t>
        </w:r>
        <w:r w:rsidRPr="001B7F12">
          <w:rPr>
            <w:rStyle w:val="Hyperlink"/>
            <w:rFonts w:cs="FrankRuehl" w:hint="cs"/>
            <w:rtl/>
          </w:rPr>
          <w:t xml:space="preserve"> מס' 6074</w:t>
        </w:r>
      </w:hyperlink>
      <w:r w:rsidRPr="001B7F12">
        <w:rPr>
          <w:rFonts w:cs="FrankRuehl" w:hint="cs"/>
          <w:rtl/>
        </w:rPr>
        <w:t xml:space="preserve"> מיום 4.1.2001 עמ' 232 </w:t>
      </w:r>
      <w:r>
        <w:rPr>
          <w:rFonts w:cs="FrankRuehl"/>
          <w:rtl/>
        </w:rPr>
        <w:t>–</w:t>
      </w:r>
      <w:r w:rsidRPr="001B7F12">
        <w:rPr>
          <w:rFonts w:cs="FrankRuehl"/>
          <w:rtl/>
        </w:rPr>
        <w:t xml:space="preserve"> </w:t>
      </w:r>
      <w:r w:rsidRPr="001B7F12">
        <w:rPr>
          <w:rFonts w:cs="FrankRuehl" w:hint="cs"/>
          <w:rtl/>
        </w:rPr>
        <w:t>תק' תשס"א</w:t>
      </w:r>
      <w:r>
        <w:rPr>
          <w:rFonts w:cs="FrankRuehl" w:hint="cs"/>
          <w:rtl/>
        </w:rPr>
        <w:t>-</w:t>
      </w:r>
      <w:r w:rsidRPr="001B7F12">
        <w:rPr>
          <w:rFonts w:cs="FrankRuehl"/>
          <w:rtl/>
        </w:rPr>
        <w:t xml:space="preserve">2001; </w:t>
      </w:r>
      <w:r>
        <w:rPr>
          <w:rFonts w:cs="FrankRuehl" w:hint="cs"/>
          <w:rtl/>
        </w:rPr>
        <w:t>ר' תקנה 2 לענין תחולה</w:t>
      </w:r>
      <w:r w:rsidRPr="001B7F12">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863B" w14:textId="77777777" w:rsidR="004D51A3" w:rsidRDefault="004D51A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(קביעת אחוז נכות), תש"ם–1979</w:t>
    </w:r>
  </w:p>
  <w:p w14:paraId="3F71754D" w14:textId="77777777" w:rsidR="004D51A3" w:rsidRDefault="004D51A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ADEC14" w14:textId="77777777" w:rsidR="004D51A3" w:rsidRDefault="004D51A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E3A8" w14:textId="77777777" w:rsidR="004D51A3" w:rsidRDefault="004D51A3" w:rsidP="005B3C5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(קביעת אחוז נכות), תש"ם</w:t>
    </w:r>
    <w:r w:rsidR="005B3C55">
      <w:rPr>
        <w:rFonts w:hAnsi="FrankRuehl" w:cs="FrankRuehl" w:hint="cs"/>
        <w:color w:val="000000"/>
        <w:sz w:val="28"/>
        <w:szCs w:val="28"/>
        <w:rtl/>
      </w:rPr>
      <w:t>-</w:t>
    </w:r>
    <w:r>
      <w:rPr>
        <w:rFonts w:hAnsi="FrankRuehl" w:cs="FrankRuehl"/>
        <w:color w:val="000000"/>
        <w:sz w:val="28"/>
        <w:szCs w:val="28"/>
        <w:rtl/>
      </w:rPr>
      <w:t>1979</w:t>
    </w:r>
  </w:p>
  <w:p w14:paraId="41B27747" w14:textId="77777777" w:rsidR="004D51A3" w:rsidRDefault="004D51A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696B110" w14:textId="77777777" w:rsidR="004D51A3" w:rsidRDefault="004D51A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51807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7F12"/>
    <w:rsid w:val="0009279C"/>
    <w:rsid w:val="001B3950"/>
    <w:rsid w:val="001B7F12"/>
    <w:rsid w:val="003638B9"/>
    <w:rsid w:val="004D51A3"/>
    <w:rsid w:val="005B3C55"/>
    <w:rsid w:val="0073244B"/>
    <w:rsid w:val="00BD7786"/>
    <w:rsid w:val="00C33673"/>
    <w:rsid w:val="00E160CB"/>
    <w:rsid w:val="00E661AE"/>
    <w:rsid w:val="00F839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6906F2A"/>
  <w15:chartTrackingRefBased/>
  <w15:docId w15:val="{C385D867-AB34-456C-82FD-B1ECCD7E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character" w:styleId="FollowedHyperlink">
    <w:name w:val="FollowedHyperlink"/>
    <w:basedOn w:val="a0"/>
    <w:rsid w:val="00E661AE"/>
    <w:rPr>
      <w:color w:val="800080"/>
      <w:u w:val="single"/>
    </w:rPr>
  </w:style>
  <w:style w:type="paragraph" w:styleId="a5">
    <w:name w:val="footnote text"/>
    <w:basedOn w:val="a"/>
    <w:semiHidden/>
    <w:rsid w:val="005B3C55"/>
    <w:rPr>
      <w:sz w:val="20"/>
      <w:szCs w:val="20"/>
    </w:rPr>
  </w:style>
  <w:style w:type="character" w:styleId="a6">
    <w:name w:val="footnote reference"/>
    <w:basedOn w:val="a0"/>
    <w:semiHidden/>
    <w:rsid w:val="005B3C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06/TAK-607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074.pdf" TargetMode="External"/><Relationship Id="rId1" Type="http://schemas.openxmlformats.org/officeDocument/2006/relationships/hyperlink" Target="http://www.nevo.co.il/Law_word/law06/TAK-40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10032</CharactersWithSpaces>
  <SharedDoc>false</SharedDoc>
  <HLinks>
    <vt:vector size="192" baseType="variant">
      <vt:variant>
        <vt:i4>7864332</vt:i4>
      </vt:variant>
      <vt:variant>
        <vt:i4>174</vt:i4>
      </vt:variant>
      <vt:variant>
        <vt:i4>0</vt:i4>
      </vt:variant>
      <vt:variant>
        <vt:i4>5</vt:i4>
      </vt:variant>
      <vt:variant>
        <vt:lpwstr>http://www.nevo.co.il/Law_word/law06/TAK-6074.pdf</vt:lpwstr>
      </vt:variant>
      <vt:variant>
        <vt:lpwstr/>
      </vt:variant>
      <vt:variant>
        <vt:i4>3604523</vt:i4>
      </vt:variant>
      <vt:variant>
        <vt:i4>171</vt:i4>
      </vt:variant>
      <vt:variant>
        <vt:i4>0</vt:i4>
      </vt:variant>
      <vt:variant>
        <vt:i4>5</vt:i4>
      </vt:variant>
      <vt:variant>
        <vt:lpwstr/>
      </vt:variant>
      <vt:variant>
        <vt:lpwstr>Seif14</vt:lpwstr>
      </vt:variant>
      <vt:variant>
        <vt:i4>3145771</vt:i4>
      </vt:variant>
      <vt:variant>
        <vt:i4>165</vt:i4>
      </vt:variant>
      <vt:variant>
        <vt:i4>0</vt:i4>
      </vt:variant>
      <vt:variant>
        <vt:i4>5</vt:i4>
      </vt:variant>
      <vt:variant>
        <vt:lpwstr/>
      </vt:variant>
      <vt:variant>
        <vt:lpwstr>Seif13</vt:lpwstr>
      </vt:variant>
      <vt:variant>
        <vt:i4>3211307</vt:i4>
      </vt:variant>
      <vt:variant>
        <vt:i4>159</vt:i4>
      </vt:variant>
      <vt:variant>
        <vt:i4>0</vt:i4>
      </vt:variant>
      <vt:variant>
        <vt:i4>5</vt:i4>
      </vt:variant>
      <vt:variant>
        <vt:lpwstr/>
      </vt:variant>
      <vt:variant>
        <vt:lpwstr>Seif12</vt:lpwstr>
      </vt:variant>
      <vt:variant>
        <vt:i4>3276843</vt:i4>
      </vt:variant>
      <vt:variant>
        <vt:i4>153</vt:i4>
      </vt:variant>
      <vt:variant>
        <vt:i4>0</vt:i4>
      </vt:variant>
      <vt:variant>
        <vt:i4>5</vt:i4>
      </vt:variant>
      <vt:variant>
        <vt:lpwstr/>
      </vt:variant>
      <vt:variant>
        <vt:lpwstr>Seif11</vt:lpwstr>
      </vt:variant>
      <vt:variant>
        <vt:i4>3342379</vt:i4>
      </vt:variant>
      <vt:variant>
        <vt:i4>147</vt:i4>
      </vt:variant>
      <vt:variant>
        <vt:i4>0</vt:i4>
      </vt:variant>
      <vt:variant>
        <vt:i4>5</vt:i4>
      </vt:variant>
      <vt:variant>
        <vt:lpwstr/>
      </vt:variant>
      <vt:variant>
        <vt:lpwstr>Seif10</vt:lpwstr>
      </vt:variant>
      <vt:variant>
        <vt:i4>196634</vt:i4>
      </vt:variant>
      <vt:variant>
        <vt:i4>141</vt:i4>
      </vt:variant>
      <vt:variant>
        <vt:i4>0</vt:i4>
      </vt:variant>
      <vt:variant>
        <vt:i4>5</vt:i4>
      </vt:variant>
      <vt:variant>
        <vt:lpwstr/>
      </vt:variant>
      <vt:variant>
        <vt:lpwstr>Seif9</vt:lpwstr>
      </vt:variant>
      <vt:variant>
        <vt:i4>196634</vt:i4>
      </vt:variant>
      <vt:variant>
        <vt:i4>135</vt:i4>
      </vt:variant>
      <vt:variant>
        <vt:i4>0</vt:i4>
      </vt:variant>
      <vt:variant>
        <vt:i4>5</vt:i4>
      </vt:variant>
      <vt:variant>
        <vt:lpwstr/>
      </vt:variant>
      <vt:variant>
        <vt:lpwstr>Seif8</vt:lpwstr>
      </vt:variant>
      <vt:variant>
        <vt:i4>196634</vt:i4>
      </vt:variant>
      <vt:variant>
        <vt:i4>129</vt:i4>
      </vt:variant>
      <vt:variant>
        <vt:i4>0</vt:i4>
      </vt:variant>
      <vt:variant>
        <vt:i4>5</vt:i4>
      </vt:variant>
      <vt:variant>
        <vt:lpwstr/>
      </vt:variant>
      <vt:variant>
        <vt:lpwstr>Seif7</vt:lpwstr>
      </vt:variant>
      <vt:variant>
        <vt:i4>196634</vt:i4>
      </vt:variant>
      <vt:variant>
        <vt:i4>123</vt:i4>
      </vt:variant>
      <vt:variant>
        <vt:i4>0</vt:i4>
      </vt:variant>
      <vt:variant>
        <vt:i4>5</vt:i4>
      </vt:variant>
      <vt:variant>
        <vt:lpwstr/>
      </vt:variant>
      <vt:variant>
        <vt:lpwstr>Seif6</vt:lpwstr>
      </vt:variant>
      <vt:variant>
        <vt:i4>196634</vt:i4>
      </vt:variant>
      <vt:variant>
        <vt:i4>117</vt:i4>
      </vt:variant>
      <vt:variant>
        <vt:i4>0</vt:i4>
      </vt:variant>
      <vt:variant>
        <vt:i4>5</vt:i4>
      </vt:variant>
      <vt:variant>
        <vt:lpwstr/>
      </vt:variant>
      <vt:variant>
        <vt:lpwstr>Seif5</vt:lpwstr>
      </vt:variant>
      <vt:variant>
        <vt:i4>196634</vt:i4>
      </vt:variant>
      <vt:variant>
        <vt:i4>111</vt:i4>
      </vt:variant>
      <vt:variant>
        <vt:i4>0</vt:i4>
      </vt:variant>
      <vt:variant>
        <vt:i4>5</vt:i4>
      </vt:variant>
      <vt:variant>
        <vt:lpwstr/>
      </vt:variant>
      <vt:variant>
        <vt:lpwstr>Seif4</vt:lpwstr>
      </vt:variant>
      <vt:variant>
        <vt:i4>196634</vt:i4>
      </vt:variant>
      <vt:variant>
        <vt:i4>105</vt:i4>
      </vt:variant>
      <vt:variant>
        <vt:i4>0</vt:i4>
      </vt:variant>
      <vt:variant>
        <vt:i4>5</vt:i4>
      </vt:variant>
      <vt:variant>
        <vt:lpwstr/>
      </vt:variant>
      <vt:variant>
        <vt:lpwstr>Seif3</vt:lpwstr>
      </vt:variant>
      <vt:variant>
        <vt:i4>196634</vt:i4>
      </vt:variant>
      <vt:variant>
        <vt:i4>99</vt:i4>
      </vt:variant>
      <vt:variant>
        <vt:i4>0</vt:i4>
      </vt:variant>
      <vt:variant>
        <vt:i4>5</vt:i4>
      </vt:variant>
      <vt:variant>
        <vt:lpwstr/>
      </vt:variant>
      <vt:variant>
        <vt:lpwstr>Seif2</vt:lpwstr>
      </vt:variant>
      <vt:variant>
        <vt:i4>196634</vt:i4>
      </vt:variant>
      <vt:variant>
        <vt:i4>93</vt:i4>
      </vt:variant>
      <vt:variant>
        <vt:i4>0</vt:i4>
      </vt:variant>
      <vt:variant>
        <vt:i4>5</vt:i4>
      </vt:variant>
      <vt:variant>
        <vt:lpwstr/>
      </vt:variant>
      <vt:variant>
        <vt:lpwstr>Seif1</vt:lpwstr>
      </vt:variant>
      <vt:variant>
        <vt:i4>196634</vt:i4>
      </vt:variant>
      <vt:variant>
        <vt:i4>87</vt:i4>
      </vt:variant>
      <vt:variant>
        <vt:i4>0</vt:i4>
      </vt:variant>
      <vt:variant>
        <vt:i4>5</vt:i4>
      </vt:variant>
      <vt:variant>
        <vt:lpwstr/>
      </vt:variant>
      <vt:variant>
        <vt:lpwstr>Seif0</vt:lpwstr>
      </vt:variant>
      <vt:variant>
        <vt:i4>3866664</vt:i4>
      </vt:variant>
      <vt:variant>
        <vt:i4>81</vt:i4>
      </vt:variant>
      <vt:variant>
        <vt:i4>0</vt:i4>
      </vt:variant>
      <vt:variant>
        <vt:i4>5</vt:i4>
      </vt:variant>
      <vt:variant>
        <vt:lpwstr/>
      </vt:variant>
      <vt:variant>
        <vt:lpwstr>Seif28</vt:lpwstr>
      </vt:variant>
      <vt:variant>
        <vt:i4>3407912</vt:i4>
      </vt:variant>
      <vt:variant>
        <vt:i4>75</vt:i4>
      </vt:variant>
      <vt:variant>
        <vt:i4>0</vt:i4>
      </vt:variant>
      <vt:variant>
        <vt:i4>5</vt:i4>
      </vt:variant>
      <vt:variant>
        <vt:lpwstr/>
      </vt:variant>
      <vt:variant>
        <vt:lpwstr>Seif27</vt:lpwstr>
      </vt:variant>
      <vt:variant>
        <vt:i4>3473448</vt:i4>
      </vt:variant>
      <vt:variant>
        <vt:i4>69</vt:i4>
      </vt:variant>
      <vt:variant>
        <vt:i4>0</vt:i4>
      </vt:variant>
      <vt:variant>
        <vt:i4>5</vt:i4>
      </vt:variant>
      <vt:variant>
        <vt:lpwstr/>
      </vt:variant>
      <vt:variant>
        <vt:lpwstr>Seif26</vt:lpwstr>
      </vt:variant>
      <vt:variant>
        <vt:i4>3538984</vt:i4>
      </vt:variant>
      <vt:variant>
        <vt:i4>63</vt:i4>
      </vt:variant>
      <vt:variant>
        <vt:i4>0</vt:i4>
      </vt:variant>
      <vt:variant>
        <vt:i4>5</vt:i4>
      </vt:variant>
      <vt:variant>
        <vt:lpwstr/>
      </vt:variant>
      <vt:variant>
        <vt:lpwstr>Seif25</vt:lpwstr>
      </vt:variant>
      <vt:variant>
        <vt:i4>3604520</vt:i4>
      </vt:variant>
      <vt:variant>
        <vt:i4>57</vt:i4>
      </vt:variant>
      <vt:variant>
        <vt:i4>0</vt:i4>
      </vt:variant>
      <vt:variant>
        <vt:i4>5</vt:i4>
      </vt:variant>
      <vt:variant>
        <vt:lpwstr/>
      </vt:variant>
      <vt:variant>
        <vt:lpwstr>Seif24</vt:lpwstr>
      </vt:variant>
      <vt:variant>
        <vt:i4>3145768</vt:i4>
      </vt:variant>
      <vt:variant>
        <vt:i4>51</vt:i4>
      </vt:variant>
      <vt:variant>
        <vt:i4>0</vt:i4>
      </vt:variant>
      <vt:variant>
        <vt:i4>5</vt:i4>
      </vt:variant>
      <vt:variant>
        <vt:lpwstr/>
      </vt:variant>
      <vt:variant>
        <vt:lpwstr>Seif23</vt:lpwstr>
      </vt:variant>
      <vt:variant>
        <vt:i4>3211304</vt:i4>
      </vt:variant>
      <vt:variant>
        <vt:i4>45</vt:i4>
      </vt:variant>
      <vt:variant>
        <vt:i4>0</vt:i4>
      </vt:variant>
      <vt:variant>
        <vt:i4>5</vt:i4>
      </vt:variant>
      <vt:variant>
        <vt:lpwstr/>
      </vt:variant>
      <vt:variant>
        <vt:lpwstr>Seif22</vt:lpwstr>
      </vt:variant>
      <vt:variant>
        <vt:i4>3276840</vt:i4>
      </vt:variant>
      <vt:variant>
        <vt:i4>39</vt:i4>
      </vt:variant>
      <vt:variant>
        <vt:i4>0</vt:i4>
      </vt:variant>
      <vt:variant>
        <vt:i4>5</vt:i4>
      </vt:variant>
      <vt:variant>
        <vt:lpwstr/>
      </vt:variant>
      <vt:variant>
        <vt:lpwstr>Seif21</vt:lpwstr>
      </vt:variant>
      <vt:variant>
        <vt:i4>3342376</vt:i4>
      </vt:variant>
      <vt:variant>
        <vt:i4>33</vt:i4>
      </vt:variant>
      <vt:variant>
        <vt:i4>0</vt:i4>
      </vt:variant>
      <vt:variant>
        <vt:i4>5</vt:i4>
      </vt:variant>
      <vt:variant>
        <vt:lpwstr/>
      </vt:variant>
      <vt:variant>
        <vt:lpwstr>Seif20</vt:lpwstr>
      </vt:variant>
      <vt:variant>
        <vt:i4>3801131</vt:i4>
      </vt:variant>
      <vt:variant>
        <vt:i4>27</vt:i4>
      </vt:variant>
      <vt:variant>
        <vt:i4>0</vt:i4>
      </vt:variant>
      <vt:variant>
        <vt:i4>5</vt:i4>
      </vt:variant>
      <vt:variant>
        <vt:lpwstr/>
      </vt:variant>
      <vt:variant>
        <vt:lpwstr>Seif19</vt:lpwstr>
      </vt:variant>
      <vt:variant>
        <vt:i4>3866667</vt:i4>
      </vt:variant>
      <vt:variant>
        <vt:i4>21</vt:i4>
      </vt:variant>
      <vt:variant>
        <vt:i4>0</vt:i4>
      </vt:variant>
      <vt:variant>
        <vt:i4>5</vt:i4>
      </vt:variant>
      <vt:variant>
        <vt:lpwstr/>
      </vt:variant>
      <vt:variant>
        <vt:lpwstr>Seif18</vt:lpwstr>
      </vt:variant>
      <vt:variant>
        <vt:i4>3407915</vt:i4>
      </vt:variant>
      <vt:variant>
        <vt:i4>15</vt:i4>
      </vt:variant>
      <vt:variant>
        <vt:i4>0</vt:i4>
      </vt:variant>
      <vt:variant>
        <vt:i4>5</vt:i4>
      </vt:variant>
      <vt:variant>
        <vt:lpwstr/>
      </vt:variant>
      <vt:variant>
        <vt:lpwstr>Seif17</vt:lpwstr>
      </vt:variant>
      <vt:variant>
        <vt:i4>3473451</vt:i4>
      </vt:variant>
      <vt:variant>
        <vt:i4>9</vt:i4>
      </vt:variant>
      <vt:variant>
        <vt:i4>0</vt:i4>
      </vt:variant>
      <vt:variant>
        <vt:i4>5</vt:i4>
      </vt:variant>
      <vt:variant>
        <vt:lpwstr/>
      </vt:variant>
      <vt:variant>
        <vt:lpwstr>Seif16</vt:lpwstr>
      </vt:variant>
      <vt:variant>
        <vt:i4>3538987</vt:i4>
      </vt:variant>
      <vt:variant>
        <vt:i4>3</vt:i4>
      </vt:variant>
      <vt:variant>
        <vt:i4>0</vt:i4>
      </vt:variant>
      <vt:variant>
        <vt:i4>5</vt:i4>
      </vt:variant>
      <vt:variant>
        <vt:lpwstr/>
      </vt:variant>
      <vt:variant>
        <vt:lpwstr>Seif15</vt:lpwstr>
      </vt:variant>
      <vt:variant>
        <vt:i4>7864332</vt:i4>
      </vt:variant>
      <vt:variant>
        <vt:i4>3</vt:i4>
      </vt:variant>
      <vt:variant>
        <vt:i4>0</vt:i4>
      </vt:variant>
      <vt:variant>
        <vt:i4>5</vt:i4>
      </vt:variant>
      <vt:variant>
        <vt:lpwstr>http://www.nevo.co.il/Law_word/law06/TAK-6074.pdf</vt:lpwstr>
      </vt:variant>
      <vt:variant>
        <vt:lpwstr/>
      </vt:variant>
      <vt:variant>
        <vt:i4>8060936</vt:i4>
      </vt:variant>
      <vt:variant>
        <vt:i4>0</vt:i4>
      </vt:variant>
      <vt:variant>
        <vt:i4>0</vt:i4>
      </vt:variant>
      <vt:variant>
        <vt:i4>5</vt:i4>
      </vt:variant>
      <vt:variant>
        <vt:lpwstr>http://www.nevo.co.il/Law_word/law06/TAK-4060.pdf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(קביעת אחוז נכות), תש"ם-1979</vt:lpwstr>
  </property>
  <property fmtid="{D5CDD505-2E9C-101B-9397-08002B2CF9AE}" pid="5" name="LAWNUMBER">
    <vt:lpwstr>0064</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נכים</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