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C1C4" w14:textId="77777777" w:rsidR="00343859" w:rsidRDefault="00343859">
      <w:pPr>
        <w:pStyle w:val="big-header"/>
        <w:ind w:left="0" w:right="1134"/>
        <w:rPr>
          <w:rFonts w:cs="FrankRuehl"/>
          <w:sz w:val="32"/>
        </w:rPr>
      </w:pPr>
      <w:r>
        <w:rPr>
          <w:rFonts w:cs="FrankRuehl" w:hint="cs"/>
          <w:sz w:val="32"/>
          <w:rtl/>
        </w:rPr>
        <w:t>תקנות מס הכנסה (קביעת יחידים שיראו אותם כתושבי ישראל וקביעת יחידים שלא יראו אותם כתושבי ישראל), תשס"ו-2006</w:t>
      </w:r>
    </w:p>
    <w:p w14:paraId="3E195F72" w14:textId="77777777" w:rsidR="00330F8D" w:rsidRDefault="00330F8D" w:rsidP="00330F8D">
      <w:pPr>
        <w:spacing w:line="320" w:lineRule="auto"/>
        <w:rPr>
          <w:rtl/>
        </w:rPr>
      </w:pPr>
    </w:p>
    <w:p w14:paraId="6E6F7579" w14:textId="77777777" w:rsidR="00330F8D" w:rsidRDefault="00330F8D" w:rsidP="00330F8D">
      <w:pPr>
        <w:spacing w:line="320" w:lineRule="auto"/>
        <w:rPr>
          <w:rFonts w:cs="FrankRuehl"/>
          <w:szCs w:val="26"/>
          <w:rtl/>
        </w:rPr>
      </w:pPr>
      <w:r w:rsidRPr="00330F8D">
        <w:rPr>
          <w:rFonts w:cs="Miriam"/>
          <w:szCs w:val="22"/>
          <w:rtl/>
        </w:rPr>
        <w:t>מסים</w:t>
      </w:r>
      <w:r w:rsidRPr="00330F8D">
        <w:rPr>
          <w:rFonts w:cs="FrankRuehl"/>
          <w:szCs w:val="26"/>
          <w:rtl/>
        </w:rPr>
        <w:t xml:space="preserve"> – מס הכנסה – קביעות וכללים</w:t>
      </w:r>
    </w:p>
    <w:p w14:paraId="44FA93B9" w14:textId="77777777" w:rsidR="00330F8D" w:rsidRPr="00330F8D" w:rsidRDefault="00330F8D" w:rsidP="00330F8D">
      <w:pPr>
        <w:spacing w:line="320" w:lineRule="auto"/>
        <w:rPr>
          <w:rFonts w:cs="Miriam"/>
          <w:szCs w:val="22"/>
          <w:rtl/>
        </w:rPr>
      </w:pPr>
      <w:r w:rsidRPr="00330F8D">
        <w:rPr>
          <w:rFonts w:cs="Miriam"/>
          <w:szCs w:val="22"/>
          <w:rtl/>
        </w:rPr>
        <w:t>מסים</w:t>
      </w:r>
      <w:r w:rsidRPr="00330F8D">
        <w:rPr>
          <w:rFonts w:cs="FrankRuehl"/>
          <w:szCs w:val="26"/>
          <w:rtl/>
        </w:rPr>
        <w:t xml:space="preserve"> – מס הכנסה – תושב ישראל</w:t>
      </w:r>
    </w:p>
    <w:p w14:paraId="5C020848" w14:textId="77777777" w:rsidR="00343859" w:rsidRDefault="00343859">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43859" w14:paraId="3ADEEA57" w14:textId="77777777">
        <w:tblPrEx>
          <w:tblCellMar>
            <w:top w:w="0" w:type="dxa"/>
            <w:bottom w:w="0" w:type="dxa"/>
          </w:tblCellMar>
        </w:tblPrEx>
        <w:trPr>
          <w:jc w:val="right"/>
        </w:trPr>
        <w:tc>
          <w:tcPr>
            <w:tcW w:w="850" w:type="dxa"/>
          </w:tcPr>
          <w:p w14:paraId="55049775" w14:textId="77777777" w:rsidR="00343859" w:rsidRDefault="00343859">
            <w:r>
              <w:rPr>
                <w:rtl/>
              </w:rPr>
              <w:fldChar w:fldCharType="begin"/>
            </w:r>
            <w:r>
              <w:rPr>
                <w:rtl/>
              </w:rPr>
              <w:instrText xml:space="preserve"> </w:instrText>
            </w:r>
            <w:r>
              <w:instrText>PAGEREF Seif0</w:instrText>
            </w:r>
            <w:r>
              <w:rPr>
                <w:rtl/>
              </w:rPr>
              <w:instrText xml:space="preserve"> </w:instrText>
            </w:r>
            <w:r>
              <w:rPr>
                <w:rtl/>
              </w:rPr>
              <w:fldChar w:fldCharType="separate"/>
            </w:r>
            <w:r>
              <w:rPr>
                <w:rtl/>
              </w:rPr>
              <w:t>2</w:t>
            </w:r>
            <w:r>
              <w:rPr>
                <w:rtl/>
              </w:rPr>
              <w:fldChar w:fldCharType="end"/>
            </w:r>
          </w:p>
        </w:tc>
        <w:tc>
          <w:tcPr>
            <w:tcW w:w="567" w:type="dxa"/>
          </w:tcPr>
          <w:p w14:paraId="2C335386" w14:textId="77777777" w:rsidR="00343859" w:rsidRDefault="00343859">
            <w:hyperlink w:anchor="Seif0" w:tooltip="הגדרות" w:history="1">
              <w:r>
                <w:rPr>
                  <w:rStyle w:val="Hyperlink"/>
                </w:rPr>
                <w:t>Go</w:t>
              </w:r>
            </w:hyperlink>
          </w:p>
        </w:tc>
        <w:tc>
          <w:tcPr>
            <w:tcW w:w="5669" w:type="dxa"/>
          </w:tcPr>
          <w:p w14:paraId="4818045C" w14:textId="77777777" w:rsidR="00343859" w:rsidRDefault="00343859">
            <w:pPr>
              <w:rPr>
                <w:rtl/>
              </w:rPr>
            </w:pPr>
            <w:r>
              <w:rPr>
                <w:rtl/>
              </w:rPr>
              <w:t>הגדרות</w:t>
            </w:r>
          </w:p>
        </w:tc>
        <w:tc>
          <w:tcPr>
            <w:tcW w:w="1247" w:type="dxa"/>
          </w:tcPr>
          <w:p w14:paraId="5C6C1E9A" w14:textId="77777777" w:rsidR="00343859" w:rsidRDefault="00343859">
            <w:r>
              <w:rPr>
                <w:rtl/>
              </w:rPr>
              <w:t xml:space="preserve">סעיף 1 </w:t>
            </w:r>
          </w:p>
        </w:tc>
      </w:tr>
      <w:tr w:rsidR="00343859" w14:paraId="1D084CEE" w14:textId="77777777">
        <w:tblPrEx>
          <w:tblCellMar>
            <w:top w:w="0" w:type="dxa"/>
            <w:bottom w:w="0" w:type="dxa"/>
          </w:tblCellMar>
        </w:tblPrEx>
        <w:trPr>
          <w:jc w:val="right"/>
        </w:trPr>
        <w:tc>
          <w:tcPr>
            <w:tcW w:w="850" w:type="dxa"/>
          </w:tcPr>
          <w:p w14:paraId="14D0D0C4" w14:textId="77777777" w:rsidR="00343859" w:rsidRDefault="00343859">
            <w:r>
              <w:rPr>
                <w:rtl/>
              </w:rPr>
              <w:fldChar w:fldCharType="begin"/>
            </w:r>
            <w:r>
              <w:rPr>
                <w:rtl/>
              </w:rPr>
              <w:instrText xml:space="preserve"> </w:instrText>
            </w:r>
            <w:r>
              <w:instrText>PAGEREF Seif1</w:instrText>
            </w:r>
            <w:r>
              <w:rPr>
                <w:rtl/>
              </w:rPr>
              <w:instrText xml:space="preserve"> </w:instrText>
            </w:r>
            <w:r>
              <w:rPr>
                <w:rtl/>
              </w:rPr>
              <w:fldChar w:fldCharType="separate"/>
            </w:r>
            <w:r>
              <w:rPr>
                <w:rtl/>
              </w:rPr>
              <w:t>2</w:t>
            </w:r>
            <w:r>
              <w:rPr>
                <w:rtl/>
              </w:rPr>
              <w:fldChar w:fldCharType="end"/>
            </w:r>
          </w:p>
        </w:tc>
        <w:tc>
          <w:tcPr>
            <w:tcW w:w="567" w:type="dxa"/>
          </w:tcPr>
          <w:p w14:paraId="29E5BBC8" w14:textId="77777777" w:rsidR="00343859" w:rsidRDefault="00343859">
            <w:hyperlink w:anchor="Seif1" w:tooltip="קביעת יחידים כתושבי ישראל" w:history="1">
              <w:r>
                <w:rPr>
                  <w:rStyle w:val="Hyperlink"/>
                </w:rPr>
                <w:t>Go</w:t>
              </w:r>
            </w:hyperlink>
          </w:p>
        </w:tc>
        <w:tc>
          <w:tcPr>
            <w:tcW w:w="5669" w:type="dxa"/>
          </w:tcPr>
          <w:p w14:paraId="6D61B38E" w14:textId="77777777" w:rsidR="00343859" w:rsidRDefault="00343859">
            <w:pPr>
              <w:rPr>
                <w:rtl/>
              </w:rPr>
            </w:pPr>
            <w:r>
              <w:rPr>
                <w:rtl/>
              </w:rPr>
              <w:t>קביעת יחידים כתושבי ישראל</w:t>
            </w:r>
          </w:p>
        </w:tc>
        <w:tc>
          <w:tcPr>
            <w:tcW w:w="1247" w:type="dxa"/>
          </w:tcPr>
          <w:p w14:paraId="58324EDD" w14:textId="77777777" w:rsidR="00343859" w:rsidRDefault="00343859">
            <w:r>
              <w:rPr>
                <w:rtl/>
              </w:rPr>
              <w:t xml:space="preserve">סעיף 2 </w:t>
            </w:r>
          </w:p>
        </w:tc>
      </w:tr>
      <w:tr w:rsidR="00343859" w14:paraId="0AC79A21" w14:textId="77777777">
        <w:tblPrEx>
          <w:tblCellMar>
            <w:top w:w="0" w:type="dxa"/>
            <w:bottom w:w="0" w:type="dxa"/>
          </w:tblCellMar>
        </w:tblPrEx>
        <w:trPr>
          <w:jc w:val="right"/>
        </w:trPr>
        <w:tc>
          <w:tcPr>
            <w:tcW w:w="850" w:type="dxa"/>
          </w:tcPr>
          <w:p w14:paraId="627BF55D" w14:textId="77777777" w:rsidR="00343859" w:rsidRDefault="00343859">
            <w:r>
              <w:rPr>
                <w:rtl/>
              </w:rPr>
              <w:fldChar w:fldCharType="begin"/>
            </w:r>
            <w:r>
              <w:rPr>
                <w:rtl/>
              </w:rPr>
              <w:instrText xml:space="preserve"> </w:instrText>
            </w:r>
            <w:r>
              <w:instrText>PAGEREF Seif2</w:instrText>
            </w:r>
            <w:r>
              <w:rPr>
                <w:rtl/>
              </w:rPr>
              <w:instrText xml:space="preserve"> </w:instrText>
            </w:r>
            <w:r>
              <w:rPr>
                <w:rtl/>
              </w:rPr>
              <w:fldChar w:fldCharType="separate"/>
            </w:r>
            <w:r>
              <w:rPr>
                <w:rtl/>
              </w:rPr>
              <w:t>2</w:t>
            </w:r>
            <w:r>
              <w:rPr>
                <w:rtl/>
              </w:rPr>
              <w:fldChar w:fldCharType="end"/>
            </w:r>
          </w:p>
        </w:tc>
        <w:tc>
          <w:tcPr>
            <w:tcW w:w="567" w:type="dxa"/>
          </w:tcPr>
          <w:p w14:paraId="4880E5BF" w14:textId="77777777" w:rsidR="00343859" w:rsidRDefault="00343859">
            <w:hyperlink w:anchor="Seif2" w:tooltip="קביעת יחידים כתושבי חוץ" w:history="1">
              <w:r>
                <w:rPr>
                  <w:rStyle w:val="Hyperlink"/>
                </w:rPr>
                <w:t>Go</w:t>
              </w:r>
            </w:hyperlink>
          </w:p>
        </w:tc>
        <w:tc>
          <w:tcPr>
            <w:tcW w:w="5669" w:type="dxa"/>
          </w:tcPr>
          <w:p w14:paraId="13FABEFC" w14:textId="77777777" w:rsidR="00343859" w:rsidRDefault="00343859">
            <w:pPr>
              <w:rPr>
                <w:rtl/>
              </w:rPr>
            </w:pPr>
            <w:r>
              <w:rPr>
                <w:rtl/>
              </w:rPr>
              <w:t>קביעת יחידים כתושבי חוץ</w:t>
            </w:r>
          </w:p>
        </w:tc>
        <w:tc>
          <w:tcPr>
            <w:tcW w:w="1247" w:type="dxa"/>
          </w:tcPr>
          <w:p w14:paraId="157D80EC" w14:textId="77777777" w:rsidR="00343859" w:rsidRDefault="00343859">
            <w:r>
              <w:rPr>
                <w:rtl/>
              </w:rPr>
              <w:t xml:space="preserve">סעיף 3 </w:t>
            </w:r>
          </w:p>
        </w:tc>
      </w:tr>
      <w:tr w:rsidR="00343859" w14:paraId="76FE25DC" w14:textId="77777777">
        <w:tblPrEx>
          <w:tblCellMar>
            <w:top w:w="0" w:type="dxa"/>
            <w:bottom w:w="0" w:type="dxa"/>
          </w:tblCellMar>
        </w:tblPrEx>
        <w:trPr>
          <w:jc w:val="right"/>
        </w:trPr>
        <w:tc>
          <w:tcPr>
            <w:tcW w:w="850" w:type="dxa"/>
          </w:tcPr>
          <w:p w14:paraId="2670A6E7" w14:textId="77777777" w:rsidR="00343859" w:rsidRDefault="00343859">
            <w:r>
              <w:rPr>
                <w:rtl/>
              </w:rPr>
              <w:fldChar w:fldCharType="begin"/>
            </w:r>
            <w:r>
              <w:rPr>
                <w:rtl/>
              </w:rPr>
              <w:instrText xml:space="preserve"> </w:instrText>
            </w:r>
            <w:r>
              <w:instrText>PAGEREF Seif3</w:instrText>
            </w:r>
            <w:r>
              <w:rPr>
                <w:rtl/>
              </w:rPr>
              <w:instrText xml:space="preserve"> </w:instrText>
            </w:r>
            <w:r>
              <w:rPr>
                <w:rtl/>
              </w:rPr>
              <w:fldChar w:fldCharType="separate"/>
            </w:r>
            <w:r>
              <w:rPr>
                <w:rtl/>
              </w:rPr>
              <w:t>2</w:t>
            </w:r>
            <w:r>
              <w:rPr>
                <w:rtl/>
              </w:rPr>
              <w:fldChar w:fldCharType="end"/>
            </w:r>
          </w:p>
        </w:tc>
        <w:tc>
          <w:tcPr>
            <w:tcW w:w="567" w:type="dxa"/>
          </w:tcPr>
          <w:p w14:paraId="4ABFA743" w14:textId="77777777" w:rsidR="00343859" w:rsidRDefault="00343859">
            <w:hyperlink w:anchor="Seif3" w:tooltip="תחילה" w:history="1">
              <w:r>
                <w:rPr>
                  <w:rStyle w:val="Hyperlink"/>
                </w:rPr>
                <w:t>Go</w:t>
              </w:r>
            </w:hyperlink>
          </w:p>
        </w:tc>
        <w:tc>
          <w:tcPr>
            <w:tcW w:w="5669" w:type="dxa"/>
          </w:tcPr>
          <w:p w14:paraId="358089C9" w14:textId="77777777" w:rsidR="00343859" w:rsidRDefault="00343859">
            <w:pPr>
              <w:rPr>
                <w:rtl/>
              </w:rPr>
            </w:pPr>
            <w:r>
              <w:rPr>
                <w:rtl/>
              </w:rPr>
              <w:t>תחילה</w:t>
            </w:r>
          </w:p>
        </w:tc>
        <w:tc>
          <w:tcPr>
            <w:tcW w:w="1247" w:type="dxa"/>
          </w:tcPr>
          <w:p w14:paraId="1F32B2B2" w14:textId="77777777" w:rsidR="00343859" w:rsidRDefault="00343859">
            <w:r>
              <w:rPr>
                <w:rtl/>
              </w:rPr>
              <w:t xml:space="preserve">סעיף 4 </w:t>
            </w:r>
          </w:p>
        </w:tc>
      </w:tr>
    </w:tbl>
    <w:p w14:paraId="0EFF68E7" w14:textId="77777777" w:rsidR="00343859" w:rsidRDefault="00343859" w:rsidP="00330F8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מס הכנסה (קביעת יחידים שיראו אותם כתושבי ישראל וקביעת יחידים שלא יראו אותם כתושבי ישראל), תשס"ו-2006</w:t>
      </w:r>
      <w:r>
        <w:rPr>
          <w:rStyle w:val="default"/>
          <w:sz w:val="22"/>
          <w:szCs w:val="22"/>
          <w:rtl/>
        </w:rPr>
        <w:footnoteReference w:customMarkFollows="1" w:id="1"/>
        <w:t>*</w:t>
      </w:r>
    </w:p>
    <w:p w14:paraId="776822AF" w14:textId="77777777" w:rsidR="00343859" w:rsidRDefault="00343859">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Pr>
          <w:rStyle w:val="default"/>
          <w:rFonts w:cs="FrankRuehl" w:hint="cs"/>
          <w:rtl/>
        </w:rPr>
        <w:t xml:space="preserve">פסקה (א)(4) בהגדרה "תושב ישראל" או "תושב", שבסעיף 1 לפקודת מס הכנסה (להלן </w:t>
      </w:r>
      <w:r>
        <w:rPr>
          <w:rStyle w:val="default"/>
          <w:rFonts w:cs="FrankRuehl"/>
          <w:rtl/>
        </w:rPr>
        <w:t>–</w:t>
      </w:r>
      <w:r>
        <w:rPr>
          <w:rStyle w:val="default"/>
          <w:rFonts w:cs="FrankRuehl" w:hint="cs"/>
          <w:rtl/>
        </w:rPr>
        <w:t xml:space="preserve"> הפקודה), ובאישור ועדת הכספים של הכנסת,</w:t>
      </w:r>
      <w:r>
        <w:rPr>
          <w:rStyle w:val="default"/>
          <w:rFonts w:cs="FrankRuehl"/>
          <w:rtl/>
        </w:rPr>
        <w:t xml:space="preserve"> </w:t>
      </w:r>
      <w:r>
        <w:rPr>
          <w:rStyle w:val="default"/>
          <w:rFonts w:cs="FrankRuehl" w:hint="cs"/>
          <w:rtl/>
        </w:rPr>
        <w:t>אני מתקין תקנות אלה</w:t>
      </w:r>
      <w:r>
        <w:rPr>
          <w:rStyle w:val="default"/>
          <w:rFonts w:cs="FrankRuehl"/>
          <w:rtl/>
        </w:rPr>
        <w:t>:</w:t>
      </w:r>
    </w:p>
    <w:p w14:paraId="71077953" w14:textId="77777777" w:rsidR="00343859" w:rsidRDefault="00343859">
      <w:pPr>
        <w:pStyle w:val="P00"/>
        <w:spacing w:before="72"/>
        <w:ind w:left="0" w:right="1134"/>
        <w:rPr>
          <w:rStyle w:val="big-number"/>
          <w:rFonts w:cs="FrankRuehl" w:hint="cs"/>
          <w:sz w:val="26"/>
          <w:szCs w:val="26"/>
          <w:rtl/>
        </w:rPr>
      </w:pPr>
      <w:bookmarkStart w:id="0" w:name="Seif0"/>
      <w:bookmarkEnd w:id="0"/>
      <w:r>
        <w:rPr>
          <w:rFonts w:cs="Miriam"/>
          <w:lang w:val="he-IL"/>
        </w:rPr>
        <w:pict w14:anchorId="03707F26">
          <v:rect id="_x0000_s1026" style="position:absolute;left:0;text-align:left;margin-left:464.35pt;margin-top:7.1pt;width:75.05pt;height:9.35pt;z-index:251656192" o:allowincell="f" filled="f" stroked="f" strokecolor="lime" strokeweight=".25pt">
            <v:textbox style="mso-next-textbox:#_x0000_s1026" inset="0,0,0,0">
              <w:txbxContent>
                <w:p w14:paraId="60C60DB4" w14:textId="77777777" w:rsidR="00343859" w:rsidRDefault="0034385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46C658C4" w14:textId="77777777" w:rsidR="00343859" w:rsidRDefault="00343859">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"ספורטאי חוץ" ו"עיתונאי חוץ" </w:t>
      </w:r>
      <w:r>
        <w:rPr>
          <w:rStyle w:val="big-number"/>
          <w:rFonts w:cs="FrankRuehl"/>
          <w:sz w:val="26"/>
          <w:szCs w:val="26"/>
          <w:rtl/>
        </w:rPr>
        <w:t>–</w:t>
      </w:r>
      <w:r>
        <w:rPr>
          <w:rStyle w:val="big-number"/>
          <w:rFonts w:cs="FrankRuehl" w:hint="cs"/>
          <w:sz w:val="26"/>
          <w:szCs w:val="26"/>
          <w:rtl/>
        </w:rPr>
        <w:t xml:space="preserve"> כהגדרתם בסעיף 75א לפקודה;</w:t>
      </w:r>
    </w:p>
    <w:p w14:paraId="42483B88" w14:textId="77777777" w:rsidR="00343859" w:rsidRDefault="00343859">
      <w:pPr>
        <w:pStyle w:val="P00"/>
        <w:spacing w:before="72"/>
        <w:ind w:left="0" w:right="1134"/>
        <w:rPr>
          <w:rStyle w:val="big-number"/>
          <w:rFonts w:cs="FrankRuehl" w:hint="cs"/>
          <w:sz w:val="26"/>
          <w:szCs w:val="26"/>
          <w:rtl/>
        </w:rPr>
      </w:pPr>
      <w:r>
        <w:rPr>
          <w:rStyle w:val="big-number"/>
          <w:rFonts w:cs="FrankRuehl" w:hint="cs"/>
          <w:sz w:val="26"/>
          <w:szCs w:val="26"/>
          <w:rtl/>
        </w:rPr>
        <w:tab/>
        <w:t xml:space="preserve">"עולה חדש" </w:t>
      </w:r>
      <w:r>
        <w:rPr>
          <w:rStyle w:val="big-number"/>
          <w:rFonts w:cs="FrankRuehl"/>
          <w:sz w:val="26"/>
          <w:szCs w:val="26"/>
          <w:rtl/>
        </w:rPr>
        <w:t>–</w:t>
      </w:r>
      <w:r>
        <w:rPr>
          <w:rStyle w:val="big-number"/>
          <w:rFonts w:cs="FrankRuehl" w:hint="cs"/>
          <w:sz w:val="26"/>
          <w:szCs w:val="26"/>
          <w:rtl/>
        </w:rPr>
        <w:t xml:space="preserve"> עולה כהגדרתו בסעיף 35(ד) לפקודה;</w:t>
      </w:r>
    </w:p>
    <w:p w14:paraId="6820B28F" w14:textId="77777777" w:rsidR="00343859" w:rsidRDefault="00343859">
      <w:pPr>
        <w:pStyle w:val="P00"/>
        <w:spacing w:before="72"/>
        <w:ind w:left="0" w:right="1134"/>
        <w:rPr>
          <w:rStyle w:val="big-number"/>
          <w:rFonts w:cs="FrankRuehl" w:hint="cs"/>
          <w:sz w:val="26"/>
          <w:szCs w:val="26"/>
          <w:rtl/>
        </w:rPr>
      </w:pPr>
      <w:r>
        <w:rPr>
          <w:rStyle w:val="big-number"/>
          <w:rFonts w:cs="FrankRuehl" w:hint="cs"/>
          <w:sz w:val="26"/>
          <w:szCs w:val="26"/>
          <w:rtl/>
        </w:rPr>
        <w:tab/>
        <w:t xml:space="preserve">"שירות צבאי" </w:t>
      </w:r>
      <w:r>
        <w:rPr>
          <w:rStyle w:val="big-number"/>
          <w:rFonts w:cs="FrankRuehl"/>
          <w:sz w:val="26"/>
          <w:szCs w:val="26"/>
          <w:rtl/>
        </w:rPr>
        <w:t>–</w:t>
      </w:r>
      <w:r>
        <w:rPr>
          <w:rStyle w:val="big-number"/>
          <w:rFonts w:cs="FrankRuehl" w:hint="cs"/>
          <w:sz w:val="26"/>
          <w:szCs w:val="26"/>
          <w:rtl/>
        </w:rPr>
        <w:t xml:space="preserve"> למעט שירות בצבא הקבע.</w:t>
      </w:r>
    </w:p>
    <w:p w14:paraId="496F1634" w14:textId="77777777" w:rsidR="00343859" w:rsidRDefault="00343859">
      <w:pPr>
        <w:pStyle w:val="P00"/>
        <w:spacing w:before="72"/>
        <w:ind w:left="0" w:right="1134"/>
        <w:rPr>
          <w:rStyle w:val="big-number"/>
          <w:rFonts w:cs="FrankRuehl" w:hint="cs"/>
          <w:sz w:val="26"/>
          <w:szCs w:val="26"/>
          <w:rtl/>
        </w:rPr>
      </w:pPr>
      <w:bookmarkStart w:id="1" w:name="Seif1"/>
      <w:bookmarkEnd w:id="1"/>
      <w:r>
        <w:rPr>
          <w:rFonts w:cs="Miriam"/>
          <w:lang w:val="he-IL"/>
        </w:rPr>
        <w:pict w14:anchorId="0DCA8C68">
          <v:rect id="_x0000_s1170" style="position:absolute;left:0;text-align:left;margin-left:464.35pt;margin-top:7.1pt;width:75.05pt;height:22.25pt;z-index:251657216" o:allowincell="f" filled="f" stroked="f" strokecolor="lime" strokeweight=".25pt">
            <v:textbox style="mso-next-textbox:#_x0000_s1170" inset="0,0,0,0">
              <w:txbxContent>
                <w:p w14:paraId="540958AF" w14:textId="77777777" w:rsidR="00343859" w:rsidRDefault="00343859">
                  <w:pPr>
                    <w:spacing w:line="160" w:lineRule="exact"/>
                    <w:rPr>
                      <w:rFonts w:cs="Miriam" w:hint="cs"/>
                      <w:noProof/>
                      <w:sz w:val="18"/>
                      <w:szCs w:val="18"/>
                      <w:rtl/>
                    </w:rPr>
                  </w:pPr>
                  <w:r>
                    <w:rPr>
                      <w:rFonts w:cs="Miriam" w:hint="cs"/>
                      <w:sz w:val="18"/>
                      <w:szCs w:val="18"/>
                      <w:rtl/>
                    </w:rPr>
                    <w:t>קביעת יחידים כתושבי ישראל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יראו כתושב ישראל יחיד שאינו תושב ישראל כאמור בפסקה (א)(4) להגדרה "תושב ישראל" או "תושב" שבסעיף 1 לפקודה (להלן </w:t>
      </w:r>
      <w:r>
        <w:rPr>
          <w:rStyle w:val="big-number"/>
          <w:rFonts w:cs="FrankRuehl"/>
          <w:sz w:val="26"/>
          <w:szCs w:val="26"/>
          <w:rtl/>
        </w:rPr>
        <w:t>–</w:t>
      </w:r>
      <w:r>
        <w:rPr>
          <w:rStyle w:val="big-number"/>
          <w:rFonts w:cs="FrankRuehl" w:hint="cs"/>
          <w:sz w:val="26"/>
          <w:szCs w:val="26"/>
          <w:rtl/>
        </w:rPr>
        <w:t xml:space="preserve"> ההגדרה), בכל אחד מאלה:</w:t>
      </w:r>
    </w:p>
    <w:p w14:paraId="45B3A534"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אם הוא עובד מדינת ישראל </w:t>
      </w:r>
      <w:r>
        <w:rPr>
          <w:rStyle w:val="big-number"/>
          <w:rFonts w:cs="FrankRuehl"/>
          <w:sz w:val="26"/>
          <w:szCs w:val="26"/>
          <w:rtl/>
        </w:rPr>
        <w:t>–</w:t>
      </w:r>
      <w:r>
        <w:rPr>
          <w:rStyle w:val="big-number"/>
          <w:rFonts w:cs="FrankRuehl" w:hint="cs"/>
          <w:sz w:val="26"/>
          <w:szCs w:val="26"/>
          <w:rtl/>
        </w:rPr>
        <w:t xml:space="preserve"> אם יחסי עובד מעביד בינו לבין מדינת ישראל החלו כאשר היה אותו יחיד תושב ישראל;</w:t>
      </w:r>
    </w:p>
    <w:p w14:paraId="17D58D57"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אם הוא עובד של מעביד אחר המפורט בפסקה (א)(4) להגדרה </w:t>
      </w:r>
      <w:r>
        <w:rPr>
          <w:rStyle w:val="big-number"/>
          <w:rFonts w:cs="FrankRuehl"/>
          <w:sz w:val="26"/>
          <w:szCs w:val="26"/>
          <w:rtl/>
        </w:rPr>
        <w:t>–</w:t>
      </w:r>
      <w:r>
        <w:rPr>
          <w:rStyle w:val="big-number"/>
          <w:rFonts w:cs="FrankRuehl" w:hint="cs"/>
          <w:sz w:val="26"/>
          <w:szCs w:val="26"/>
          <w:rtl/>
        </w:rPr>
        <w:t xml:space="preserve"> אם יחסי עובד מעביד בינו לבין אותו מעביד החלט כאשר היה היחיד תושב ישראל, ובלבד שלא חלפו חמש שנים מיום שהחל היחיד לעבוד אצל אותו מעביד מחוץ לישראל, והכל אלא אם כן הוכיח אחרת להנחת דעתו של פקיד השומה.</w:t>
      </w:r>
    </w:p>
    <w:p w14:paraId="769C0716" w14:textId="77777777" w:rsidR="00343859" w:rsidRDefault="00343859">
      <w:pPr>
        <w:pStyle w:val="P00"/>
        <w:spacing w:before="72"/>
        <w:ind w:left="0" w:right="1134"/>
        <w:rPr>
          <w:rStyle w:val="big-number"/>
          <w:rFonts w:cs="FrankRuehl" w:hint="cs"/>
          <w:sz w:val="26"/>
          <w:szCs w:val="26"/>
          <w:rtl/>
        </w:rPr>
      </w:pPr>
      <w:bookmarkStart w:id="2" w:name="Seif2"/>
      <w:bookmarkEnd w:id="2"/>
      <w:r>
        <w:rPr>
          <w:rFonts w:cs="Miriam"/>
          <w:lang w:val="he-IL"/>
        </w:rPr>
        <w:pict w14:anchorId="2E791CB7">
          <v:rect id="_x0000_s1188" style="position:absolute;left:0;text-align:left;margin-left:464.35pt;margin-top:7.1pt;width:75.05pt;height:21.1pt;z-index:251658240" o:allowincell="f" filled="f" stroked="f" strokecolor="lime" strokeweight=".25pt">
            <v:textbox style="mso-next-textbox:#_x0000_s1188" inset="0,0,0,0">
              <w:txbxContent>
                <w:p w14:paraId="6C11A9C7" w14:textId="77777777" w:rsidR="00343859" w:rsidRDefault="00343859">
                  <w:pPr>
                    <w:spacing w:line="160" w:lineRule="exact"/>
                    <w:rPr>
                      <w:rFonts w:cs="Miriam" w:hint="cs"/>
                      <w:noProof/>
                      <w:sz w:val="18"/>
                      <w:szCs w:val="18"/>
                      <w:rtl/>
                    </w:rPr>
                  </w:pPr>
                  <w:r>
                    <w:rPr>
                      <w:rFonts w:cs="Miriam" w:hint="cs"/>
                      <w:sz w:val="18"/>
                      <w:szCs w:val="18"/>
                      <w:rtl/>
                    </w:rPr>
                    <w:t>קביעת יחידים כתושבי חוץ</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יראו יחיד שאינו עולה חדש ושרואים אותו כתושב ישראל כאמור בפסקה (א)(1) ו-(2) להגדרה, כתושב חוץ, אם בחמש שנות המס הקודמות לשנת המס היה תושב חוץ והוא אחד מאלה:</w:t>
      </w:r>
    </w:p>
    <w:p w14:paraId="5AC8D7F1"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נציג דיפלומטי או פקיד קונסולרי בשירות סדיר ובתפקיד רשמי של מדינה זרה וכן בן זוגו וילדיו של כל אחד מהם, המתגוררים עמו;</w:t>
      </w:r>
    </w:p>
    <w:p w14:paraId="6611299E"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חייל בצבא מדינה זרה או בשירות האומות המאוחדות;</w:t>
      </w:r>
    </w:p>
    <w:p w14:paraId="3B766FE9"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 xml:space="preserve">יחיד שהגיע לישראל לשם שירות בצבא הגנה לישראל </w:t>
      </w:r>
      <w:r>
        <w:rPr>
          <w:rStyle w:val="big-number"/>
          <w:rFonts w:cs="FrankRuehl"/>
          <w:sz w:val="26"/>
          <w:szCs w:val="26"/>
          <w:rtl/>
        </w:rPr>
        <w:t>–</w:t>
      </w:r>
      <w:r>
        <w:rPr>
          <w:rStyle w:val="big-number"/>
          <w:rFonts w:cs="FrankRuehl" w:hint="cs"/>
          <w:sz w:val="26"/>
          <w:szCs w:val="26"/>
          <w:rtl/>
        </w:rPr>
        <w:t xml:space="preserve"> עד לסיום שירותו הצבאי, אם ביקש שלא להיחשב תושב ישראל;</w:t>
      </w:r>
    </w:p>
    <w:p w14:paraId="49B00B7F"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 xml:space="preserve">סטודנט הלומד בהיקף של חצי תכנית לימודים לפחות </w:t>
      </w:r>
      <w:r>
        <w:rPr>
          <w:rStyle w:val="big-number"/>
          <w:rFonts w:cs="FrankRuehl"/>
          <w:sz w:val="26"/>
          <w:szCs w:val="26"/>
          <w:rtl/>
        </w:rPr>
        <w:t>–</w:t>
      </w:r>
      <w:r>
        <w:rPr>
          <w:rStyle w:val="big-number"/>
          <w:rFonts w:cs="FrankRuehl" w:hint="cs"/>
          <w:sz w:val="26"/>
          <w:szCs w:val="26"/>
          <w:rtl/>
        </w:rPr>
        <w:t xml:space="preserve"> בשלוש השנים הראשונות לשהייתו, בישראל, אם ביקש שלא להיחשב תושב ישראל;</w:t>
      </w:r>
    </w:p>
    <w:p w14:paraId="01B5D66A"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 xml:space="preserve">מורה, מרצה או איש מחקר השוהה בישראל במוסד להשכלה גבוהה או במוסד הוראה אחר ומשמש בתפקיד בעבור אותו מוסד </w:t>
      </w:r>
      <w:r>
        <w:rPr>
          <w:rStyle w:val="big-number"/>
          <w:rFonts w:cs="FrankRuehl"/>
          <w:sz w:val="26"/>
          <w:szCs w:val="26"/>
          <w:rtl/>
        </w:rPr>
        <w:t>–</w:t>
      </w:r>
      <w:r>
        <w:rPr>
          <w:rStyle w:val="big-number"/>
          <w:rFonts w:cs="FrankRuehl" w:hint="cs"/>
          <w:sz w:val="26"/>
          <w:szCs w:val="26"/>
          <w:rtl/>
        </w:rPr>
        <w:t xml:space="preserve"> בשלוש השנים הראשונות לשנייתו בישראל;</w:t>
      </w:r>
    </w:p>
    <w:p w14:paraId="37EF5ABA"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 xml:space="preserve">איש דת הממלא תפקיד דתי במוסד דת בישראל על פי הזמנת אותו מוסד </w:t>
      </w:r>
      <w:r>
        <w:rPr>
          <w:rStyle w:val="big-number"/>
          <w:rFonts w:cs="FrankRuehl"/>
          <w:sz w:val="26"/>
          <w:szCs w:val="26"/>
          <w:rtl/>
        </w:rPr>
        <w:t>–</w:t>
      </w:r>
      <w:r>
        <w:rPr>
          <w:rStyle w:val="big-number"/>
          <w:rFonts w:cs="FrankRuehl" w:hint="cs"/>
          <w:sz w:val="26"/>
          <w:szCs w:val="26"/>
          <w:rtl/>
        </w:rPr>
        <w:t xml:space="preserve"> בשלוש השנים הראשונות לשהייתו בישראל;</w:t>
      </w:r>
    </w:p>
    <w:p w14:paraId="74787094"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חולה המאושפז בבית חולים או במוסד שיקומי שהגיע לישראל לצורך אשפוז או שחלה בעת שהותו בישראל ואשר אילולא תקופת אשפוזו לא היו חלות לגביו הוראות פסקת משנה (א)(2) בהגדרה;</w:t>
      </w:r>
    </w:p>
    <w:p w14:paraId="4B83DAE5" w14:textId="77777777" w:rsidR="00343859" w:rsidRDefault="00343859">
      <w:pPr>
        <w:pStyle w:val="P00"/>
        <w:spacing w:before="72"/>
        <w:ind w:left="624" w:right="1134"/>
        <w:rPr>
          <w:rStyle w:val="big-number"/>
          <w:rFonts w:cs="FrankRuehl" w:hint="cs"/>
          <w:sz w:val="26"/>
          <w:szCs w:val="26"/>
          <w:rtl/>
        </w:rPr>
      </w:pPr>
      <w:r>
        <w:rPr>
          <w:rStyle w:val="big-number"/>
          <w:rFonts w:cs="FrankRuehl" w:hint="cs"/>
          <w:sz w:val="26"/>
          <w:szCs w:val="26"/>
          <w:rtl/>
        </w:rPr>
        <w:t>(8)</w:t>
      </w:r>
      <w:r>
        <w:rPr>
          <w:rStyle w:val="big-number"/>
          <w:rFonts w:cs="FrankRuehl" w:hint="cs"/>
          <w:sz w:val="26"/>
          <w:szCs w:val="26"/>
          <w:rtl/>
        </w:rPr>
        <w:tab/>
        <w:t xml:space="preserve">עיתונאי חוץ וספורטאי חוץ </w:t>
      </w:r>
      <w:r>
        <w:rPr>
          <w:rStyle w:val="big-number"/>
          <w:rFonts w:cs="FrankRuehl"/>
          <w:sz w:val="26"/>
          <w:szCs w:val="26"/>
          <w:rtl/>
        </w:rPr>
        <w:t>–</w:t>
      </w:r>
      <w:r>
        <w:rPr>
          <w:rStyle w:val="big-number"/>
          <w:rFonts w:cs="FrankRuehl" w:hint="cs"/>
          <w:sz w:val="26"/>
          <w:szCs w:val="26"/>
          <w:rtl/>
        </w:rPr>
        <w:t xml:space="preserve"> בחמש השנים הראשונות לשהותם בישראל.</w:t>
      </w:r>
    </w:p>
    <w:p w14:paraId="1C716A38" w14:textId="77777777" w:rsidR="00343859" w:rsidRDefault="00343859">
      <w:pPr>
        <w:pStyle w:val="P00"/>
        <w:spacing w:before="72"/>
        <w:ind w:left="0" w:right="1134"/>
        <w:rPr>
          <w:rStyle w:val="big-number"/>
          <w:rFonts w:cs="FrankRuehl" w:hint="cs"/>
          <w:sz w:val="26"/>
          <w:szCs w:val="26"/>
          <w:rtl/>
        </w:rPr>
      </w:pPr>
      <w:bookmarkStart w:id="3" w:name="Seif3"/>
      <w:bookmarkEnd w:id="3"/>
      <w:r>
        <w:rPr>
          <w:rFonts w:cs="Miriam"/>
          <w:lang w:val="he-IL"/>
        </w:rPr>
        <w:pict w14:anchorId="774F7563">
          <v:rect id="_x0000_s1189" style="position:absolute;left:0;text-align:left;margin-left:464.35pt;margin-top:7.1pt;width:75.05pt;height:12.4pt;z-index:251659264" o:allowincell="f" filled="f" stroked="f" strokecolor="lime" strokeweight=".25pt">
            <v:textbox style="mso-next-textbox:#_x0000_s1189" inset="0,0,0,0">
              <w:txbxContent>
                <w:p w14:paraId="630ABA74" w14:textId="77777777" w:rsidR="00343859" w:rsidRDefault="0034385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תחילתן של תקנות אלה ביום א' בטבת התשס"ו (1 בינואר 2006).</w:t>
      </w:r>
    </w:p>
    <w:p w14:paraId="4604B6D1" w14:textId="77777777" w:rsidR="00343859" w:rsidRDefault="00343859">
      <w:pPr>
        <w:pStyle w:val="P00"/>
        <w:spacing w:before="72"/>
        <w:ind w:left="0" w:right="1134"/>
        <w:rPr>
          <w:rStyle w:val="default"/>
          <w:rFonts w:cs="FrankRuehl" w:hint="cs"/>
          <w:rtl/>
        </w:rPr>
      </w:pPr>
    </w:p>
    <w:p w14:paraId="3DE64CEA" w14:textId="77777777" w:rsidR="00343859" w:rsidRDefault="00343859">
      <w:pPr>
        <w:pStyle w:val="P00"/>
        <w:spacing w:before="72"/>
        <w:ind w:left="0" w:right="1134"/>
        <w:rPr>
          <w:rStyle w:val="default"/>
          <w:rFonts w:cs="FrankRuehl" w:hint="cs"/>
          <w:rtl/>
        </w:rPr>
      </w:pPr>
    </w:p>
    <w:p w14:paraId="47217071" w14:textId="77777777" w:rsidR="00343859" w:rsidRDefault="00343859">
      <w:pPr>
        <w:pStyle w:val="P00"/>
        <w:spacing w:before="72"/>
        <w:ind w:left="0" w:right="1134"/>
        <w:rPr>
          <w:rStyle w:val="default"/>
          <w:rFonts w:cs="FrankRuehl" w:hint="cs"/>
          <w:rtl/>
        </w:rPr>
      </w:pPr>
      <w:r>
        <w:rPr>
          <w:rStyle w:val="default"/>
          <w:rFonts w:cs="FrankRuehl" w:hint="cs"/>
          <w:rtl/>
        </w:rPr>
        <w:t>ז' באדר התשס"ו (7 במרס 2006)</w:t>
      </w:r>
    </w:p>
    <w:p w14:paraId="68E38B2C" w14:textId="77777777" w:rsidR="00343859" w:rsidRDefault="00343859">
      <w:pPr>
        <w:pStyle w:val="sig-0"/>
        <w:tabs>
          <w:tab w:val="clear" w:pos="4820"/>
          <w:tab w:val="center" w:pos="5670"/>
        </w:tabs>
        <w:ind w:left="0" w:right="1134"/>
        <w:rPr>
          <w:rFonts w:cs="FrankRuehl" w:hint="cs"/>
          <w:sz w:val="26"/>
          <w:rtl/>
        </w:rPr>
      </w:pPr>
      <w:r>
        <w:rPr>
          <w:rFonts w:cs="FrankRuehl" w:hint="cs"/>
          <w:sz w:val="26"/>
          <w:rtl/>
        </w:rPr>
        <w:lastRenderedPageBreak/>
        <w:tab/>
        <w:t>אהוד אולמרט</w:t>
      </w:r>
    </w:p>
    <w:p w14:paraId="7C5EF4F1" w14:textId="77777777" w:rsidR="00343859" w:rsidRDefault="00343859">
      <w:pPr>
        <w:pStyle w:val="sig-0"/>
        <w:tabs>
          <w:tab w:val="clear" w:pos="4820"/>
          <w:tab w:val="center" w:pos="5670"/>
        </w:tabs>
        <w:ind w:left="0" w:right="1134"/>
        <w:rPr>
          <w:rFonts w:cs="FrankRuehl" w:hint="cs"/>
          <w:sz w:val="22"/>
          <w:szCs w:val="22"/>
          <w:rtl/>
        </w:rPr>
      </w:pPr>
      <w:r>
        <w:rPr>
          <w:rFonts w:cs="FrankRuehl" w:hint="cs"/>
          <w:sz w:val="22"/>
          <w:szCs w:val="22"/>
          <w:rtl/>
        </w:rPr>
        <w:tab/>
        <w:t>ממלא מקום ראש הממשלה</w:t>
      </w:r>
    </w:p>
    <w:p w14:paraId="61E7B936" w14:textId="77777777" w:rsidR="00343859" w:rsidRDefault="00343859">
      <w:pPr>
        <w:pStyle w:val="sig-0"/>
        <w:tabs>
          <w:tab w:val="clear" w:pos="4820"/>
          <w:tab w:val="center" w:pos="5670"/>
        </w:tabs>
        <w:ind w:left="0" w:right="1134"/>
        <w:rPr>
          <w:rFonts w:cs="FrankRuehl" w:hint="cs"/>
          <w:sz w:val="26"/>
          <w:rtl/>
        </w:rPr>
      </w:pPr>
    </w:p>
    <w:p w14:paraId="11B9299B" w14:textId="77777777" w:rsidR="00343859" w:rsidRDefault="00343859">
      <w:pPr>
        <w:pStyle w:val="sig-0"/>
        <w:tabs>
          <w:tab w:val="clear" w:pos="4820"/>
          <w:tab w:val="center" w:pos="5670"/>
        </w:tabs>
        <w:ind w:left="0" w:right="1134"/>
        <w:rPr>
          <w:rFonts w:cs="FrankRuehl" w:hint="cs"/>
          <w:sz w:val="26"/>
          <w:rtl/>
        </w:rPr>
      </w:pPr>
    </w:p>
    <w:p w14:paraId="077DE2BF" w14:textId="77777777" w:rsidR="00343859" w:rsidRDefault="00343859">
      <w:pPr>
        <w:pStyle w:val="sig-0"/>
        <w:ind w:left="0" w:right="1134"/>
        <w:rPr>
          <w:rFonts w:cs="FrankRuehl"/>
          <w:sz w:val="26"/>
          <w:rtl/>
        </w:rPr>
      </w:pPr>
    </w:p>
    <w:sectPr w:rsidR="00343859">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60A49" w14:textId="77777777" w:rsidR="00400326" w:rsidRDefault="00400326">
      <w:r>
        <w:separator/>
      </w:r>
    </w:p>
  </w:endnote>
  <w:endnote w:type="continuationSeparator" w:id="0">
    <w:p w14:paraId="40A4D0E3" w14:textId="77777777" w:rsidR="00400326" w:rsidRDefault="0040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BCFE0" w14:textId="77777777" w:rsidR="00343859" w:rsidRDefault="003438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B32BAAF" w14:textId="77777777" w:rsidR="00343859" w:rsidRDefault="003438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30C482" w14:textId="77777777" w:rsidR="00343859" w:rsidRDefault="003438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Z:\00000000-law\yael\06-04-25\999_609.doc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1778" w14:textId="77777777" w:rsidR="00343859" w:rsidRDefault="003438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0F8D">
      <w:rPr>
        <w:rFonts w:hAnsi="FrankRuehl" w:cs="FrankRuehl"/>
        <w:noProof/>
        <w:sz w:val="24"/>
        <w:szCs w:val="24"/>
        <w:rtl/>
      </w:rPr>
      <w:t>2</w:t>
    </w:r>
    <w:r>
      <w:rPr>
        <w:rFonts w:hAnsi="FrankRuehl" w:cs="FrankRuehl"/>
        <w:sz w:val="24"/>
        <w:szCs w:val="24"/>
        <w:rtl/>
      </w:rPr>
      <w:fldChar w:fldCharType="end"/>
    </w:r>
  </w:p>
  <w:p w14:paraId="4FFC1E99" w14:textId="77777777" w:rsidR="00343859" w:rsidRDefault="003438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2EC2C7" w14:textId="77777777" w:rsidR="00343859" w:rsidRDefault="003438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Z:\00000000-law\yael\06-04-25\999_609.doc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76029" w14:textId="77777777" w:rsidR="00400326" w:rsidRDefault="00400326">
      <w:r>
        <w:separator/>
      </w:r>
    </w:p>
  </w:footnote>
  <w:footnote w:type="continuationSeparator" w:id="0">
    <w:p w14:paraId="54DC3F63" w14:textId="77777777" w:rsidR="00400326" w:rsidRDefault="00400326">
      <w:r>
        <w:continuationSeparator/>
      </w:r>
    </w:p>
  </w:footnote>
  <w:footnote w:id="1">
    <w:p w14:paraId="688C487F" w14:textId="77777777" w:rsidR="00343859" w:rsidRDefault="003438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6475</w:t>
        </w:r>
      </w:hyperlink>
      <w:r>
        <w:rPr>
          <w:rFonts w:cs="FrankRuehl" w:hint="cs"/>
          <w:rtl/>
        </w:rPr>
        <w:t xml:space="preserve"> מיום 10.4.2006 עמ' 708.</w:t>
      </w:r>
    </w:p>
    <w:p w14:paraId="68C61C1B" w14:textId="77777777" w:rsidR="00343859" w:rsidRDefault="00343859">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4322" w14:textId="77777777" w:rsidR="00343859" w:rsidRDefault="003438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4032B86" w14:textId="77777777" w:rsidR="00343859" w:rsidRDefault="003438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A961AF" w14:textId="77777777" w:rsidR="00343859" w:rsidRDefault="0034385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E143" w14:textId="77777777" w:rsidR="00343859" w:rsidRDefault="0034385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(קביעת יחידים שיראו אותם כתושבי ישראל וקביעת יחידים שלא יראו אותם כתושבי ישראל), תשס"ו-2006</w:t>
    </w:r>
  </w:p>
  <w:p w14:paraId="5F48A094" w14:textId="77777777" w:rsidR="00343859" w:rsidRDefault="003438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45346C" w14:textId="77777777" w:rsidR="00343859" w:rsidRDefault="0034385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0776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3859"/>
    <w:rsid w:val="00330F8D"/>
    <w:rsid w:val="00343859"/>
    <w:rsid w:val="00400326"/>
    <w:rsid w:val="009916A1"/>
    <w:rsid w:val="00A93F93"/>
    <w:rsid w:val="00FA21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F32B73A"/>
  <w15:chartTrackingRefBased/>
  <w15:docId w15:val="{7057D7C3-A157-40DE-B448-F8394E7D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2657</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7864329</vt:i4>
      </vt:variant>
      <vt:variant>
        <vt:i4>0</vt:i4>
      </vt:variant>
      <vt:variant>
        <vt:i4>0</vt:i4>
      </vt:variant>
      <vt:variant>
        <vt:i4>5</vt:i4>
      </vt:variant>
      <vt:variant>
        <vt:lpwstr>http://www.nevo.co.il/Law_word/law06/TAK-6475.pdf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(קביעת יחידים שיראו אותם כתושבי ישראל וקביעת יחידים שלא יראו אותם כתושבי ישראל), תשס"ו-2006</vt:lpwstr>
  </property>
  <property fmtid="{D5CDD505-2E9C-101B-9397-08002B2CF9AE}" pid="4" name="LAWNUMBER">
    <vt:lpwstr>0609</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http://www.nevo.co.il/Law_word/law06/TAK-6475.pdf;רשומות - תקנות כלליות#פורסם ק"ת תשס"ו מס' 6475 #מיום 10.4.2006 #עמ' 708</vt:lpwstr>
  </property>
  <property fmtid="{D5CDD505-2E9C-101B-9397-08002B2CF9AE}" pid="22" name="MEKOR_NAME1">
    <vt:lpwstr>פקודת מס הכנסה </vt:lpwstr>
  </property>
  <property fmtid="{D5CDD505-2E9C-101B-9397-08002B2CF9AE}" pid="23" name="MEKOR_SAIF1">
    <vt:lpwstr>1X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קביעות וכללים</vt:lpwstr>
  </property>
  <property fmtid="{D5CDD505-2E9C-101B-9397-08002B2CF9AE}" pid="27" name="NOSE41">
    <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תושב ישראל</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