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69E3B" w14:textId="77777777" w:rsidR="0088271E" w:rsidRDefault="0088271E" w:rsidP="00D6406B">
      <w:pPr>
        <w:pStyle w:val="big-header"/>
        <w:ind w:left="0" w:right="1134"/>
        <w:rPr>
          <w:rFonts w:cs="FrankRuehl"/>
          <w:sz w:val="32"/>
        </w:rPr>
      </w:pPr>
      <w:r>
        <w:rPr>
          <w:rFonts w:cs="FrankRuehl" w:hint="cs"/>
          <w:sz w:val="32"/>
          <w:rtl/>
        </w:rPr>
        <w:t>תקנות מס הכנסה (שווי השימוש ברדיו טלפון נייד), תשס"ב-2002</w:t>
      </w:r>
    </w:p>
    <w:p w14:paraId="31110C8F" w14:textId="77777777" w:rsidR="000C64A1" w:rsidRPr="000C64A1" w:rsidRDefault="000C64A1" w:rsidP="000C64A1">
      <w:pPr>
        <w:spacing w:line="320" w:lineRule="auto"/>
        <w:rPr>
          <w:rStyle w:val="default"/>
          <w:rFonts w:cs="FrankRuehl"/>
          <w:sz w:val="22"/>
          <w:rtl/>
        </w:rPr>
      </w:pPr>
    </w:p>
    <w:p w14:paraId="761B9C98" w14:textId="77777777" w:rsidR="000C64A1" w:rsidRDefault="000C64A1" w:rsidP="000C64A1">
      <w:pPr>
        <w:spacing w:line="320" w:lineRule="auto"/>
        <w:rPr>
          <w:rStyle w:val="default"/>
          <w:sz w:val="22"/>
          <w:szCs w:val="22"/>
          <w:rtl/>
        </w:rPr>
      </w:pPr>
    </w:p>
    <w:p w14:paraId="1C535A79" w14:textId="77777777" w:rsidR="000C64A1" w:rsidRPr="000C64A1" w:rsidRDefault="000C64A1" w:rsidP="000C64A1">
      <w:pPr>
        <w:spacing w:line="320" w:lineRule="auto"/>
        <w:rPr>
          <w:rStyle w:val="default"/>
          <w:rFonts w:cs="Miriam"/>
          <w:sz w:val="22"/>
          <w:szCs w:val="22"/>
          <w:rtl/>
        </w:rPr>
      </w:pPr>
      <w:r w:rsidRPr="000C64A1">
        <w:rPr>
          <w:rStyle w:val="default"/>
          <w:rFonts w:cs="Miriam"/>
          <w:sz w:val="22"/>
          <w:szCs w:val="22"/>
          <w:rtl/>
        </w:rPr>
        <w:t>מסים</w:t>
      </w:r>
      <w:r w:rsidRPr="000C64A1">
        <w:rPr>
          <w:rStyle w:val="default"/>
          <w:rFonts w:cs="FrankRuehl"/>
          <w:sz w:val="22"/>
          <w:rtl/>
        </w:rPr>
        <w:t xml:space="preserve"> – מס הכנסה – שווי</w:t>
      </w:r>
    </w:p>
    <w:p w14:paraId="44C2931F" w14:textId="77777777" w:rsidR="00D6406B" w:rsidRDefault="00D6406B">
      <w:pPr>
        <w:pStyle w:val="big-header"/>
        <w:ind w:left="0" w:right="1134"/>
        <w:rPr>
          <w:rFonts w:cs="FrankRuehl" w:hint="cs"/>
          <w:sz w:val="32"/>
          <w:rtl/>
        </w:rPr>
      </w:pPr>
      <w:r w:rsidRPr="00D6406B">
        <w:rPr>
          <w:rFonts w:cs="FrankRuehl" w:hint="cs"/>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88271E" w14:paraId="29F20A10" w14:textId="77777777">
        <w:tblPrEx>
          <w:tblCellMar>
            <w:top w:w="0" w:type="dxa"/>
            <w:bottom w:w="0" w:type="dxa"/>
          </w:tblCellMar>
        </w:tblPrEx>
        <w:tc>
          <w:tcPr>
            <w:tcW w:w="850" w:type="dxa"/>
          </w:tcPr>
          <w:p w14:paraId="7792EAD1" w14:textId="77777777" w:rsidR="0088271E" w:rsidRDefault="0088271E">
            <w:r>
              <w:rPr>
                <w:rtl/>
              </w:rPr>
              <w:fldChar w:fldCharType="begin"/>
            </w:r>
            <w:r>
              <w:rPr>
                <w:rtl/>
              </w:rPr>
              <w:instrText xml:space="preserve"> </w:instrText>
            </w:r>
            <w:r>
              <w:instrText>PAGEREF Seif0</w:instrText>
            </w:r>
            <w:r>
              <w:rPr>
                <w:rtl/>
              </w:rPr>
              <w:instrText xml:space="preserve"> </w:instrText>
            </w:r>
            <w:r>
              <w:rPr>
                <w:rtl/>
              </w:rPr>
              <w:fldChar w:fldCharType="separate"/>
            </w:r>
            <w:r w:rsidR="00D6406B">
              <w:rPr>
                <w:noProof/>
                <w:rtl/>
              </w:rPr>
              <w:t>2</w:t>
            </w:r>
            <w:r>
              <w:rPr>
                <w:rtl/>
              </w:rPr>
              <w:fldChar w:fldCharType="end"/>
            </w:r>
          </w:p>
        </w:tc>
        <w:tc>
          <w:tcPr>
            <w:tcW w:w="567" w:type="dxa"/>
          </w:tcPr>
          <w:p w14:paraId="5A475CF8" w14:textId="77777777" w:rsidR="0088271E" w:rsidRDefault="0088271E">
            <w:hyperlink w:anchor="Seif0" w:tooltip="הגדרות" w:history="1">
              <w:r>
                <w:rPr>
                  <w:rStyle w:val="Hyperlink"/>
                </w:rPr>
                <w:t>Go</w:t>
              </w:r>
            </w:hyperlink>
          </w:p>
        </w:tc>
        <w:tc>
          <w:tcPr>
            <w:tcW w:w="5669" w:type="dxa"/>
          </w:tcPr>
          <w:p w14:paraId="7EC67879" w14:textId="77777777" w:rsidR="0088271E" w:rsidRDefault="0088271E">
            <w:pPr>
              <w:rPr>
                <w:rtl/>
              </w:rPr>
            </w:pPr>
            <w:r>
              <w:rPr>
                <w:rtl/>
              </w:rPr>
              <w:t>הגדרות</w:t>
            </w:r>
          </w:p>
        </w:tc>
        <w:tc>
          <w:tcPr>
            <w:tcW w:w="1247" w:type="dxa"/>
          </w:tcPr>
          <w:p w14:paraId="1F08A6C1" w14:textId="77777777" w:rsidR="0088271E" w:rsidRDefault="0088271E">
            <w:r>
              <w:rPr>
                <w:rtl/>
              </w:rPr>
              <w:t xml:space="preserve">סעיף 1 </w:t>
            </w:r>
          </w:p>
        </w:tc>
      </w:tr>
      <w:tr w:rsidR="0088271E" w14:paraId="283D1E52" w14:textId="77777777">
        <w:tblPrEx>
          <w:tblCellMar>
            <w:top w:w="0" w:type="dxa"/>
            <w:bottom w:w="0" w:type="dxa"/>
          </w:tblCellMar>
        </w:tblPrEx>
        <w:tc>
          <w:tcPr>
            <w:tcW w:w="850" w:type="dxa"/>
          </w:tcPr>
          <w:p w14:paraId="4578DA62" w14:textId="77777777" w:rsidR="0088271E" w:rsidRDefault="0088271E">
            <w:r>
              <w:rPr>
                <w:rtl/>
              </w:rPr>
              <w:fldChar w:fldCharType="begin"/>
            </w:r>
            <w:r>
              <w:rPr>
                <w:rtl/>
              </w:rPr>
              <w:instrText xml:space="preserve"> </w:instrText>
            </w:r>
            <w:r>
              <w:instrText>PAGEREF Seif1</w:instrText>
            </w:r>
            <w:r>
              <w:rPr>
                <w:rtl/>
              </w:rPr>
              <w:instrText xml:space="preserve"> </w:instrText>
            </w:r>
            <w:r>
              <w:rPr>
                <w:rtl/>
              </w:rPr>
              <w:fldChar w:fldCharType="separate"/>
            </w:r>
            <w:r w:rsidR="00D6406B">
              <w:rPr>
                <w:noProof/>
                <w:rtl/>
              </w:rPr>
              <w:t>2</w:t>
            </w:r>
            <w:r>
              <w:rPr>
                <w:rtl/>
              </w:rPr>
              <w:fldChar w:fldCharType="end"/>
            </w:r>
          </w:p>
        </w:tc>
        <w:tc>
          <w:tcPr>
            <w:tcW w:w="567" w:type="dxa"/>
          </w:tcPr>
          <w:p w14:paraId="485EC1E2" w14:textId="77777777" w:rsidR="0088271E" w:rsidRDefault="0088271E">
            <w:hyperlink w:anchor="Seif1" w:tooltip="שווי השימוש בטלפון נייד" w:history="1">
              <w:r>
                <w:rPr>
                  <w:rStyle w:val="Hyperlink"/>
                </w:rPr>
                <w:t>Go</w:t>
              </w:r>
            </w:hyperlink>
          </w:p>
        </w:tc>
        <w:tc>
          <w:tcPr>
            <w:tcW w:w="5669" w:type="dxa"/>
          </w:tcPr>
          <w:p w14:paraId="7640E499" w14:textId="77777777" w:rsidR="0088271E" w:rsidRDefault="0088271E">
            <w:pPr>
              <w:rPr>
                <w:rtl/>
              </w:rPr>
            </w:pPr>
            <w:r>
              <w:rPr>
                <w:rtl/>
              </w:rPr>
              <w:t>שווי השימוש בטלפון נייד</w:t>
            </w:r>
          </w:p>
        </w:tc>
        <w:tc>
          <w:tcPr>
            <w:tcW w:w="1247" w:type="dxa"/>
          </w:tcPr>
          <w:p w14:paraId="328EB832" w14:textId="77777777" w:rsidR="0088271E" w:rsidRDefault="0088271E">
            <w:r>
              <w:rPr>
                <w:rtl/>
              </w:rPr>
              <w:t xml:space="preserve">סעיף 2 </w:t>
            </w:r>
          </w:p>
        </w:tc>
      </w:tr>
      <w:tr w:rsidR="0088271E" w14:paraId="30AA7416" w14:textId="77777777">
        <w:tblPrEx>
          <w:tblCellMar>
            <w:top w:w="0" w:type="dxa"/>
            <w:bottom w:w="0" w:type="dxa"/>
          </w:tblCellMar>
        </w:tblPrEx>
        <w:tc>
          <w:tcPr>
            <w:tcW w:w="850" w:type="dxa"/>
          </w:tcPr>
          <w:p w14:paraId="4BC1068E" w14:textId="77777777" w:rsidR="0088271E" w:rsidRDefault="0088271E">
            <w:r>
              <w:rPr>
                <w:rtl/>
              </w:rPr>
              <w:fldChar w:fldCharType="begin"/>
            </w:r>
            <w:r>
              <w:rPr>
                <w:rtl/>
              </w:rPr>
              <w:instrText xml:space="preserve"> </w:instrText>
            </w:r>
            <w:r>
              <w:instrText>PAGEREF Seif2</w:instrText>
            </w:r>
            <w:r>
              <w:rPr>
                <w:rtl/>
              </w:rPr>
              <w:instrText xml:space="preserve"> </w:instrText>
            </w:r>
            <w:r>
              <w:rPr>
                <w:rtl/>
              </w:rPr>
              <w:fldChar w:fldCharType="separate"/>
            </w:r>
            <w:r w:rsidR="00D6406B">
              <w:rPr>
                <w:noProof/>
                <w:rtl/>
              </w:rPr>
              <w:t>2</w:t>
            </w:r>
            <w:r>
              <w:rPr>
                <w:rtl/>
              </w:rPr>
              <w:fldChar w:fldCharType="end"/>
            </w:r>
          </w:p>
        </w:tc>
        <w:tc>
          <w:tcPr>
            <w:tcW w:w="567" w:type="dxa"/>
          </w:tcPr>
          <w:p w14:paraId="47255C76" w14:textId="77777777" w:rsidR="0088271E" w:rsidRDefault="0088271E">
            <w:hyperlink w:anchor="Seif2" w:tooltip="הצמדה ועיגול סכומים" w:history="1">
              <w:r>
                <w:rPr>
                  <w:rStyle w:val="Hyperlink"/>
                </w:rPr>
                <w:t>Go</w:t>
              </w:r>
            </w:hyperlink>
          </w:p>
        </w:tc>
        <w:tc>
          <w:tcPr>
            <w:tcW w:w="5669" w:type="dxa"/>
          </w:tcPr>
          <w:p w14:paraId="7F5903C3" w14:textId="77777777" w:rsidR="0088271E" w:rsidRDefault="0088271E">
            <w:pPr>
              <w:rPr>
                <w:rtl/>
              </w:rPr>
            </w:pPr>
            <w:r>
              <w:rPr>
                <w:rtl/>
              </w:rPr>
              <w:t>הצמדה ועיגול סכומים</w:t>
            </w:r>
          </w:p>
        </w:tc>
        <w:tc>
          <w:tcPr>
            <w:tcW w:w="1247" w:type="dxa"/>
          </w:tcPr>
          <w:p w14:paraId="14F25B6F" w14:textId="77777777" w:rsidR="0088271E" w:rsidRDefault="0088271E">
            <w:r>
              <w:rPr>
                <w:rtl/>
              </w:rPr>
              <w:t xml:space="preserve">סעיף 3 </w:t>
            </w:r>
          </w:p>
        </w:tc>
      </w:tr>
      <w:tr w:rsidR="0088271E" w14:paraId="4EF523B4" w14:textId="77777777">
        <w:tblPrEx>
          <w:tblCellMar>
            <w:top w:w="0" w:type="dxa"/>
            <w:bottom w:w="0" w:type="dxa"/>
          </w:tblCellMar>
        </w:tblPrEx>
        <w:tc>
          <w:tcPr>
            <w:tcW w:w="850" w:type="dxa"/>
          </w:tcPr>
          <w:p w14:paraId="163443C4" w14:textId="77777777" w:rsidR="0088271E" w:rsidRDefault="0088271E">
            <w:r>
              <w:rPr>
                <w:rtl/>
              </w:rPr>
              <w:fldChar w:fldCharType="begin"/>
            </w:r>
            <w:r>
              <w:rPr>
                <w:rtl/>
              </w:rPr>
              <w:instrText xml:space="preserve"> </w:instrText>
            </w:r>
            <w:r>
              <w:instrText>PAGEREF Seif3</w:instrText>
            </w:r>
            <w:r>
              <w:rPr>
                <w:rtl/>
              </w:rPr>
              <w:instrText xml:space="preserve"> </w:instrText>
            </w:r>
            <w:r>
              <w:rPr>
                <w:rtl/>
              </w:rPr>
              <w:fldChar w:fldCharType="separate"/>
            </w:r>
            <w:r w:rsidR="00D6406B">
              <w:rPr>
                <w:noProof/>
                <w:rtl/>
              </w:rPr>
              <w:t>2</w:t>
            </w:r>
            <w:r>
              <w:rPr>
                <w:rtl/>
              </w:rPr>
              <w:fldChar w:fldCharType="end"/>
            </w:r>
          </w:p>
        </w:tc>
        <w:tc>
          <w:tcPr>
            <w:tcW w:w="567" w:type="dxa"/>
          </w:tcPr>
          <w:p w14:paraId="6E186C86" w14:textId="77777777" w:rsidR="0088271E" w:rsidRDefault="0088271E">
            <w:hyperlink w:anchor="Seif3" w:tooltip="תחולה" w:history="1">
              <w:r>
                <w:rPr>
                  <w:rStyle w:val="Hyperlink"/>
                </w:rPr>
                <w:t>Go</w:t>
              </w:r>
            </w:hyperlink>
          </w:p>
        </w:tc>
        <w:tc>
          <w:tcPr>
            <w:tcW w:w="5669" w:type="dxa"/>
          </w:tcPr>
          <w:p w14:paraId="3A0844F8" w14:textId="77777777" w:rsidR="0088271E" w:rsidRDefault="0088271E">
            <w:pPr>
              <w:rPr>
                <w:rtl/>
              </w:rPr>
            </w:pPr>
            <w:r>
              <w:rPr>
                <w:rtl/>
              </w:rPr>
              <w:t>תחולה</w:t>
            </w:r>
          </w:p>
        </w:tc>
        <w:tc>
          <w:tcPr>
            <w:tcW w:w="1247" w:type="dxa"/>
          </w:tcPr>
          <w:p w14:paraId="6A4AB455" w14:textId="77777777" w:rsidR="0088271E" w:rsidRDefault="0088271E">
            <w:r>
              <w:rPr>
                <w:rtl/>
              </w:rPr>
              <w:t xml:space="preserve">סעיף 4 </w:t>
            </w:r>
          </w:p>
        </w:tc>
      </w:tr>
    </w:tbl>
    <w:p w14:paraId="2D678FC7" w14:textId="77777777" w:rsidR="00D6406B" w:rsidRDefault="00D6406B" w:rsidP="00D6406B">
      <w:pPr>
        <w:pStyle w:val="big-header"/>
        <w:ind w:left="0" w:right="1134"/>
        <w:rPr>
          <w:rFonts w:cs="FrankRuehl" w:hint="cs"/>
          <w:sz w:val="32"/>
          <w:rtl/>
        </w:rPr>
      </w:pPr>
    </w:p>
    <w:p w14:paraId="79038188" w14:textId="77777777" w:rsidR="00D6406B" w:rsidRDefault="00D6406B" w:rsidP="000C64A1">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תקנות מס הכנסה (שווי השימוש ברדיו טלפון נייד), תשס"ב-2002</w:t>
      </w:r>
      <w:r>
        <w:rPr>
          <w:rStyle w:val="default"/>
          <w:sz w:val="22"/>
          <w:szCs w:val="22"/>
          <w:rtl/>
        </w:rPr>
        <w:footnoteReference w:customMarkFollows="1" w:id="1"/>
        <w:t>*</w:t>
      </w:r>
    </w:p>
    <w:p w14:paraId="168D401C" w14:textId="77777777" w:rsidR="0088271E" w:rsidRDefault="0088271E">
      <w:pPr>
        <w:pStyle w:val="P00"/>
        <w:spacing w:before="72"/>
        <w:ind w:left="0" w:right="1134"/>
        <w:rPr>
          <w:rStyle w:val="default"/>
          <w:rFonts w:cs="FrankRuehl"/>
          <w:rtl/>
        </w:rPr>
      </w:pPr>
      <w:r>
        <w:rPr>
          <w:rFonts w:cs="FrankRuehl"/>
          <w:sz w:val="26"/>
          <w:rtl/>
        </w:rPr>
        <w:tab/>
      </w:r>
      <w:r>
        <w:rPr>
          <w:rStyle w:val="default"/>
          <w:rFonts w:cs="FrankRuehl"/>
          <w:rtl/>
        </w:rPr>
        <w:t xml:space="preserve">בתוקף סמכותי לפי </w:t>
      </w:r>
      <w:r>
        <w:rPr>
          <w:rStyle w:val="default"/>
          <w:rFonts w:cs="FrankRuehl" w:hint="cs"/>
          <w:rtl/>
        </w:rPr>
        <w:t xml:space="preserve">סעיפים 2(2)(ב) ו-243 לפקודת מס הכנסה (להלן </w:t>
      </w:r>
      <w:r>
        <w:rPr>
          <w:rStyle w:val="default"/>
          <w:rFonts w:cs="FrankRuehl"/>
          <w:rtl/>
        </w:rPr>
        <w:t>–</w:t>
      </w:r>
      <w:r>
        <w:rPr>
          <w:rStyle w:val="default"/>
          <w:rFonts w:cs="FrankRuehl" w:hint="cs"/>
          <w:rtl/>
        </w:rPr>
        <w:t xml:space="preserve"> הפקודה)</w:t>
      </w:r>
      <w:r>
        <w:rPr>
          <w:rStyle w:val="default"/>
          <w:rFonts w:cs="FrankRuehl"/>
          <w:rtl/>
        </w:rPr>
        <w:t>,</w:t>
      </w:r>
      <w:r>
        <w:rPr>
          <w:rStyle w:val="default"/>
          <w:rFonts w:cs="FrankRuehl" w:hint="cs"/>
          <w:rtl/>
        </w:rPr>
        <w:t xml:space="preserve"> </w:t>
      </w:r>
      <w:r>
        <w:rPr>
          <w:rStyle w:val="default"/>
          <w:rFonts w:cs="FrankRuehl"/>
          <w:rtl/>
        </w:rPr>
        <w:t xml:space="preserve">ובאישור ועדת </w:t>
      </w:r>
      <w:r>
        <w:rPr>
          <w:rStyle w:val="default"/>
          <w:rFonts w:cs="FrankRuehl" w:hint="cs"/>
          <w:rtl/>
        </w:rPr>
        <w:t>הכספים</w:t>
      </w:r>
      <w:r>
        <w:rPr>
          <w:rStyle w:val="default"/>
          <w:rFonts w:cs="FrankRuehl"/>
          <w:rtl/>
        </w:rPr>
        <w:t xml:space="preserve"> של הכנסת, אני </w:t>
      </w:r>
      <w:r>
        <w:rPr>
          <w:rStyle w:val="default"/>
          <w:rFonts w:cs="FrankRuehl" w:hint="cs"/>
          <w:rtl/>
        </w:rPr>
        <w:t>מתקין תקנות אלה</w:t>
      </w:r>
      <w:r>
        <w:rPr>
          <w:rStyle w:val="default"/>
          <w:rFonts w:cs="FrankRuehl"/>
          <w:rtl/>
        </w:rPr>
        <w:t>:</w:t>
      </w:r>
    </w:p>
    <w:p w14:paraId="43E135D5" w14:textId="77777777" w:rsidR="0088271E" w:rsidRDefault="0088271E">
      <w:pPr>
        <w:pStyle w:val="P00"/>
        <w:spacing w:before="72"/>
        <w:ind w:left="0" w:right="1134"/>
        <w:rPr>
          <w:rStyle w:val="default"/>
          <w:rFonts w:cs="FrankRuehl" w:hint="cs"/>
          <w:rtl/>
        </w:rPr>
      </w:pPr>
      <w:bookmarkStart w:id="0" w:name="Seif0"/>
      <w:bookmarkEnd w:id="0"/>
      <w:r>
        <w:rPr>
          <w:rFonts w:cs="Miriam"/>
          <w:lang w:val="he-IL"/>
        </w:rPr>
        <w:pict w14:anchorId="5DC68C62">
          <v:rect id="_x0000_s1026" style="position:absolute;left:0;text-align:left;margin-left:464.5pt;margin-top:8.05pt;width:75.05pt;height:10pt;z-index:251656192" o:allowincell="f" filled="f" stroked="f" strokecolor="lime" strokeweight=".25pt">
            <v:textbox inset="0,0,0,0">
              <w:txbxContent>
                <w:p w14:paraId="69236118" w14:textId="77777777" w:rsidR="0088271E" w:rsidRDefault="0088271E">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בתקנות אלה </w:t>
      </w:r>
      <w:r>
        <w:rPr>
          <w:rStyle w:val="default"/>
          <w:rFonts w:cs="FrankRuehl"/>
          <w:rtl/>
        </w:rPr>
        <w:t>–</w:t>
      </w:r>
    </w:p>
    <w:p w14:paraId="31DB070B" w14:textId="77777777" w:rsidR="0088271E" w:rsidRDefault="0088271E">
      <w:pPr>
        <w:pStyle w:val="P00"/>
        <w:spacing w:before="72"/>
        <w:ind w:left="0" w:right="1134"/>
        <w:rPr>
          <w:rStyle w:val="default"/>
          <w:rFonts w:cs="FrankRuehl" w:hint="cs"/>
          <w:rtl/>
        </w:rPr>
      </w:pPr>
      <w:r>
        <w:rPr>
          <w:rStyle w:val="default"/>
          <w:rFonts w:cs="FrankRuehl" w:hint="cs"/>
          <w:rtl/>
        </w:rPr>
        <w:tab/>
        <w:t xml:space="preserve">"הוצאה חודשית" </w:t>
      </w:r>
      <w:r>
        <w:rPr>
          <w:rStyle w:val="default"/>
          <w:rFonts w:cs="FrankRuehl"/>
          <w:rtl/>
        </w:rPr>
        <w:t>–</w:t>
      </w:r>
      <w:r>
        <w:rPr>
          <w:rStyle w:val="default"/>
          <w:rFonts w:cs="FrankRuehl" w:hint="cs"/>
          <w:rtl/>
        </w:rPr>
        <w:t xml:space="preserve"> הוצאות שהוצאו בחודש בשל רדיו טלפון נייד, לרבות הוצאות קבועות;</w:t>
      </w:r>
    </w:p>
    <w:p w14:paraId="3AAA0298" w14:textId="77777777" w:rsidR="0088271E" w:rsidRDefault="0088271E">
      <w:pPr>
        <w:pStyle w:val="P00"/>
        <w:spacing w:before="72"/>
        <w:ind w:left="0" w:right="1134"/>
        <w:rPr>
          <w:rStyle w:val="default"/>
          <w:rFonts w:cs="FrankRuehl" w:hint="cs"/>
          <w:rtl/>
        </w:rPr>
      </w:pPr>
      <w:r>
        <w:rPr>
          <w:rStyle w:val="default"/>
          <w:rFonts w:cs="FrankRuehl" w:hint="cs"/>
          <w:rtl/>
        </w:rPr>
        <w:tab/>
        <w:t xml:space="preserve">"הועמד לרשות העובד" </w:t>
      </w:r>
      <w:r>
        <w:rPr>
          <w:rStyle w:val="default"/>
          <w:rFonts w:cs="FrankRuehl"/>
          <w:rtl/>
        </w:rPr>
        <w:t>–</w:t>
      </w:r>
      <w:r>
        <w:rPr>
          <w:rStyle w:val="default"/>
          <w:rFonts w:cs="FrankRuehl" w:hint="cs"/>
          <w:rtl/>
        </w:rPr>
        <w:t xml:space="preserve"> ניתן לשימושו האישי של העובד.</w:t>
      </w:r>
    </w:p>
    <w:p w14:paraId="273253A4" w14:textId="77777777" w:rsidR="0088271E" w:rsidRDefault="0088271E">
      <w:pPr>
        <w:pStyle w:val="P00"/>
        <w:spacing w:before="72"/>
        <w:ind w:left="0" w:right="1134"/>
        <w:rPr>
          <w:rStyle w:val="default"/>
          <w:rFonts w:cs="FrankRuehl" w:hint="cs"/>
          <w:rtl/>
        </w:rPr>
      </w:pPr>
      <w:bookmarkStart w:id="1" w:name="Seif1"/>
      <w:bookmarkEnd w:id="1"/>
      <w:r>
        <w:rPr>
          <w:rFonts w:cs="Miriam"/>
          <w:lang w:val="he-IL"/>
        </w:rPr>
        <w:pict w14:anchorId="25046F68">
          <v:rect id="_x0000_s1032" style="position:absolute;left:0;text-align:left;margin-left:464.5pt;margin-top:8.05pt;width:75.05pt;height:17.9pt;z-index:251657216" o:allowincell="f" filled="f" stroked="f" strokecolor="lime" strokeweight=".25pt">
            <v:textbox style="mso-next-textbox:#_x0000_s1032" inset="0,0,0,0">
              <w:txbxContent>
                <w:p w14:paraId="04B0AAA7" w14:textId="77777777" w:rsidR="0088271E" w:rsidRDefault="0088271E">
                  <w:pPr>
                    <w:spacing w:line="160" w:lineRule="exact"/>
                    <w:rPr>
                      <w:rFonts w:cs="Miriam" w:hint="cs"/>
                      <w:noProof/>
                      <w:sz w:val="18"/>
                      <w:szCs w:val="18"/>
                      <w:rtl/>
                    </w:rPr>
                  </w:pPr>
                  <w:r>
                    <w:rPr>
                      <w:rFonts w:cs="Miriam" w:hint="cs"/>
                      <w:sz w:val="18"/>
                      <w:szCs w:val="18"/>
                      <w:rtl/>
                    </w:rPr>
                    <w:t>שווי השימוש בטלפון נייד</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Pr>
          <w:rStyle w:val="default"/>
          <w:rFonts w:cs="FrankRuehl" w:hint="cs"/>
          <w:rtl/>
        </w:rPr>
        <w:t>שווי השימוש לכל חודש ברדיו טלפון נייד שהועמד לרשות העובד, למעט רדיו טלפון כאמור שניתן להתקשר ממנו למקום העבודה בלבד, יהיה מחצית מההוצאה החודשית, או 80 שקלים חדשים לפי הנמוך, והכל בניכוי סכום ההוצאה החודשית ששילם העובד בשל אותו רדיו טלפון נייד.</w:t>
      </w:r>
    </w:p>
    <w:p w14:paraId="50BF8CEC" w14:textId="77777777" w:rsidR="0088271E" w:rsidRDefault="0088271E">
      <w:pPr>
        <w:pStyle w:val="P00"/>
        <w:spacing w:before="72"/>
        <w:ind w:left="0" w:right="1134"/>
        <w:rPr>
          <w:rStyle w:val="default"/>
          <w:rFonts w:cs="FrankRuehl" w:hint="cs"/>
          <w:rtl/>
        </w:rPr>
      </w:pPr>
      <w:bookmarkStart w:id="2" w:name="Seif2"/>
      <w:bookmarkEnd w:id="2"/>
      <w:r>
        <w:rPr>
          <w:rFonts w:cs="Miriam"/>
          <w:lang w:val="he-IL"/>
        </w:rPr>
        <w:pict w14:anchorId="3632C086">
          <v:rect id="_x0000_s1036" style="position:absolute;left:0;text-align:left;margin-left:464.5pt;margin-top:8.05pt;width:75.05pt;height:17.15pt;z-index:251658240" o:allowincell="f" filled="f" stroked="f" strokecolor="lime" strokeweight=".25pt">
            <v:textbox style="mso-next-textbox:#_x0000_s1036" inset="0,0,0,0">
              <w:txbxContent>
                <w:p w14:paraId="78ED599F" w14:textId="77777777" w:rsidR="0088271E" w:rsidRDefault="0088271E">
                  <w:pPr>
                    <w:spacing w:line="160" w:lineRule="exact"/>
                    <w:rPr>
                      <w:rFonts w:cs="Miriam" w:hint="cs"/>
                      <w:noProof/>
                      <w:sz w:val="18"/>
                      <w:szCs w:val="18"/>
                      <w:rtl/>
                    </w:rPr>
                  </w:pPr>
                  <w:r>
                    <w:rPr>
                      <w:rFonts w:cs="Miriam" w:hint="cs"/>
                      <w:sz w:val="18"/>
                      <w:szCs w:val="18"/>
                      <w:rtl/>
                    </w:rPr>
                    <w:t>הצמדה ועיגול סכומים</w:t>
                  </w:r>
                </w:p>
              </w:txbxContent>
            </v:textbox>
            <w10:anchorlock/>
          </v:rect>
        </w:pict>
      </w:r>
      <w:r>
        <w:rPr>
          <w:rStyle w:val="big-number"/>
          <w:rFonts w:cs="Miriam"/>
          <w:rtl/>
        </w:rPr>
        <w:t>3</w:t>
      </w:r>
      <w:r>
        <w:rPr>
          <w:rStyle w:val="big-number"/>
          <w:rFonts w:cs="FrankRuehl"/>
          <w:sz w:val="26"/>
          <w:szCs w:val="26"/>
          <w:rtl/>
        </w:rPr>
        <w:t>.</w:t>
      </w:r>
      <w:r>
        <w:rPr>
          <w:rStyle w:val="big-number"/>
          <w:rFonts w:cs="FrankRuehl"/>
          <w:sz w:val="26"/>
          <w:szCs w:val="26"/>
          <w:rtl/>
        </w:rPr>
        <w:tab/>
      </w:r>
      <w:r>
        <w:rPr>
          <w:rStyle w:val="default"/>
          <w:rFonts w:cs="FrankRuehl" w:hint="cs"/>
          <w:rtl/>
        </w:rPr>
        <w:t>הסכומים הנקובים בתקנות אלה יתואמו על פי סעיף 120ב לפקודה כאילו היו תקרות הכנסה ויעוגלו לסכום הקרוב שהוא מכפלה של חמישה שקלים חדשים.</w:t>
      </w:r>
    </w:p>
    <w:p w14:paraId="5F8E2B79" w14:textId="77777777" w:rsidR="0088271E" w:rsidRDefault="0088271E">
      <w:pPr>
        <w:pStyle w:val="P00"/>
        <w:spacing w:before="72"/>
        <w:ind w:left="0" w:right="1134"/>
        <w:rPr>
          <w:rStyle w:val="default"/>
          <w:rFonts w:cs="FrankRuehl" w:hint="cs"/>
          <w:rtl/>
        </w:rPr>
      </w:pPr>
      <w:bookmarkStart w:id="3" w:name="Seif3"/>
      <w:bookmarkEnd w:id="3"/>
      <w:r>
        <w:rPr>
          <w:rFonts w:cs="Miriam"/>
          <w:szCs w:val="32"/>
          <w:rtl/>
          <w:lang w:val="he-IL"/>
        </w:rPr>
        <w:pict w14:anchorId="5410A30E">
          <v:shapetype id="_x0000_t202" coordsize="21600,21600" o:spt="202" path="m,l,21600r21600,l21600,xe">
            <v:stroke joinstyle="miter"/>
            <v:path gradientshapeok="t" o:connecttype="rect"/>
          </v:shapetype>
          <v:shape id="_x0000_s1048" type="#_x0000_t202" style="position:absolute;left:0;text-align:left;margin-left:472.5pt;margin-top:6.1pt;width:1in;height:18pt;z-index:251659264" filled="f" stroked="f">
            <v:textbox>
              <w:txbxContent>
                <w:p w14:paraId="7ABADD55" w14:textId="77777777" w:rsidR="0088271E" w:rsidRDefault="0088271E">
                  <w:pPr>
                    <w:spacing w:line="160" w:lineRule="exact"/>
                    <w:rPr>
                      <w:rFonts w:cs="Miriam" w:hint="cs"/>
                      <w:sz w:val="18"/>
                      <w:szCs w:val="18"/>
                      <w:rtl/>
                    </w:rPr>
                  </w:pPr>
                  <w:r>
                    <w:rPr>
                      <w:rFonts w:cs="Miriam" w:hint="cs"/>
                      <w:sz w:val="18"/>
                      <w:szCs w:val="18"/>
                      <w:rtl/>
                    </w:rPr>
                    <w:t>תחולה</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t>תקנות אלה יחולו לגבי הוצאות שהוצאו ביום י"ט באייר התשס"ב (1 במאי 2002) ואילך.</w:t>
      </w:r>
    </w:p>
    <w:p w14:paraId="6C26B6D1" w14:textId="77777777" w:rsidR="0088271E" w:rsidRDefault="0088271E">
      <w:pPr>
        <w:pStyle w:val="page"/>
        <w:widowControl/>
        <w:tabs>
          <w:tab w:val="left" w:pos="4536"/>
        </w:tabs>
        <w:ind w:right="1134"/>
        <w:rPr>
          <w:rStyle w:val="default"/>
          <w:rFonts w:cs="FrankRuehl" w:hint="cs"/>
          <w:position w:val="0"/>
          <w:rtl/>
        </w:rPr>
      </w:pPr>
    </w:p>
    <w:p w14:paraId="2440656A" w14:textId="77777777" w:rsidR="0088271E" w:rsidRDefault="0088271E">
      <w:pPr>
        <w:pStyle w:val="page"/>
        <w:widowControl/>
        <w:ind w:right="1134"/>
        <w:rPr>
          <w:rStyle w:val="default"/>
          <w:rFonts w:cs="FrankRuehl"/>
          <w:position w:val="0"/>
          <w:rtl/>
        </w:rPr>
      </w:pPr>
    </w:p>
    <w:p w14:paraId="557F6627" w14:textId="77777777" w:rsidR="0088271E" w:rsidRDefault="0088271E">
      <w:pPr>
        <w:pStyle w:val="page"/>
        <w:widowControl/>
        <w:ind w:right="1134"/>
        <w:rPr>
          <w:rStyle w:val="default"/>
          <w:rFonts w:cs="FrankRuehl"/>
          <w:position w:val="0"/>
          <w:rtl/>
        </w:rPr>
      </w:pPr>
    </w:p>
    <w:p w14:paraId="137ECD6C" w14:textId="77777777" w:rsidR="0088271E" w:rsidRDefault="0088271E">
      <w:pPr>
        <w:pStyle w:val="sig-0"/>
        <w:ind w:left="0" w:right="1134"/>
        <w:rPr>
          <w:rFonts w:cs="FrankRuehl" w:hint="cs"/>
          <w:sz w:val="26"/>
          <w:rtl/>
        </w:rPr>
      </w:pPr>
      <w:r>
        <w:rPr>
          <w:rFonts w:cs="FrankRuehl" w:hint="cs"/>
          <w:sz w:val="26"/>
          <w:rtl/>
        </w:rPr>
        <w:t>ט"ז בסיון התשס"ב (27 במאי 2002)</w:t>
      </w:r>
      <w:r>
        <w:rPr>
          <w:rFonts w:cs="FrankRuehl"/>
          <w:sz w:val="26"/>
          <w:rtl/>
        </w:rPr>
        <w:tab/>
      </w:r>
      <w:r>
        <w:rPr>
          <w:rFonts w:cs="FrankRuehl" w:hint="cs"/>
          <w:sz w:val="26"/>
          <w:rtl/>
        </w:rPr>
        <w:t>סילבן שלום</w:t>
      </w:r>
    </w:p>
    <w:p w14:paraId="029B6741" w14:textId="77777777" w:rsidR="0088271E" w:rsidRDefault="0088271E">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14:paraId="1ED4D2E0" w14:textId="77777777" w:rsidR="0088271E" w:rsidRDefault="0088271E">
      <w:pPr>
        <w:pStyle w:val="sig-1"/>
        <w:widowControl/>
        <w:ind w:left="0" w:right="1134"/>
        <w:rPr>
          <w:rFonts w:cs="FrankRuehl"/>
          <w:sz w:val="22"/>
          <w:rtl/>
        </w:rPr>
      </w:pPr>
    </w:p>
    <w:p w14:paraId="65AA9FEF" w14:textId="77777777" w:rsidR="0088271E" w:rsidRDefault="0088271E">
      <w:pPr>
        <w:pStyle w:val="sig-1"/>
        <w:widowControl/>
        <w:ind w:left="0" w:right="1134"/>
        <w:rPr>
          <w:rFonts w:cs="FrankRuehl"/>
          <w:sz w:val="22"/>
          <w:rtl/>
        </w:rPr>
      </w:pPr>
    </w:p>
    <w:sectPr w:rsidR="0088271E">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F3574" w14:textId="77777777" w:rsidR="00595E59" w:rsidRDefault="00595E59">
      <w:r>
        <w:separator/>
      </w:r>
    </w:p>
  </w:endnote>
  <w:endnote w:type="continuationSeparator" w:id="0">
    <w:p w14:paraId="184B3015" w14:textId="77777777" w:rsidR="00595E59" w:rsidRDefault="00595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639B" w14:textId="77777777" w:rsidR="0088271E" w:rsidRDefault="0088271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898E42F" w14:textId="77777777" w:rsidR="0088271E" w:rsidRDefault="0088271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C76C5BB" w14:textId="77777777" w:rsidR="0088271E" w:rsidRDefault="0088271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6406B">
      <w:rPr>
        <w:rFonts w:cs="TopType Jerushalmi"/>
        <w:noProof/>
        <w:color w:val="000000"/>
        <w:sz w:val="14"/>
        <w:szCs w:val="14"/>
      </w:rPr>
      <w:t>C:\Yael\hakika\Revadim\999_019.doc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9E5FE" w14:textId="77777777" w:rsidR="0088271E" w:rsidRDefault="0088271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C64A1">
      <w:rPr>
        <w:rFonts w:hAnsi="FrankRuehl" w:cs="FrankRuehl"/>
        <w:noProof/>
        <w:sz w:val="24"/>
        <w:szCs w:val="24"/>
        <w:rtl/>
      </w:rPr>
      <w:t>1</w:t>
    </w:r>
    <w:r>
      <w:rPr>
        <w:rFonts w:hAnsi="FrankRuehl" w:cs="FrankRuehl"/>
        <w:sz w:val="24"/>
        <w:szCs w:val="24"/>
        <w:rtl/>
      </w:rPr>
      <w:fldChar w:fldCharType="end"/>
    </w:r>
  </w:p>
  <w:p w14:paraId="1028EE02" w14:textId="77777777" w:rsidR="0088271E" w:rsidRDefault="0088271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D3F8711" w14:textId="77777777" w:rsidR="0088271E" w:rsidRDefault="0088271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6406B">
      <w:rPr>
        <w:rFonts w:cs="TopType Jerushalmi"/>
        <w:noProof/>
        <w:color w:val="000000"/>
        <w:sz w:val="14"/>
        <w:szCs w:val="14"/>
      </w:rPr>
      <w:t>C:\Yael\hakika\Revadim\999_019.doc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C29C7" w14:textId="77777777" w:rsidR="00595E59" w:rsidRDefault="00595E59" w:rsidP="00D6406B">
      <w:pPr>
        <w:spacing w:before="60"/>
        <w:ind w:right="1134"/>
      </w:pPr>
      <w:r>
        <w:separator/>
      </w:r>
    </w:p>
  </w:footnote>
  <w:footnote w:type="continuationSeparator" w:id="0">
    <w:p w14:paraId="1DDB9D2D" w14:textId="77777777" w:rsidR="00595E59" w:rsidRDefault="00595E59">
      <w:r>
        <w:continuationSeparator/>
      </w:r>
    </w:p>
  </w:footnote>
  <w:footnote w:id="1">
    <w:p w14:paraId="6FB1A83C" w14:textId="77777777" w:rsidR="00D6406B" w:rsidRDefault="00D6406B" w:rsidP="00D640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3E5BE7">
          <w:rPr>
            <w:rStyle w:val="Hyperlink"/>
            <w:rFonts w:cs="FrankRuehl" w:hint="cs"/>
            <w:rtl/>
          </w:rPr>
          <w:t>ק"ת תשס"ב מס' 6172</w:t>
        </w:r>
      </w:hyperlink>
      <w:r>
        <w:rPr>
          <w:rFonts w:cs="FrankRuehl" w:hint="cs"/>
          <w:rtl/>
        </w:rPr>
        <w:t xml:space="preserve"> מיום 5.6.2002 עמ' 784.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C4EE1" w14:textId="77777777" w:rsidR="0088271E" w:rsidRDefault="0088271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716AEC72" w14:textId="77777777" w:rsidR="0088271E" w:rsidRDefault="0088271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DFDC208" w14:textId="77777777" w:rsidR="0088271E" w:rsidRDefault="0088271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E9E8B" w14:textId="77777777" w:rsidR="0088271E" w:rsidRDefault="0088271E">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מס הכנסה (שווי השימוש ברדיו טלפון נייד), תשס"ב-2002</w:t>
    </w:r>
  </w:p>
  <w:p w14:paraId="7565038C" w14:textId="77777777" w:rsidR="0088271E" w:rsidRDefault="0088271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F4615E2" w14:textId="77777777" w:rsidR="0088271E" w:rsidRDefault="0088271E">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8364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E5BE7"/>
    <w:rsid w:val="000C64A1"/>
    <w:rsid w:val="00320505"/>
    <w:rsid w:val="003E5BE7"/>
    <w:rsid w:val="00595E59"/>
    <w:rsid w:val="00831447"/>
    <w:rsid w:val="0088271E"/>
    <w:rsid w:val="00C44B59"/>
    <w:rsid w:val="00D6406B"/>
    <w:rsid w:val="00D95113"/>
    <w:rsid w:val="00DF4A1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ecimalSymbol w:val="."/>
  <w:listSeparator w:val=","/>
  <w14:docId w14:val="36DF6B71"/>
  <w15:chartTrackingRefBased/>
  <w15:docId w15:val="{FF9E3AE3-2FE9-4F3C-B9A4-F1643EC46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17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1322</CharactersWithSpaces>
  <SharedDoc>false</SharedDoc>
  <HLinks>
    <vt:vector size="30" baseType="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7864331</vt:i4>
      </vt:variant>
      <vt:variant>
        <vt:i4>0</vt:i4>
      </vt:variant>
      <vt:variant>
        <vt:i4>0</vt:i4>
      </vt:variant>
      <vt:variant>
        <vt:i4>5</vt:i4>
      </vt:variant>
      <vt:variant>
        <vt:lpwstr>http://www.nevo.co.il/Law_word/law06/TAK-6172.pdf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מס הכנסה (שווי השימוש ברדיו טלפון נייד), תשס"ב-2002</vt:lpwstr>
  </property>
  <property fmtid="{D5CDD505-2E9C-101B-9397-08002B2CF9AE}" pid="4" name="LAWNUMBER">
    <vt:lpwstr>0019</vt:lpwstr>
  </property>
  <property fmtid="{D5CDD505-2E9C-101B-9397-08002B2CF9AE}" pid="5" name="TYPE">
    <vt:lpwstr>01</vt:lpwstr>
  </property>
  <property fmtid="{D5CDD505-2E9C-101B-9397-08002B2CF9AE}" pid="6" name="MEKOR_NAME1">
    <vt:lpwstr>פקודת מס הכנסה </vt:lpwstr>
  </property>
  <property fmtid="{D5CDD505-2E9C-101B-9397-08002B2CF9AE}" pid="7" name="MEKOR_SAIF1">
    <vt:lpwstr>2X2XבX;243X</vt:lpwstr>
  </property>
  <property fmtid="{D5CDD505-2E9C-101B-9397-08002B2CF9AE}" pid="8" name="NOSE11">
    <vt:lpwstr>מסים</vt:lpwstr>
  </property>
  <property fmtid="{D5CDD505-2E9C-101B-9397-08002B2CF9AE}" pid="9" name="NOSE21">
    <vt:lpwstr>מס הכנסה</vt:lpwstr>
  </property>
  <property fmtid="{D5CDD505-2E9C-101B-9397-08002B2CF9AE}" pid="10" name="NOSE31">
    <vt:lpwstr>שווי</vt:lpwstr>
  </property>
  <property fmtid="{D5CDD505-2E9C-101B-9397-08002B2CF9AE}" pid="11" name="NOSE41">
    <vt:lpwstr/>
  </property>
  <property fmtid="{D5CDD505-2E9C-101B-9397-08002B2CF9AE}" pid="12" name="NOSE12">
    <vt:lpwstr/>
  </property>
  <property fmtid="{D5CDD505-2E9C-101B-9397-08002B2CF9AE}" pid="13" name="NOSE22">
    <vt:lpwstr/>
  </property>
  <property fmtid="{D5CDD505-2E9C-101B-9397-08002B2CF9AE}" pid="14" name="NOSE32">
    <vt:lpwstr/>
  </property>
  <property fmtid="{D5CDD505-2E9C-101B-9397-08002B2CF9AE}" pid="15" name="NOSE42">
    <vt:lpwstr/>
  </property>
  <property fmtid="{D5CDD505-2E9C-101B-9397-08002B2CF9AE}" pid="16" name="NOSE13">
    <vt:lpwstr/>
  </property>
  <property fmtid="{D5CDD505-2E9C-101B-9397-08002B2CF9AE}" pid="17" name="NOSE23">
    <vt:lpwstr/>
  </property>
  <property fmtid="{D5CDD505-2E9C-101B-9397-08002B2CF9AE}" pid="18" name="NOSE33">
    <vt:lpwstr/>
  </property>
  <property fmtid="{D5CDD505-2E9C-101B-9397-08002B2CF9AE}" pid="19" name="NOSE43">
    <vt:lpwstr/>
  </property>
  <property fmtid="{D5CDD505-2E9C-101B-9397-08002B2CF9AE}" pid="20" name="NOSE14">
    <vt:lpwstr/>
  </property>
  <property fmtid="{D5CDD505-2E9C-101B-9397-08002B2CF9AE}" pid="21" name="NOSE24">
    <vt:lpwstr/>
  </property>
  <property fmtid="{D5CDD505-2E9C-101B-9397-08002B2CF9AE}" pid="22" name="NOSE34">
    <vt:lpwstr/>
  </property>
  <property fmtid="{D5CDD505-2E9C-101B-9397-08002B2CF9AE}" pid="23" name="NOSE44">
    <vt:lpwstr/>
  </property>
  <property fmtid="{D5CDD505-2E9C-101B-9397-08002B2CF9AE}" pid="24" name="NOSE15">
    <vt:lpwstr/>
  </property>
  <property fmtid="{D5CDD505-2E9C-101B-9397-08002B2CF9AE}" pid="25" name="NOSE25">
    <vt:lpwstr/>
  </property>
  <property fmtid="{D5CDD505-2E9C-101B-9397-08002B2CF9AE}" pid="26" name="NOSE35">
    <vt:lpwstr/>
  </property>
  <property fmtid="{D5CDD505-2E9C-101B-9397-08002B2CF9AE}" pid="27" name="NOSE45">
    <vt:lpwstr/>
  </property>
  <property fmtid="{D5CDD505-2E9C-101B-9397-08002B2CF9AE}" pid="28" name="NOSE16">
    <vt:lpwstr/>
  </property>
  <property fmtid="{D5CDD505-2E9C-101B-9397-08002B2CF9AE}" pid="29" name="NOSE26">
    <vt:lpwstr/>
  </property>
  <property fmtid="{D5CDD505-2E9C-101B-9397-08002B2CF9AE}" pid="30" name="NOSE36">
    <vt:lpwstr/>
  </property>
  <property fmtid="{D5CDD505-2E9C-101B-9397-08002B2CF9AE}" pid="31" name="NOSE46">
    <vt:lpwstr/>
  </property>
  <property fmtid="{D5CDD505-2E9C-101B-9397-08002B2CF9AE}" pid="32" name="NOSE17">
    <vt:lpwstr/>
  </property>
  <property fmtid="{D5CDD505-2E9C-101B-9397-08002B2CF9AE}" pid="33" name="NOSE27">
    <vt:lpwstr/>
  </property>
  <property fmtid="{D5CDD505-2E9C-101B-9397-08002B2CF9AE}" pid="34" name="NOSE37">
    <vt:lpwstr/>
  </property>
  <property fmtid="{D5CDD505-2E9C-101B-9397-08002B2CF9AE}" pid="35" name="NOSE47">
    <vt:lpwstr/>
  </property>
  <property fmtid="{D5CDD505-2E9C-101B-9397-08002B2CF9AE}" pid="36" name="NOSE18">
    <vt:lpwstr/>
  </property>
  <property fmtid="{D5CDD505-2E9C-101B-9397-08002B2CF9AE}" pid="37" name="NOSE28">
    <vt:lpwstr/>
  </property>
  <property fmtid="{D5CDD505-2E9C-101B-9397-08002B2CF9AE}" pid="38" name="NOSE38">
    <vt:lpwstr/>
  </property>
  <property fmtid="{D5CDD505-2E9C-101B-9397-08002B2CF9AE}" pid="39" name="NOSE48">
    <vt:lpwstr/>
  </property>
  <property fmtid="{D5CDD505-2E9C-101B-9397-08002B2CF9AE}" pid="40" name="NOSE19">
    <vt:lpwstr/>
  </property>
  <property fmtid="{D5CDD505-2E9C-101B-9397-08002B2CF9AE}" pid="41" name="NOSE29">
    <vt:lpwstr/>
  </property>
  <property fmtid="{D5CDD505-2E9C-101B-9397-08002B2CF9AE}" pid="42" name="NOSE39">
    <vt:lpwstr/>
  </property>
  <property fmtid="{D5CDD505-2E9C-101B-9397-08002B2CF9AE}" pid="43" name="NOSE49">
    <vt:lpwstr/>
  </property>
  <property fmtid="{D5CDD505-2E9C-101B-9397-08002B2CF9AE}" pid="44" name="NOSE110">
    <vt:lpwstr/>
  </property>
  <property fmtid="{D5CDD505-2E9C-101B-9397-08002B2CF9AE}" pid="45" name="NOSE210">
    <vt:lpwstr/>
  </property>
  <property fmtid="{D5CDD505-2E9C-101B-9397-08002B2CF9AE}" pid="46" name="NOSE310">
    <vt:lpwstr/>
  </property>
  <property fmtid="{D5CDD505-2E9C-101B-9397-08002B2CF9AE}" pid="47" name="NOSE410">
    <vt:lpwstr/>
  </property>
</Properties>
</file>