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A6F78" w14:textId="77777777" w:rsidR="00E869F8" w:rsidRDefault="00E869F8" w:rsidP="00CF7C04">
      <w:pPr>
        <w:pStyle w:val="big-header"/>
        <w:ind w:left="0" w:right="1134"/>
        <w:rPr>
          <w:rFonts w:cs="FrankRuehl"/>
          <w:sz w:val="32"/>
        </w:rPr>
      </w:pPr>
      <w:r>
        <w:rPr>
          <w:rFonts w:cs="FrankRuehl"/>
          <w:sz w:val="32"/>
          <w:rtl/>
        </w:rPr>
        <w:t>תקנות מס הכנסה (שיעור פחת לאניות), תשס"א</w:t>
      </w:r>
      <w:r w:rsidR="00CF7C04">
        <w:rPr>
          <w:rFonts w:cs="FrankRuehl" w:hint="cs"/>
          <w:sz w:val="32"/>
          <w:rtl/>
        </w:rPr>
        <w:t>-</w:t>
      </w:r>
      <w:r>
        <w:rPr>
          <w:rFonts w:cs="FrankRuehl"/>
          <w:sz w:val="32"/>
          <w:rtl/>
        </w:rPr>
        <w:t>2001</w:t>
      </w:r>
    </w:p>
    <w:p w14:paraId="0F433D0B" w14:textId="77777777" w:rsidR="007F397A" w:rsidRDefault="007F397A" w:rsidP="007F397A">
      <w:pPr>
        <w:spacing w:line="320" w:lineRule="auto"/>
        <w:rPr>
          <w:rtl/>
        </w:rPr>
      </w:pPr>
    </w:p>
    <w:p w14:paraId="21897895" w14:textId="77777777" w:rsidR="007F397A" w:rsidRPr="007F397A" w:rsidRDefault="007F397A" w:rsidP="007F397A">
      <w:pPr>
        <w:spacing w:line="320" w:lineRule="auto"/>
        <w:rPr>
          <w:rFonts w:cs="Miriam"/>
          <w:szCs w:val="22"/>
          <w:rtl/>
        </w:rPr>
      </w:pPr>
      <w:r w:rsidRPr="007F397A">
        <w:rPr>
          <w:rFonts w:cs="Miriam"/>
          <w:szCs w:val="22"/>
          <w:rtl/>
        </w:rPr>
        <w:t>מסים</w:t>
      </w:r>
      <w:r w:rsidRPr="007F397A">
        <w:rPr>
          <w:rFonts w:cs="FrankRuehl"/>
          <w:szCs w:val="26"/>
          <w:rtl/>
        </w:rPr>
        <w:t xml:space="preserve"> – מס הכנסה – שיעורים – פחת</w:t>
      </w:r>
    </w:p>
    <w:p w14:paraId="31E3BEB3" w14:textId="77777777" w:rsidR="00E869F8" w:rsidRDefault="00E869F8">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869F8" w14:paraId="6A6FE18B" w14:textId="77777777">
        <w:tblPrEx>
          <w:tblCellMar>
            <w:top w:w="0" w:type="dxa"/>
            <w:bottom w:w="0" w:type="dxa"/>
          </w:tblCellMar>
        </w:tblPrEx>
        <w:tc>
          <w:tcPr>
            <w:tcW w:w="850" w:type="dxa"/>
          </w:tcPr>
          <w:p w14:paraId="0917B950" w14:textId="77777777" w:rsidR="00E869F8" w:rsidRDefault="00E869F8">
            <w:r>
              <w:rPr>
                <w:rtl/>
              </w:rPr>
              <w:fldChar w:fldCharType="begin"/>
            </w:r>
            <w:r>
              <w:rPr>
                <w:rtl/>
              </w:rPr>
              <w:instrText xml:space="preserve"> </w:instrText>
            </w:r>
            <w:r>
              <w:instrText>PAGEREF Seif0</w:instrText>
            </w:r>
            <w:r>
              <w:rPr>
                <w:rtl/>
              </w:rPr>
              <w:instrText xml:space="preserve"> </w:instrText>
            </w:r>
            <w:r>
              <w:rPr>
                <w:rtl/>
              </w:rPr>
              <w:fldChar w:fldCharType="separate"/>
            </w:r>
            <w:r w:rsidR="00CF7C04">
              <w:rPr>
                <w:noProof/>
                <w:rtl/>
              </w:rPr>
              <w:t>2</w:t>
            </w:r>
            <w:r>
              <w:rPr>
                <w:rtl/>
              </w:rPr>
              <w:fldChar w:fldCharType="end"/>
            </w:r>
          </w:p>
        </w:tc>
        <w:tc>
          <w:tcPr>
            <w:tcW w:w="567" w:type="dxa"/>
          </w:tcPr>
          <w:p w14:paraId="6E2CF532" w14:textId="77777777" w:rsidR="00E869F8" w:rsidRDefault="00E869F8">
            <w:hyperlink w:anchor="Seif0" w:tooltip="הגדרות" w:history="1">
              <w:r>
                <w:rPr>
                  <w:rStyle w:val="Hyperlink"/>
                </w:rPr>
                <w:t>Go</w:t>
              </w:r>
            </w:hyperlink>
          </w:p>
        </w:tc>
        <w:tc>
          <w:tcPr>
            <w:tcW w:w="5669" w:type="dxa"/>
          </w:tcPr>
          <w:p w14:paraId="4DC775C6" w14:textId="77777777" w:rsidR="00E869F8" w:rsidRDefault="00E869F8">
            <w:pPr>
              <w:rPr>
                <w:rtl/>
              </w:rPr>
            </w:pPr>
            <w:r>
              <w:rPr>
                <w:rtl/>
              </w:rPr>
              <w:t>הגדרות</w:t>
            </w:r>
          </w:p>
        </w:tc>
        <w:tc>
          <w:tcPr>
            <w:tcW w:w="1247" w:type="dxa"/>
          </w:tcPr>
          <w:p w14:paraId="77FE1B72" w14:textId="77777777" w:rsidR="00E869F8" w:rsidRDefault="00E869F8">
            <w:r>
              <w:rPr>
                <w:rtl/>
              </w:rPr>
              <w:t xml:space="preserve">סעיף 1 </w:t>
            </w:r>
          </w:p>
        </w:tc>
      </w:tr>
      <w:tr w:rsidR="00E869F8" w14:paraId="091BB1DA" w14:textId="77777777">
        <w:tblPrEx>
          <w:tblCellMar>
            <w:top w:w="0" w:type="dxa"/>
            <w:bottom w:w="0" w:type="dxa"/>
          </w:tblCellMar>
        </w:tblPrEx>
        <w:tc>
          <w:tcPr>
            <w:tcW w:w="850" w:type="dxa"/>
          </w:tcPr>
          <w:p w14:paraId="612C7885" w14:textId="77777777" w:rsidR="00E869F8" w:rsidRDefault="00E869F8">
            <w:r>
              <w:rPr>
                <w:rtl/>
              </w:rPr>
              <w:fldChar w:fldCharType="begin"/>
            </w:r>
            <w:r>
              <w:rPr>
                <w:rtl/>
              </w:rPr>
              <w:instrText xml:space="preserve"> </w:instrText>
            </w:r>
            <w:r>
              <w:instrText>PAGEREF Seif1</w:instrText>
            </w:r>
            <w:r>
              <w:rPr>
                <w:rtl/>
              </w:rPr>
              <w:instrText xml:space="preserve"> </w:instrText>
            </w:r>
            <w:r>
              <w:rPr>
                <w:rtl/>
              </w:rPr>
              <w:fldChar w:fldCharType="separate"/>
            </w:r>
            <w:r w:rsidR="00CF7C04">
              <w:rPr>
                <w:noProof/>
                <w:rtl/>
              </w:rPr>
              <w:t>2</w:t>
            </w:r>
            <w:r>
              <w:rPr>
                <w:rtl/>
              </w:rPr>
              <w:fldChar w:fldCharType="end"/>
            </w:r>
          </w:p>
        </w:tc>
        <w:tc>
          <w:tcPr>
            <w:tcW w:w="567" w:type="dxa"/>
          </w:tcPr>
          <w:p w14:paraId="02187D28" w14:textId="77777777" w:rsidR="00E869F8" w:rsidRDefault="00E869F8">
            <w:hyperlink w:anchor="Seif1" w:tooltip="פחת מיוחד לאניה ולמכולה" w:history="1">
              <w:r>
                <w:rPr>
                  <w:rStyle w:val="Hyperlink"/>
                </w:rPr>
                <w:t>Go</w:t>
              </w:r>
            </w:hyperlink>
          </w:p>
        </w:tc>
        <w:tc>
          <w:tcPr>
            <w:tcW w:w="5669" w:type="dxa"/>
          </w:tcPr>
          <w:p w14:paraId="00861E28" w14:textId="77777777" w:rsidR="00E869F8" w:rsidRDefault="00E869F8">
            <w:pPr>
              <w:rPr>
                <w:rtl/>
              </w:rPr>
            </w:pPr>
            <w:r>
              <w:rPr>
                <w:rtl/>
              </w:rPr>
              <w:t>פחת מיוחד לאניה ולמכולה</w:t>
            </w:r>
          </w:p>
        </w:tc>
        <w:tc>
          <w:tcPr>
            <w:tcW w:w="1247" w:type="dxa"/>
          </w:tcPr>
          <w:p w14:paraId="343FA7F8" w14:textId="77777777" w:rsidR="00E869F8" w:rsidRDefault="00E869F8">
            <w:r>
              <w:rPr>
                <w:rtl/>
              </w:rPr>
              <w:t xml:space="preserve">סעיף 2 </w:t>
            </w:r>
          </w:p>
        </w:tc>
      </w:tr>
      <w:tr w:rsidR="00E869F8" w14:paraId="5E437DFA" w14:textId="77777777">
        <w:tblPrEx>
          <w:tblCellMar>
            <w:top w:w="0" w:type="dxa"/>
            <w:bottom w:w="0" w:type="dxa"/>
          </w:tblCellMar>
        </w:tblPrEx>
        <w:tc>
          <w:tcPr>
            <w:tcW w:w="850" w:type="dxa"/>
          </w:tcPr>
          <w:p w14:paraId="0682B9F3" w14:textId="77777777" w:rsidR="00E869F8" w:rsidRDefault="00E869F8">
            <w:r>
              <w:rPr>
                <w:rtl/>
              </w:rPr>
              <w:fldChar w:fldCharType="begin"/>
            </w:r>
            <w:r>
              <w:rPr>
                <w:rtl/>
              </w:rPr>
              <w:instrText xml:space="preserve"> </w:instrText>
            </w:r>
            <w:r>
              <w:instrText>PAGEREF Seif2</w:instrText>
            </w:r>
            <w:r>
              <w:rPr>
                <w:rtl/>
              </w:rPr>
              <w:instrText xml:space="preserve"> </w:instrText>
            </w:r>
            <w:r>
              <w:rPr>
                <w:rtl/>
              </w:rPr>
              <w:fldChar w:fldCharType="separate"/>
            </w:r>
            <w:r w:rsidR="00CF7C04">
              <w:rPr>
                <w:noProof/>
                <w:rtl/>
              </w:rPr>
              <w:t>2</w:t>
            </w:r>
            <w:r>
              <w:rPr>
                <w:rtl/>
              </w:rPr>
              <w:fldChar w:fldCharType="end"/>
            </w:r>
          </w:p>
        </w:tc>
        <w:tc>
          <w:tcPr>
            <w:tcW w:w="567" w:type="dxa"/>
          </w:tcPr>
          <w:p w14:paraId="60244E85" w14:textId="77777777" w:rsidR="00E869F8" w:rsidRDefault="00E869F8">
            <w:hyperlink w:anchor="Seif2" w:tooltip="תחולה ותחילה" w:history="1">
              <w:r>
                <w:rPr>
                  <w:rStyle w:val="Hyperlink"/>
                </w:rPr>
                <w:t>Go</w:t>
              </w:r>
            </w:hyperlink>
          </w:p>
        </w:tc>
        <w:tc>
          <w:tcPr>
            <w:tcW w:w="5669" w:type="dxa"/>
          </w:tcPr>
          <w:p w14:paraId="6BE51F17" w14:textId="77777777" w:rsidR="00E869F8" w:rsidRDefault="00E869F8">
            <w:pPr>
              <w:rPr>
                <w:rtl/>
              </w:rPr>
            </w:pPr>
            <w:r>
              <w:rPr>
                <w:rtl/>
              </w:rPr>
              <w:t>תחולה ותחילה</w:t>
            </w:r>
          </w:p>
        </w:tc>
        <w:tc>
          <w:tcPr>
            <w:tcW w:w="1247" w:type="dxa"/>
          </w:tcPr>
          <w:p w14:paraId="4FE6A48C" w14:textId="77777777" w:rsidR="00E869F8" w:rsidRDefault="00E869F8">
            <w:r>
              <w:rPr>
                <w:rtl/>
              </w:rPr>
              <w:t xml:space="preserve">סעיף 3 </w:t>
            </w:r>
          </w:p>
        </w:tc>
      </w:tr>
    </w:tbl>
    <w:p w14:paraId="5E44C7F8" w14:textId="77777777" w:rsidR="00E869F8" w:rsidRDefault="00E869F8">
      <w:pPr>
        <w:pStyle w:val="big-header"/>
        <w:ind w:left="0" w:right="1134"/>
        <w:rPr>
          <w:rFonts w:cs="FrankRuehl"/>
          <w:sz w:val="32"/>
          <w:rtl/>
        </w:rPr>
      </w:pPr>
    </w:p>
    <w:p w14:paraId="0FB8615E" w14:textId="77777777" w:rsidR="00E869F8" w:rsidRDefault="00E869F8" w:rsidP="007F397A">
      <w:pPr>
        <w:pStyle w:val="big-header"/>
        <w:ind w:left="0" w:right="1134"/>
        <w:rPr>
          <w:rStyle w:val="default"/>
          <w:rFonts w:hint="cs"/>
          <w:rtl/>
        </w:rPr>
      </w:pPr>
      <w:r>
        <w:rPr>
          <w:rtl/>
        </w:rPr>
        <w:br w:type="page"/>
      </w:r>
      <w:r>
        <w:rPr>
          <w:rFonts w:cs="FrankRuehl"/>
          <w:sz w:val="32"/>
          <w:rtl/>
        </w:rPr>
        <w:lastRenderedPageBreak/>
        <w:t>תק</w:t>
      </w:r>
      <w:r>
        <w:rPr>
          <w:rFonts w:cs="FrankRuehl" w:hint="cs"/>
          <w:sz w:val="32"/>
          <w:rtl/>
        </w:rPr>
        <w:t>נ</w:t>
      </w:r>
      <w:r>
        <w:rPr>
          <w:rFonts w:cs="FrankRuehl"/>
          <w:sz w:val="32"/>
          <w:rtl/>
        </w:rPr>
        <w:t>ות</w:t>
      </w:r>
      <w:r>
        <w:rPr>
          <w:rFonts w:cs="FrankRuehl" w:hint="cs"/>
          <w:sz w:val="32"/>
          <w:rtl/>
        </w:rPr>
        <w:t xml:space="preserve"> מס הכנסה (שיעור פחת לאניות), תשס"א</w:t>
      </w:r>
      <w:r w:rsidR="00CF7C04">
        <w:rPr>
          <w:rFonts w:cs="FrankRuehl" w:hint="cs"/>
          <w:sz w:val="32"/>
          <w:rtl/>
        </w:rPr>
        <w:t>-</w:t>
      </w:r>
      <w:r>
        <w:rPr>
          <w:rFonts w:cs="FrankRuehl"/>
          <w:sz w:val="32"/>
          <w:rtl/>
        </w:rPr>
        <w:t>2001</w:t>
      </w:r>
      <w:r w:rsidR="00CF7C04">
        <w:rPr>
          <w:rStyle w:val="a6"/>
          <w:rFonts w:cs="FrankRuehl"/>
          <w:sz w:val="32"/>
          <w:rtl/>
        </w:rPr>
        <w:footnoteReference w:customMarkFollows="1" w:id="1"/>
        <w:t>*</w:t>
      </w:r>
    </w:p>
    <w:p w14:paraId="2F7C18AF"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בתוקף סמכותי לפי סעיפים 17(8), 21 ו-243 לפקודת מס הכנסה (להלן </w:t>
      </w:r>
      <w:r w:rsidR="00CF7C04">
        <w:rPr>
          <w:rStyle w:val="default"/>
          <w:rFonts w:cs="FrankRuehl" w:hint="cs"/>
          <w:rtl/>
        </w:rPr>
        <w:t>-</w:t>
      </w:r>
      <w:r w:rsidRPr="00282090">
        <w:rPr>
          <w:rStyle w:val="default"/>
          <w:rFonts w:cs="FrankRuehl"/>
          <w:rtl/>
        </w:rPr>
        <w:t xml:space="preserve"> הפקודה), ובאישור ועדת הכספים של הכנסת, אני מתקין תקנות אלה:</w:t>
      </w:r>
    </w:p>
    <w:p w14:paraId="46CBBAA1" w14:textId="77777777" w:rsidR="00E869F8" w:rsidRDefault="00E869F8">
      <w:pPr>
        <w:pStyle w:val="P00"/>
        <w:spacing w:before="72"/>
        <w:ind w:left="0" w:right="1134"/>
        <w:rPr>
          <w:rStyle w:val="default"/>
          <w:rFonts w:cs="FrankRuehl" w:hint="cs"/>
          <w:rtl/>
        </w:rPr>
      </w:pPr>
      <w:bookmarkStart w:id="0" w:name="Seif0"/>
      <w:bookmarkEnd w:id="0"/>
      <w:r w:rsidRPr="00CF7C04">
        <w:rPr>
          <w:rFonts w:cs="Miriam"/>
          <w:lang w:val="he-IL"/>
        </w:rPr>
        <w:pict w14:anchorId="21C63650">
          <v:rect id="_x0000_s1026" style="position:absolute;left:0;text-align:left;margin-left:464.5pt;margin-top:8.05pt;width:75.05pt;height:12.25pt;z-index:251656704" o:allowincell="f" filled="f" stroked="f" strokecolor="lime" strokeweight=".25pt">
            <v:textbox inset="0,0,0,0">
              <w:txbxContent>
                <w:p w14:paraId="05234523" w14:textId="77777777" w:rsidR="00E869F8" w:rsidRDefault="00E869F8">
                  <w:pPr>
                    <w:spacing w:line="160" w:lineRule="exac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sidRPr="00CF7C04">
        <w:rPr>
          <w:rStyle w:val="big-number"/>
          <w:rFonts w:cs="Miriam"/>
          <w:rtl/>
        </w:rPr>
        <w:t>1</w:t>
      </w:r>
      <w:r w:rsidRPr="00CF7C04">
        <w:rPr>
          <w:rStyle w:val="big-number"/>
          <w:rFonts w:cs="FrankRuehl"/>
          <w:sz w:val="26"/>
          <w:szCs w:val="26"/>
          <w:rtl/>
        </w:rPr>
        <w:t>.</w:t>
      </w:r>
      <w:r w:rsidRPr="00CF7C04">
        <w:rPr>
          <w:rStyle w:val="big-number"/>
          <w:rFonts w:cs="FrankRuehl"/>
          <w:sz w:val="26"/>
          <w:szCs w:val="26"/>
          <w:rtl/>
        </w:rPr>
        <w:tab/>
      </w:r>
      <w:r w:rsidR="00CF7C04">
        <w:rPr>
          <w:rStyle w:val="default"/>
          <w:rFonts w:cs="FrankRuehl"/>
          <w:rtl/>
        </w:rPr>
        <w:t>בתקנות אלה –</w:t>
      </w:r>
    </w:p>
    <w:p w14:paraId="10C39027"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"אניה" </w:t>
      </w:r>
      <w:r w:rsidR="00CF7C04">
        <w:rPr>
          <w:rStyle w:val="default"/>
          <w:rFonts w:cs="FrankRuehl" w:hint="cs"/>
          <w:rtl/>
        </w:rPr>
        <w:t>-</w:t>
      </w:r>
      <w:r w:rsidRPr="00282090">
        <w:rPr>
          <w:rStyle w:val="default"/>
          <w:rFonts w:cs="FrankRuehl"/>
          <w:rtl/>
        </w:rPr>
        <w:t xml:space="preserve"> כלי שיט, כהגדרתו בחוק הספנות, שעיקר שימושו הוא הובלת משאות בין מדינות, אשר לא אושר לתכנית מאושרת כמשמעותה בסעיף 18 לחוק לעידוד השקעות הון, תשי"ט</w:t>
      </w:r>
      <w:r w:rsidR="00CF7C04">
        <w:rPr>
          <w:rStyle w:val="default"/>
          <w:rFonts w:cs="FrankRuehl" w:hint="cs"/>
          <w:rtl/>
        </w:rPr>
        <w:t>-</w:t>
      </w:r>
      <w:r w:rsidRPr="00282090">
        <w:rPr>
          <w:rStyle w:val="default"/>
          <w:rFonts w:cs="FrankRuehl"/>
          <w:rtl/>
        </w:rPr>
        <w:t>1959, ואף אדם לא קיבל בשלו אישור כאמור, ומתקיים לגביו אחד מאלה:</w:t>
      </w:r>
    </w:p>
    <w:p w14:paraId="397DDD98" w14:textId="77777777" w:rsidR="00E869F8" w:rsidRPr="00282090" w:rsidRDefault="00E869F8">
      <w:pPr>
        <w:pStyle w:val="P22"/>
        <w:spacing w:before="72"/>
        <w:ind w:left="1021" w:right="1134"/>
        <w:rPr>
          <w:rStyle w:val="default"/>
          <w:rFonts w:cs="FrankRuehl"/>
          <w:rtl/>
        </w:rPr>
      </w:pPr>
      <w:r w:rsidRPr="00282090">
        <w:rPr>
          <w:rStyle w:val="default"/>
          <w:rFonts w:cs="FrankRuehl"/>
          <w:rtl/>
        </w:rPr>
        <w:t>(1)</w:t>
      </w:r>
      <w:r w:rsidRPr="00282090">
        <w:rPr>
          <w:rStyle w:val="default"/>
          <w:rFonts w:cs="FrankRuehl"/>
          <w:rtl/>
        </w:rPr>
        <w:tab/>
        <w:t>הוא רשום במרשם הישראלי כהגדרתו בחוק הספנות;</w:t>
      </w:r>
    </w:p>
    <w:p w14:paraId="2CAAD741" w14:textId="77777777" w:rsidR="00E869F8" w:rsidRPr="00282090" w:rsidRDefault="00E869F8">
      <w:pPr>
        <w:pStyle w:val="P22"/>
        <w:spacing w:before="72"/>
        <w:ind w:left="1021" w:right="1134"/>
        <w:rPr>
          <w:rStyle w:val="default"/>
          <w:rFonts w:cs="FrankRuehl"/>
          <w:rtl/>
        </w:rPr>
      </w:pPr>
      <w:r w:rsidRPr="00282090">
        <w:rPr>
          <w:rStyle w:val="default"/>
          <w:rFonts w:cs="FrankRuehl"/>
          <w:rtl/>
        </w:rPr>
        <w:t>(2)</w:t>
      </w:r>
      <w:r w:rsidRPr="00282090">
        <w:rPr>
          <w:rStyle w:val="default"/>
          <w:rFonts w:cs="FrankRuehl"/>
          <w:rtl/>
        </w:rPr>
        <w:tab/>
        <w:t>הוא בבעלות תאגיד תושב ישראל אשר אזרח ישראל או תאגיד ישראלי, הוא בעל שליטה בו;</w:t>
      </w:r>
    </w:p>
    <w:p w14:paraId="31109395"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"חוק הספנות" </w:t>
      </w:r>
      <w:r w:rsidR="00CF7C04">
        <w:rPr>
          <w:rStyle w:val="default"/>
          <w:rFonts w:cs="FrankRuehl" w:hint="cs"/>
          <w:rtl/>
        </w:rPr>
        <w:t>-</w:t>
      </w:r>
      <w:r w:rsidRPr="00282090">
        <w:rPr>
          <w:rStyle w:val="default"/>
          <w:rFonts w:cs="FrankRuehl"/>
          <w:rtl/>
        </w:rPr>
        <w:t xml:space="preserve"> חוק הספנות (כלי שיט), תש"ך</w:t>
      </w:r>
      <w:r w:rsidR="00CF7C04">
        <w:rPr>
          <w:rStyle w:val="default"/>
          <w:rFonts w:cs="FrankRuehl" w:hint="cs"/>
          <w:rtl/>
        </w:rPr>
        <w:t>-</w:t>
      </w:r>
      <w:r w:rsidRPr="00282090">
        <w:rPr>
          <w:rStyle w:val="default"/>
          <w:rFonts w:cs="FrankRuehl"/>
          <w:rtl/>
        </w:rPr>
        <w:t xml:space="preserve">1960; </w:t>
      </w:r>
    </w:p>
    <w:p w14:paraId="63FA9318"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"מכולה" </w:t>
      </w:r>
      <w:r w:rsidR="00CF7C04">
        <w:rPr>
          <w:rStyle w:val="default"/>
          <w:rFonts w:cs="FrankRuehl" w:hint="cs"/>
          <w:rtl/>
        </w:rPr>
        <w:t>-</w:t>
      </w:r>
      <w:r w:rsidRPr="00282090">
        <w:rPr>
          <w:rStyle w:val="default"/>
          <w:rFonts w:cs="FrankRuehl"/>
          <w:rtl/>
        </w:rPr>
        <w:t xml:space="preserve"> כהגדרתה בתקנות הנמלים, תשל"א</w:t>
      </w:r>
      <w:r w:rsidR="00CF7C04">
        <w:rPr>
          <w:rStyle w:val="default"/>
          <w:rFonts w:cs="FrankRuehl" w:hint="cs"/>
          <w:rtl/>
        </w:rPr>
        <w:t>-</w:t>
      </w:r>
      <w:r w:rsidRPr="00282090">
        <w:rPr>
          <w:rStyle w:val="default"/>
          <w:rFonts w:cs="FrankRuehl"/>
          <w:rtl/>
        </w:rPr>
        <w:t>1971, לרבות מכולה שאינה רגילה, כמשמעותה באותן תקנות ובלבד שהיא עשויה ברזל ומשמשת לשינוע ולתובלת מטענים על גבי אניה;</w:t>
      </w:r>
    </w:p>
    <w:p w14:paraId="1EE9E300"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"ניכוי לפי תקנות הפחת" </w:t>
      </w:r>
      <w:r w:rsidR="00CF7C04">
        <w:rPr>
          <w:rStyle w:val="default"/>
          <w:rFonts w:cs="FrankRuehl" w:hint="cs"/>
          <w:rtl/>
        </w:rPr>
        <w:t>-</w:t>
      </w:r>
      <w:r w:rsidRPr="00282090">
        <w:rPr>
          <w:rStyle w:val="default"/>
          <w:rFonts w:cs="FrankRuehl"/>
          <w:rtl/>
        </w:rPr>
        <w:t xml:space="preserve"> למעט ניכוי בשל פחת בעבודה במשמרות נוספות;</w:t>
      </w:r>
    </w:p>
    <w:p w14:paraId="0DB64454"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"שליטה" </w:t>
      </w:r>
      <w:r w:rsidR="00CF7C04">
        <w:rPr>
          <w:rStyle w:val="default"/>
          <w:rFonts w:cs="FrankRuehl" w:hint="cs"/>
          <w:rtl/>
        </w:rPr>
        <w:t>-</w:t>
      </w:r>
      <w:r w:rsidRPr="00282090">
        <w:rPr>
          <w:rStyle w:val="default"/>
          <w:rFonts w:cs="FrankRuehl"/>
          <w:rtl/>
        </w:rPr>
        <w:t xml:space="preserve"> כהגדרתה בסעיף 25 לפקודה;</w:t>
      </w:r>
    </w:p>
    <w:p w14:paraId="24680F60"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"תקנות הפחת" </w:t>
      </w:r>
      <w:r w:rsidR="00CF7C04">
        <w:rPr>
          <w:rStyle w:val="default"/>
          <w:rFonts w:cs="FrankRuehl" w:hint="cs"/>
          <w:rtl/>
        </w:rPr>
        <w:t>-</w:t>
      </w:r>
      <w:r w:rsidRPr="00282090">
        <w:rPr>
          <w:rStyle w:val="default"/>
          <w:rFonts w:cs="FrankRuehl"/>
          <w:rtl/>
        </w:rPr>
        <w:t xml:space="preserve"> תקנות מס הכנסה (פחת), 1941; </w:t>
      </w:r>
    </w:p>
    <w:p w14:paraId="4722ACF1" w14:textId="77777777" w:rsidR="00E869F8" w:rsidRPr="00282090" w:rsidRDefault="00E869F8" w:rsidP="00CF7C04">
      <w:pPr>
        <w:pStyle w:val="P00"/>
        <w:spacing w:before="72"/>
        <w:ind w:left="0" w:right="1134"/>
        <w:rPr>
          <w:rStyle w:val="default"/>
          <w:rFonts w:cs="FrankRuehl"/>
          <w:rtl/>
        </w:rPr>
      </w:pPr>
      <w:r w:rsidRPr="00282090">
        <w:rPr>
          <w:rFonts w:cs="FrankRuehl"/>
          <w:sz w:val="26"/>
          <w:rtl/>
        </w:rPr>
        <w:tab/>
      </w:r>
      <w:r w:rsidRPr="00282090">
        <w:rPr>
          <w:rStyle w:val="default"/>
          <w:rFonts w:cs="FrankRuehl"/>
          <w:rtl/>
        </w:rPr>
        <w:t xml:space="preserve">"תאגיד ישראלי" </w:t>
      </w:r>
      <w:r w:rsidR="00CF7C04">
        <w:rPr>
          <w:rStyle w:val="default"/>
          <w:rFonts w:cs="FrankRuehl" w:hint="cs"/>
          <w:rtl/>
        </w:rPr>
        <w:t>-</w:t>
      </w:r>
      <w:r w:rsidRPr="00282090">
        <w:rPr>
          <w:rStyle w:val="default"/>
          <w:rFonts w:cs="FrankRuehl"/>
          <w:rtl/>
        </w:rPr>
        <w:t xml:space="preserve"> כהגדרתו בחוק הספנות.</w:t>
      </w:r>
    </w:p>
    <w:p w14:paraId="185175F1" w14:textId="77777777" w:rsidR="00E869F8" w:rsidRPr="00282090" w:rsidRDefault="00E869F8">
      <w:pPr>
        <w:pStyle w:val="P00"/>
        <w:spacing w:before="72"/>
        <w:ind w:left="0" w:right="1134"/>
        <w:rPr>
          <w:rStyle w:val="default"/>
          <w:rFonts w:cs="FrankRuehl"/>
          <w:rtl/>
        </w:rPr>
      </w:pPr>
      <w:bookmarkStart w:id="1" w:name="Seif1"/>
      <w:bookmarkEnd w:id="1"/>
      <w:r w:rsidRPr="00CF7C04">
        <w:rPr>
          <w:rFonts w:cs="Miriam"/>
          <w:lang w:val="he-IL"/>
        </w:rPr>
        <w:pict w14:anchorId="4C1E4E3D">
          <v:rect id="_x0000_s1027" style="position:absolute;left:0;text-align:left;margin-left:464.5pt;margin-top:8.05pt;width:75.05pt;height:25.6pt;z-index:251657728" o:allowincell="f" filled="f" stroked="f" strokecolor="lime" strokeweight=".25pt">
            <v:textbox inset="0,0,0,0">
              <w:txbxContent>
                <w:p w14:paraId="275849C9" w14:textId="77777777" w:rsidR="00E869F8" w:rsidRDefault="00E869F8" w:rsidP="00CF7C04">
                  <w:pPr>
                    <w:spacing w:line="160" w:lineRule="exact"/>
                    <w:rPr>
                      <w:rFonts w:cs="Miriam"/>
                      <w:noProof/>
                      <w:sz w:val="18"/>
                      <w:szCs w:val="18"/>
                      <w:rtl/>
                    </w:rPr>
                  </w:pPr>
                  <w:r>
                    <w:rPr>
                      <w:rFonts w:cs="Miriam"/>
                      <w:sz w:val="18"/>
                      <w:szCs w:val="18"/>
                      <w:rtl/>
                    </w:rPr>
                    <w:t>פח</w:t>
                  </w:r>
                  <w:r>
                    <w:rPr>
                      <w:rFonts w:cs="Miriam" w:hint="cs"/>
                      <w:sz w:val="18"/>
                      <w:szCs w:val="18"/>
                      <w:rtl/>
                    </w:rPr>
                    <w:t>ת מיוחד</w:t>
                  </w:r>
                  <w:r w:rsidR="00CF7C04">
                    <w:rPr>
                      <w:rFonts w:cs="Miriam" w:hint="cs"/>
                      <w:sz w:val="18"/>
                      <w:szCs w:val="18"/>
                      <w:rtl/>
                    </w:rPr>
                    <w:t xml:space="preserve"> </w:t>
                  </w:r>
                  <w:r>
                    <w:rPr>
                      <w:rFonts w:cs="Miriam"/>
                      <w:sz w:val="18"/>
                      <w:szCs w:val="18"/>
                      <w:rtl/>
                    </w:rPr>
                    <w:t>לא</w:t>
                  </w:r>
                  <w:r>
                    <w:rPr>
                      <w:rFonts w:cs="Miriam" w:hint="cs"/>
                      <w:sz w:val="18"/>
                      <w:szCs w:val="18"/>
                      <w:rtl/>
                    </w:rPr>
                    <w:t>ניה ולמכולה</w:t>
                  </w:r>
                </w:p>
              </w:txbxContent>
            </v:textbox>
            <w10:anchorlock/>
          </v:rect>
        </w:pict>
      </w:r>
      <w:r w:rsidRPr="00CF7C04">
        <w:rPr>
          <w:rStyle w:val="big-number"/>
          <w:rFonts w:cs="Miriam"/>
          <w:rtl/>
        </w:rPr>
        <w:t>2</w:t>
      </w:r>
      <w:r w:rsidRPr="00CF7C04">
        <w:rPr>
          <w:rStyle w:val="big-number"/>
          <w:rFonts w:cs="FrankRuehl"/>
          <w:sz w:val="26"/>
          <w:szCs w:val="26"/>
          <w:rtl/>
        </w:rPr>
        <w:t>.</w:t>
      </w:r>
      <w:r w:rsidRPr="00CF7C04">
        <w:rPr>
          <w:rStyle w:val="big-number"/>
          <w:rFonts w:cs="FrankRuehl"/>
          <w:sz w:val="26"/>
          <w:szCs w:val="26"/>
          <w:rtl/>
        </w:rPr>
        <w:tab/>
      </w:r>
      <w:r w:rsidRPr="00282090">
        <w:rPr>
          <w:rStyle w:val="default"/>
          <w:rFonts w:cs="FrankRuehl"/>
          <w:rtl/>
        </w:rPr>
        <w:t>(א)</w:t>
      </w:r>
      <w:r w:rsidRPr="00282090">
        <w:rPr>
          <w:rStyle w:val="default"/>
          <w:rFonts w:cs="FrankRuehl"/>
          <w:rtl/>
        </w:rPr>
        <w:tab/>
        <w:t>לגבי אניה המשמשת בייצור הכנסה יותר לניכוי כפחת, נוסף על הניכוי לפי תקנות הפחת, סכום השווה ל-100% מסכום הניכוי לפי תקנות הפחת.</w:t>
      </w:r>
    </w:p>
    <w:p w14:paraId="0826509B" w14:textId="77777777" w:rsidR="00E869F8" w:rsidRPr="00282090" w:rsidRDefault="00E869F8" w:rsidP="00CF7C04">
      <w:pPr>
        <w:pStyle w:val="P00"/>
        <w:spacing w:before="72"/>
        <w:ind w:left="0" w:right="1134"/>
        <w:rPr>
          <w:rStyle w:val="super"/>
          <w:rFonts w:cs="FrankRuehl"/>
          <w:sz w:val="26"/>
          <w:szCs w:val="26"/>
          <w:rtl/>
          <w:lang w:eastAsia="he-IL"/>
        </w:rPr>
      </w:pPr>
      <w:r w:rsidRPr="00282090">
        <w:rPr>
          <w:rFonts w:cs="FrankRuehl"/>
          <w:sz w:val="26"/>
          <w:rtl/>
        </w:rPr>
        <w:tab/>
      </w:r>
      <w:r w:rsidRPr="00282090">
        <w:rPr>
          <w:rStyle w:val="default"/>
          <w:rFonts w:cs="FrankRuehl"/>
          <w:rtl/>
        </w:rPr>
        <w:t>(ב)</w:t>
      </w:r>
      <w:r w:rsidRPr="00282090">
        <w:rPr>
          <w:rStyle w:val="default"/>
          <w:rFonts w:cs="FrankRuehl"/>
          <w:rtl/>
        </w:rPr>
        <w:tab/>
        <w:t>נוסף על הניכוי לפי תקנות הפחת בעד פחת של מכולה יותר לניכוי סכום השווה</w:t>
      </w:r>
      <w:r w:rsidR="00CF7C04">
        <w:rPr>
          <w:rStyle w:val="default"/>
          <w:rFonts w:cs="FrankRuehl" w:hint="cs"/>
          <w:rtl/>
        </w:rPr>
        <w:t xml:space="preserve"> ל-%</w:t>
      </w:r>
      <w:r w:rsidR="00CF7C04" w:rsidRPr="00CF7C04">
        <w:rPr>
          <w:rStyle w:val="default"/>
          <w:sz w:val="20"/>
          <w:szCs w:val="20"/>
          <w:rtl/>
        </w:rPr>
        <w:t>⅓</w:t>
      </w:r>
      <w:r w:rsidR="00CF7C04">
        <w:rPr>
          <w:rStyle w:val="default"/>
          <w:rFonts w:cs="FrankRuehl" w:hint="cs"/>
          <w:rtl/>
        </w:rPr>
        <w:t>33</w:t>
      </w:r>
      <w:r w:rsidRPr="00CF7C04">
        <w:rPr>
          <w:rStyle w:val="default"/>
          <w:rFonts w:cs="FrankRuehl"/>
          <w:rtl/>
        </w:rPr>
        <w:t xml:space="preserve"> </w:t>
      </w:r>
      <w:r w:rsidRPr="00CF7C04">
        <w:rPr>
          <w:rStyle w:val="super"/>
          <w:rFonts w:cs="FrankRuehl"/>
          <w:position w:val="0"/>
          <w:sz w:val="26"/>
          <w:szCs w:val="26"/>
          <w:rtl/>
          <w:lang w:eastAsia="he-IL"/>
        </w:rPr>
        <w:t>מ</w:t>
      </w:r>
      <w:r w:rsidRPr="00CF7C04">
        <w:rPr>
          <w:rStyle w:val="super"/>
          <w:rFonts w:cs="FrankRuehl" w:hint="cs"/>
          <w:position w:val="0"/>
          <w:sz w:val="26"/>
          <w:szCs w:val="26"/>
          <w:rtl/>
          <w:lang w:eastAsia="he-IL"/>
        </w:rPr>
        <w:t>סכום זה.</w:t>
      </w:r>
    </w:p>
    <w:p w14:paraId="40EF0AAC" w14:textId="77777777" w:rsidR="00E869F8" w:rsidRDefault="00E869F8">
      <w:pPr>
        <w:pStyle w:val="P00"/>
        <w:spacing w:before="72"/>
        <w:ind w:left="0" w:right="1134"/>
        <w:rPr>
          <w:rStyle w:val="default"/>
          <w:rFonts w:cs="FrankRuehl" w:hint="cs"/>
          <w:rtl/>
        </w:rPr>
      </w:pPr>
      <w:r w:rsidRPr="00282090">
        <w:rPr>
          <w:rFonts w:cs="FrankRuehl"/>
          <w:sz w:val="26"/>
          <w:rtl/>
        </w:rPr>
        <w:tab/>
      </w:r>
      <w:r w:rsidR="00CF7C04">
        <w:rPr>
          <w:rStyle w:val="default"/>
          <w:rFonts w:cs="FrankRuehl"/>
          <w:rtl/>
        </w:rPr>
        <w:t>(ג)</w:t>
      </w:r>
      <w:r w:rsidR="00CF7C04">
        <w:rPr>
          <w:rStyle w:val="default"/>
          <w:rFonts w:cs="FrankRuehl"/>
          <w:rtl/>
        </w:rPr>
        <w:tab/>
        <w:t>על אף האמור בכל דין –</w:t>
      </w:r>
    </w:p>
    <w:p w14:paraId="2D794373" w14:textId="77777777" w:rsidR="00E869F8" w:rsidRPr="00282090" w:rsidRDefault="00E869F8" w:rsidP="00CF7C04">
      <w:pPr>
        <w:pStyle w:val="P22"/>
        <w:spacing w:before="72"/>
        <w:ind w:left="1021" w:right="1134"/>
        <w:rPr>
          <w:rStyle w:val="default"/>
          <w:rFonts w:cs="FrankRuehl"/>
          <w:rtl/>
        </w:rPr>
      </w:pPr>
      <w:r w:rsidRPr="00282090">
        <w:rPr>
          <w:rStyle w:val="default"/>
          <w:rFonts w:cs="FrankRuehl"/>
          <w:rtl/>
        </w:rPr>
        <w:t>(1)</w:t>
      </w:r>
      <w:r w:rsidRPr="00282090">
        <w:rPr>
          <w:rStyle w:val="default"/>
          <w:rFonts w:cs="FrankRuehl"/>
          <w:rtl/>
        </w:rPr>
        <w:tab/>
        <w:t>לא יותר ניכוי בעד פחת בשל אניה או בשל מכולה, לפי הענין, בסכום העולה על הניכוי לפי תקנות הפחת בתוספת הניכוי לפי תקנות אלה והניכוי הנוסף בשל פחת לפי סעיף 3(ב) לחוק מס הכנסה (תיאומים בשל אינפלציה), תשמ"ה</w:t>
      </w:r>
      <w:r w:rsidR="00CF7C04">
        <w:rPr>
          <w:rStyle w:val="default"/>
          <w:rFonts w:cs="FrankRuehl" w:hint="cs"/>
          <w:rtl/>
        </w:rPr>
        <w:t>-</w:t>
      </w:r>
      <w:r w:rsidRPr="00282090">
        <w:rPr>
          <w:rStyle w:val="default"/>
          <w:rFonts w:cs="FrankRuehl"/>
          <w:rtl/>
        </w:rPr>
        <w:t xml:space="preserve">1985; </w:t>
      </w:r>
    </w:p>
    <w:p w14:paraId="201D59E3" w14:textId="77777777" w:rsidR="00E869F8" w:rsidRPr="00282090" w:rsidRDefault="00E869F8">
      <w:pPr>
        <w:pStyle w:val="P22"/>
        <w:spacing w:before="72"/>
        <w:ind w:left="1021" w:right="1134"/>
        <w:rPr>
          <w:rStyle w:val="default"/>
          <w:rFonts w:cs="FrankRuehl"/>
          <w:rtl/>
        </w:rPr>
      </w:pPr>
      <w:r w:rsidRPr="00282090">
        <w:rPr>
          <w:rStyle w:val="default"/>
          <w:rFonts w:cs="FrankRuehl"/>
          <w:rtl/>
        </w:rPr>
        <w:t>(2)</w:t>
      </w:r>
      <w:r w:rsidRPr="00282090">
        <w:rPr>
          <w:rStyle w:val="default"/>
          <w:rFonts w:cs="FrankRuehl"/>
          <w:rtl/>
        </w:rPr>
        <w:tab/>
        <w:t>סך כל הניכוי בעד פחת בשל אניה או בשל מכולה, לפי הענין, לפי תקנות הפחת ותקנות אלה לא יעלה על המחיר המקורי של האניה או של המכולה לפי הענין.</w:t>
      </w:r>
    </w:p>
    <w:p w14:paraId="210E1B67" w14:textId="77777777" w:rsidR="00E869F8" w:rsidRPr="00282090" w:rsidRDefault="00E869F8">
      <w:pPr>
        <w:pStyle w:val="P00"/>
        <w:spacing w:before="72"/>
        <w:ind w:left="0" w:right="1134"/>
        <w:rPr>
          <w:rStyle w:val="default"/>
          <w:rFonts w:cs="FrankRuehl"/>
          <w:rtl/>
        </w:rPr>
      </w:pPr>
      <w:bookmarkStart w:id="2" w:name="Seif2"/>
      <w:bookmarkEnd w:id="2"/>
      <w:r w:rsidRPr="00CF7C04">
        <w:rPr>
          <w:rFonts w:cs="Miriam"/>
          <w:lang w:val="he-IL"/>
        </w:rPr>
        <w:pict w14:anchorId="41AC5652">
          <v:rect id="_x0000_s1028" style="position:absolute;left:0;text-align:left;margin-left:464.5pt;margin-top:8.05pt;width:75.05pt;height:12.65pt;z-index:251658752" o:allowincell="f" filled="f" stroked="f" strokecolor="lime" strokeweight=".25pt">
            <v:textbox inset="0,0,0,0">
              <w:txbxContent>
                <w:p w14:paraId="623804F5" w14:textId="77777777" w:rsidR="00E869F8" w:rsidRDefault="00E869F8">
                  <w:pPr>
                    <w:spacing w:line="160" w:lineRule="exact"/>
                    <w:rPr>
                      <w:rFonts w:cs="Miriam"/>
                      <w:noProof/>
                      <w:sz w:val="18"/>
                      <w:szCs w:val="18"/>
                      <w:rtl/>
                    </w:rPr>
                  </w:pPr>
                  <w:r>
                    <w:rPr>
                      <w:rFonts w:cs="Miriam"/>
                      <w:sz w:val="18"/>
                      <w:szCs w:val="18"/>
                      <w:rtl/>
                    </w:rPr>
                    <w:t>תח</w:t>
                  </w:r>
                  <w:r>
                    <w:rPr>
                      <w:rFonts w:cs="Miriam" w:hint="cs"/>
                      <w:sz w:val="18"/>
                      <w:szCs w:val="18"/>
                      <w:rtl/>
                    </w:rPr>
                    <w:t>ולה ותחילה</w:t>
                  </w:r>
                </w:p>
              </w:txbxContent>
            </v:textbox>
            <w10:anchorlock/>
          </v:rect>
        </w:pict>
      </w:r>
      <w:r w:rsidRPr="00CF7C04">
        <w:rPr>
          <w:rStyle w:val="big-number"/>
          <w:rFonts w:cs="Miriam"/>
          <w:rtl/>
        </w:rPr>
        <w:t>3</w:t>
      </w:r>
      <w:r w:rsidRPr="00CF7C04">
        <w:rPr>
          <w:rStyle w:val="big-number"/>
          <w:rFonts w:cs="FrankRuehl"/>
          <w:sz w:val="26"/>
          <w:szCs w:val="26"/>
          <w:rtl/>
        </w:rPr>
        <w:t>.</w:t>
      </w:r>
      <w:r w:rsidRPr="00CF7C04">
        <w:rPr>
          <w:rStyle w:val="big-number"/>
          <w:rFonts w:cs="FrankRuehl"/>
          <w:sz w:val="26"/>
          <w:szCs w:val="26"/>
          <w:rtl/>
        </w:rPr>
        <w:tab/>
      </w:r>
      <w:r w:rsidRPr="00282090">
        <w:rPr>
          <w:rStyle w:val="default"/>
          <w:rFonts w:cs="FrankRuehl"/>
          <w:rtl/>
        </w:rPr>
        <w:t xml:space="preserve">תקנות אלה יחולו על הכנסה שהופקה משנת המס 1977 ואילך, ובלבד שפחת לפי תקנות אלה לגבי שנות המס 1997 עד 1999 יותר רק אם הנישום זכאי לנכות פחת לפי תקנות הפחת בגין האניה או המכולה, לפי הענין, גם בשנת המס 2000. </w:t>
      </w:r>
    </w:p>
    <w:p w14:paraId="353E1244" w14:textId="77777777" w:rsidR="00E869F8" w:rsidRPr="00282090" w:rsidRDefault="00E869F8">
      <w:pPr>
        <w:pStyle w:val="P00"/>
        <w:spacing w:before="72"/>
        <w:ind w:left="0" w:right="1134"/>
        <w:rPr>
          <w:rStyle w:val="default"/>
          <w:rFonts w:cs="FrankRuehl"/>
          <w:rtl/>
        </w:rPr>
      </w:pPr>
    </w:p>
    <w:p w14:paraId="294F77FF" w14:textId="77777777" w:rsidR="00E869F8" w:rsidRPr="00282090" w:rsidRDefault="00E869F8">
      <w:pPr>
        <w:pStyle w:val="P00"/>
        <w:spacing w:before="72"/>
        <w:ind w:left="0" w:right="1134"/>
        <w:rPr>
          <w:rStyle w:val="default"/>
          <w:rFonts w:cs="FrankRuehl"/>
          <w:rtl/>
        </w:rPr>
      </w:pPr>
    </w:p>
    <w:p w14:paraId="68BB3B70" w14:textId="77777777" w:rsidR="00E869F8" w:rsidRPr="00282090" w:rsidRDefault="00E869F8">
      <w:pPr>
        <w:pStyle w:val="P00"/>
        <w:tabs>
          <w:tab w:val="clear" w:pos="624"/>
          <w:tab w:val="clear" w:pos="1021"/>
          <w:tab w:val="clear" w:pos="1474"/>
          <w:tab w:val="clear" w:pos="1928"/>
          <w:tab w:val="clear" w:pos="2381"/>
          <w:tab w:val="clear" w:pos="2835"/>
          <w:tab w:val="clear" w:pos="6259"/>
          <w:tab w:val="center" w:pos="4536"/>
        </w:tabs>
        <w:spacing w:before="72"/>
        <w:ind w:left="0" w:right="1134"/>
        <w:rPr>
          <w:rStyle w:val="default"/>
          <w:rFonts w:cs="FrankRuehl"/>
          <w:rtl/>
        </w:rPr>
      </w:pPr>
      <w:r w:rsidRPr="00282090">
        <w:rPr>
          <w:rStyle w:val="default"/>
          <w:rFonts w:cs="FrankRuehl"/>
          <w:rtl/>
        </w:rPr>
        <w:t>ח' בטבת תשס"א (3 בינואר 2001)</w:t>
      </w:r>
      <w:r w:rsidRPr="00282090">
        <w:rPr>
          <w:rStyle w:val="default"/>
          <w:rFonts w:cs="FrankRuehl"/>
          <w:rtl/>
        </w:rPr>
        <w:tab/>
        <w:t>אברהם (בייגה) שוחט</w:t>
      </w:r>
    </w:p>
    <w:p w14:paraId="71E434AA" w14:textId="77777777" w:rsidR="00E869F8" w:rsidRDefault="00E869F8">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14:paraId="5AC55D0F" w14:textId="77777777" w:rsidR="00E869F8" w:rsidRDefault="00E869F8">
      <w:pPr>
        <w:pStyle w:val="sig-1"/>
        <w:widowControl/>
        <w:tabs>
          <w:tab w:val="clear" w:pos="851"/>
          <w:tab w:val="clear" w:pos="2835"/>
          <w:tab w:val="clear" w:pos="4820"/>
          <w:tab w:val="center" w:pos="1985"/>
          <w:tab w:val="center" w:pos="4536"/>
        </w:tabs>
        <w:ind w:left="0" w:right="1134"/>
        <w:rPr>
          <w:rFonts w:cs="FrankRuehl"/>
          <w:sz w:val="22"/>
          <w:rtl/>
        </w:rPr>
      </w:pPr>
    </w:p>
    <w:p w14:paraId="608FF9AA" w14:textId="77777777" w:rsidR="00E869F8" w:rsidRDefault="00E869F8">
      <w:pPr>
        <w:pStyle w:val="sig-1"/>
        <w:widowControl/>
        <w:tabs>
          <w:tab w:val="clear" w:pos="851"/>
          <w:tab w:val="clear" w:pos="2835"/>
          <w:tab w:val="clear" w:pos="4820"/>
          <w:tab w:val="center" w:pos="1985"/>
          <w:tab w:val="center" w:pos="4536"/>
        </w:tabs>
        <w:ind w:left="0" w:right="1134"/>
        <w:rPr>
          <w:rFonts w:cs="FrankRuehl"/>
          <w:sz w:val="22"/>
          <w:rtl/>
        </w:rPr>
      </w:pPr>
    </w:p>
    <w:p w14:paraId="0E69DA35" w14:textId="77777777" w:rsidR="00E869F8" w:rsidRDefault="00E869F8">
      <w:pPr>
        <w:ind w:right="1134"/>
        <w:rPr>
          <w:rtl/>
        </w:rPr>
      </w:pPr>
      <w:bookmarkStart w:id="3" w:name="LawPartEnd"/>
    </w:p>
    <w:bookmarkEnd w:id="3"/>
    <w:p w14:paraId="0DE4E8DE" w14:textId="77777777" w:rsidR="00E869F8" w:rsidRDefault="00E869F8">
      <w:pPr>
        <w:ind w:right="1134"/>
        <w:rPr>
          <w:rtl/>
        </w:rPr>
      </w:pPr>
    </w:p>
    <w:sectPr w:rsidR="00E869F8">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7D31B" w14:textId="77777777" w:rsidR="00047499" w:rsidRDefault="00047499">
      <w:r>
        <w:separator/>
      </w:r>
    </w:p>
  </w:endnote>
  <w:endnote w:type="continuationSeparator" w:id="0">
    <w:p w14:paraId="01E50207" w14:textId="77777777" w:rsidR="00047499" w:rsidRDefault="00047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36284" w14:textId="77777777" w:rsidR="00E869F8" w:rsidRDefault="00E869F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34E75A84" w14:textId="77777777" w:rsidR="00E869F8" w:rsidRDefault="00E869F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883779" w14:textId="77777777" w:rsidR="00E869F8" w:rsidRDefault="00E869F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7C04">
      <w:rPr>
        <w:rFonts w:cs="TopType Jerushalmi"/>
        <w:noProof/>
        <w:color w:val="000000"/>
        <w:sz w:val="14"/>
        <w:szCs w:val="14"/>
      </w:rPr>
      <w:t>C:\Yael\hakika\Revadim\255_417.doc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DB98" w14:textId="77777777" w:rsidR="00E869F8" w:rsidRDefault="00E869F8">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7F397A">
      <w:rPr>
        <w:rFonts w:hAnsi="FrankRuehl" w:cs="FrankRuehl"/>
        <w:noProof/>
        <w:rtl/>
      </w:rPr>
      <w:t>1</w:t>
    </w:r>
    <w:r>
      <w:rPr>
        <w:rFonts w:hAnsi="FrankRuehl" w:cs="FrankRuehl"/>
        <w:rtl/>
      </w:rPr>
      <w:fldChar w:fldCharType="end"/>
    </w:r>
  </w:p>
  <w:p w14:paraId="61F009EB" w14:textId="77777777" w:rsidR="00E869F8" w:rsidRDefault="00E869F8">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B962F2" w14:textId="77777777" w:rsidR="00E869F8" w:rsidRDefault="00E869F8">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F7C04">
      <w:rPr>
        <w:rFonts w:cs="TopType Jerushalmi"/>
        <w:noProof/>
        <w:color w:val="000000"/>
        <w:sz w:val="14"/>
        <w:szCs w:val="14"/>
      </w:rPr>
      <w:t>C:\Yael\hakika\Revadim\255_417.doc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871AB" w14:textId="77777777" w:rsidR="00047499" w:rsidRDefault="00047499" w:rsidP="00CF7C04">
      <w:pPr>
        <w:spacing w:before="60"/>
        <w:ind w:right="1134"/>
      </w:pPr>
      <w:r>
        <w:separator/>
      </w:r>
    </w:p>
  </w:footnote>
  <w:footnote w:type="continuationSeparator" w:id="0">
    <w:p w14:paraId="626895E2" w14:textId="77777777" w:rsidR="00047499" w:rsidRDefault="00047499">
      <w:r>
        <w:continuationSeparator/>
      </w:r>
    </w:p>
  </w:footnote>
  <w:footnote w:id="1">
    <w:p w14:paraId="7C555D32" w14:textId="77777777" w:rsidR="00CF7C04" w:rsidRPr="00CF7C04" w:rsidRDefault="00CF7C04" w:rsidP="00CF7C04">
      <w:pPr>
        <w:pStyle w:val="page"/>
        <w:widowControl/>
        <w:ind w:right="1134"/>
        <w:jc w:val="both"/>
        <w:rPr>
          <w:rFonts w:cs="FrankRuehl" w:hint="cs"/>
          <w:position w:val="0"/>
          <w:sz w:val="22"/>
        </w:rPr>
      </w:pPr>
      <w:r w:rsidRPr="00CF7C04">
        <w:rPr>
          <w:rFonts w:cs="FrankRuehl"/>
          <w:position w:val="0"/>
          <w:sz w:val="22"/>
          <w:rtl/>
        </w:rPr>
        <w:t xml:space="preserve">* </w:t>
      </w:r>
      <w:r w:rsidRPr="00CF7C04">
        <w:rPr>
          <w:rFonts w:cs="FrankRuehl" w:hint="cs"/>
          <w:position w:val="0"/>
          <w:sz w:val="22"/>
          <w:rtl/>
        </w:rPr>
        <w:t xml:space="preserve">פורסמו </w:t>
      </w:r>
      <w:hyperlink r:id="rId1" w:history="1">
        <w:r w:rsidRPr="00CF7C04">
          <w:rPr>
            <w:rStyle w:val="Hyperlink"/>
            <w:rFonts w:cs="FrankRuehl"/>
            <w:position w:val="0"/>
            <w:sz w:val="22"/>
            <w:rtl/>
          </w:rPr>
          <w:t>ק"ת</w:t>
        </w:r>
        <w:r w:rsidRPr="00CF7C04">
          <w:rPr>
            <w:rStyle w:val="Hyperlink"/>
            <w:rFonts w:cs="FrankRuehl" w:hint="cs"/>
            <w:position w:val="0"/>
            <w:sz w:val="22"/>
            <w:rtl/>
          </w:rPr>
          <w:t xml:space="preserve"> תשס"א מס'</w:t>
        </w:r>
        <w:r w:rsidRPr="00CF7C04">
          <w:rPr>
            <w:rStyle w:val="Hyperlink"/>
            <w:rFonts w:cs="FrankRuehl"/>
            <w:position w:val="0"/>
            <w:sz w:val="22"/>
            <w:rtl/>
          </w:rPr>
          <w:t xml:space="preserve"> 6090</w:t>
        </w:r>
      </w:hyperlink>
      <w:r w:rsidRPr="00CF7C04">
        <w:rPr>
          <w:rFonts w:cs="FrankRuehl" w:hint="cs"/>
          <w:position w:val="0"/>
          <w:sz w:val="22"/>
          <w:rtl/>
        </w:rPr>
        <w:t xml:space="preserve"> מיום </w:t>
      </w:r>
      <w:r w:rsidRPr="00CF7C04">
        <w:rPr>
          <w:rFonts w:cs="FrankRuehl"/>
          <w:position w:val="0"/>
          <w:sz w:val="22"/>
          <w:rtl/>
        </w:rPr>
        <w:t>1.3.2001 עמ' 500.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1B6B" w14:textId="77777777" w:rsidR="00E869F8" w:rsidRDefault="00E869F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פחת לאניות), תשס"א–2001</w:t>
    </w:r>
  </w:p>
  <w:p w14:paraId="7F459D07" w14:textId="77777777" w:rsidR="00E869F8" w:rsidRDefault="00E869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A6087C" w14:textId="77777777" w:rsidR="00E869F8" w:rsidRDefault="00E869F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12BEF" w14:textId="77777777" w:rsidR="00E869F8" w:rsidRDefault="00E869F8" w:rsidP="00CF7C04">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מס הכנסה (שיעור פחת לאניות), תשס"א</w:t>
    </w:r>
    <w:r w:rsidR="00CF7C04">
      <w:rPr>
        <w:rFonts w:hAnsi="FrankRuehl" w:cs="FrankRuehl" w:hint="cs"/>
        <w:color w:val="000000"/>
        <w:sz w:val="28"/>
        <w:szCs w:val="28"/>
        <w:rtl/>
      </w:rPr>
      <w:t>-</w:t>
    </w:r>
    <w:r>
      <w:rPr>
        <w:rFonts w:hAnsi="FrankRuehl" w:cs="FrankRuehl"/>
        <w:color w:val="000000"/>
        <w:sz w:val="28"/>
        <w:szCs w:val="28"/>
        <w:rtl/>
      </w:rPr>
      <w:t>2001</w:t>
    </w:r>
  </w:p>
  <w:p w14:paraId="6B9F405F" w14:textId="77777777" w:rsidR="00E869F8" w:rsidRDefault="00E869F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7756077" w14:textId="77777777" w:rsidR="00E869F8" w:rsidRDefault="00E869F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090"/>
    <w:rsid w:val="00047499"/>
    <w:rsid w:val="002174CC"/>
    <w:rsid w:val="00282090"/>
    <w:rsid w:val="00290B63"/>
    <w:rsid w:val="00292227"/>
    <w:rsid w:val="00305802"/>
    <w:rsid w:val="003764B4"/>
    <w:rsid w:val="00633A26"/>
    <w:rsid w:val="006463D5"/>
    <w:rsid w:val="007F397A"/>
    <w:rsid w:val="009A10F9"/>
    <w:rsid w:val="00CF7C04"/>
    <w:rsid w:val="00E869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3B9363C"/>
  <w15:chartTrackingRefBased/>
  <w15:docId w15:val="{FA1DC082-78ED-4420-9FDA-8938969ED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Hyperlink">
    <w:name w:val="Hyperlink"/>
    <w:basedOn w:val="a0"/>
    <w:rPr>
      <w:color w:val="0000FF"/>
      <w:u w:val="single"/>
    </w:rPr>
  </w:style>
  <w:style w:type="paragraph" w:styleId="a5">
    <w:name w:val="footnote text"/>
    <w:basedOn w:val="a"/>
    <w:semiHidden/>
    <w:rsid w:val="00CF7C04"/>
    <w:rPr>
      <w:sz w:val="20"/>
      <w:szCs w:val="20"/>
    </w:rPr>
  </w:style>
  <w:style w:type="character" w:styleId="a6">
    <w:name w:val="footnote reference"/>
    <w:basedOn w:val="a0"/>
    <w:semiHidden/>
    <w:rsid w:val="00CF7C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09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2183</CharactersWithSpaces>
  <SharedDoc>false</SharedDoc>
  <HLinks>
    <vt:vector size="24" baseType="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7733256</vt:i4>
      </vt:variant>
      <vt:variant>
        <vt:i4>0</vt:i4>
      </vt:variant>
      <vt:variant>
        <vt:i4>0</vt:i4>
      </vt:variant>
      <vt:variant>
        <vt:i4>5</vt:i4>
      </vt:variant>
      <vt:variant>
        <vt:lpwstr>http://www.nevo.co.il/Law_word/law06/TAK-6090.pdf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תקנות מס הכנסה (שיעור פחת לאניות), תשס"א-2001</vt:lpwstr>
  </property>
  <property fmtid="{D5CDD505-2E9C-101B-9397-08002B2CF9AE}" pid="5" name="LAWNUMBER">
    <vt:lpwstr>0417</vt:lpwstr>
  </property>
  <property fmtid="{D5CDD505-2E9C-101B-9397-08002B2CF9AE}" pid="6" name="TYPE">
    <vt:lpwstr>01</vt:lpwstr>
  </property>
  <property fmtid="{D5CDD505-2E9C-101B-9397-08002B2CF9AE}" pid="7" name="MEKOR_NAME1">
    <vt:lpwstr>פקודת מס הכנסה </vt:lpwstr>
  </property>
  <property fmtid="{D5CDD505-2E9C-101B-9397-08002B2CF9AE}" pid="8" name="MEKOR_SAIF1">
    <vt:lpwstr>17X8X;21X;243X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שיעורים</vt:lpwstr>
  </property>
  <property fmtid="{D5CDD505-2E9C-101B-9397-08002B2CF9AE}" pid="12" name="NOSE41">
    <vt:lpwstr>פחת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