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6363" w:rsidRDefault="00C86363" w:rsidP="00C86363">
      <w:pPr>
        <w:pStyle w:val="big-header"/>
        <w:ind w:left="0" w:right="1134"/>
        <w:rPr>
          <w:rFonts w:cs="FrankRuehl"/>
          <w:sz w:val="32"/>
        </w:rPr>
      </w:pPr>
      <w:r>
        <w:rPr>
          <w:rFonts w:cs="FrankRuehl" w:hint="cs"/>
          <w:sz w:val="32"/>
          <w:rtl/>
        </w:rPr>
        <w:t>תקנות מס הכנסה (שיעור פחת למוניטין)</w:t>
      </w:r>
      <w:r>
        <w:rPr>
          <w:rFonts w:cs="FrankRuehl"/>
          <w:sz w:val="32"/>
          <w:rtl/>
        </w:rPr>
        <w:t xml:space="preserve">, </w:t>
      </w:r>
      <w:r>
        <w:rPr>
          <w:rFonts w:cs="FrankRuehl" w:hint="cs"/>
          <w:sz w:val="32"/>
          <w:rtl/>
        </w:rPr>
        <w:t>תשס"ג-2003</w:t>
      </w:r>
    </w:p>
    <w:p w:rsidR="00C118C9" w:rsidRDefault="00C118C9" w:rsidP="00C118C9">
      <w:pPr>
        <w:spacing w:line="320" w:lineRule="auto"/>
        <w:jc w:val="left"/>
        <w:rPr>
          <w:rStyle w:val="default"/>
          <w:sz w:val="22"/>
          <w:szCs w:val="22"/>
          <w:rtl/>
        </w:rPr>
      </w:pPr>
    </w:p>
    <w:p w:rsidR="00C118C9" w:rsidRPr="00C118C9" w:rsidRDefault="00C118C9" w:rsidP="00C118C9">
      <w:pPr>
        <w:spacing w:line="320" w:lineRule="auto"/>
        <w:jc w:val="left"/>
        <w:rPr>
          <w:rStyle w:val="default"/>
          <w:rFonts w:cs="Miriam"/>
          <w:sz w:val="22"/>
          <w:szCs w:val="22"/>
          <w:rtl/>
        </w:rPr>
      </w:pPr>
      <w:r w:rsidRPr="00C118C9">
        <w:rPr>
          <w:rStyle w:val="default"/>
          <w:rFonts w:cs="Miriam"/>
          <w:sz w:val="22"/>
          <w:szCs w:val="22"/>
          <w:rtl/>
        </w:rPr>
        <w:t>מסים</w:t>
      </w:r>
      <w:r w:rsidRPr="00C118C9">
        <w:rPr>
          <w:rStyle w:val="default"/>
          <w:rFonts w:cs="FrankRuehl"/>
          <w:sz w:val="22"/>
          <w:rtl/>
        </w:rPr>
        <w:t xml:space="preserve"> – מס הכנסה – שיעורים – פחת</w:t>
      </w:r>
    </w:p>
    <w:p w:rsidR="00C86363" w:rsidRDefault="00C86363" w:rsidP="00C86363">
      <w:pPr>
        <w:pStyle w:val="big-header"/>
        <w:ind w:left="0" w:right="1134"/>
        <w:rPr>
          <w:rFonts w:cs="FrankRuehl" w:hint="cs"/>
          <w:sz w:val="32"/>
          <w:rtl/>
        </w:rPr>
      </w:pPr>
      <w:r w:rsidRPr="00E44C45">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E333C" w:rsidRPr="004E333C" w:rsidTr="004E333C">
        <w:tblPrEx>
          <w:tblCellMar>
            <w:top w:w="0" w:type="dxa"/>
            <w:bottom w:w="0" w:type="dxa"/>
          </w:tblCellMar>
        </w:tblPrEx>
        <w:tc>
          <w:tcPr>
            <w:tcW w:w="1247" w:type="dxa"/>
          </w:tcPr>
          <w:p w:rsidR="004E333C" w:rsidRPr="004E333C" w:rsidRDefault="004E333C" w:rsidP="004E333C">
            <w:pPr>
              <w:spacing w:line="240" w:lineRule="auto"/>
              <w:jc w:val="left"/>
              <w:rPr>
                <w:rFonts w:cs="Frankruhel" w:hint="cs"/>
                <w:sz w:val="24"/>
                <w:rtl/>
              </w:rPr>
            </w:pPr>
            <w:r>
              <w:rPr>
                <w:sz w:val="24"/>
                <w:rtl/>
              </w:rPr>
              <w:t xml:space="preserve">סעיף 1 </w:t>
            </w:r>
          </w:p>
        </w:tc>
        <w:tc>
          <w:tcPr>
            <w:tcW w:w="5669" w:type="dxa"/>
          </w:tcPr>
          <w:p w:rsidR="004E333C" w:rsidRPr="004E333C" w:rsidRDefault="004E333C" w:rsidP="004E333C">
            <w:pPr>
              <w:spacing w:line="240" w:lineRule="auto"/>
              <w:jc w:val="left"/>
              <w:rPr>
                <w:rFonts w:cs="Frankruhel" w:hint="cs"/>
                <w:sz w:val="24"/>
                <w:rtl/>
              </w:rPr>
            </w:pPr>
            <w:r>
              <w:rPr>
                <w:sz w:val="24"/>
                <w:rtl/>
              </w:rPr>
              <w:t>פחת למוניטין</w:t>
            </w:r>
          </w:p>
        </w:tc>
        <w:tc>
          <w:tcPr>
            <w:tcW w:w="567" w:type="dxa"/>
          </w:tcPr>
          <w:p w:rsidR="004E333C" w:rsidRPr="004E333C" w:rsidRDefault="004E333C" w:rsidP="004E333C">
            <w:pPr>
              <w:spacing w:line="240" w:lineRule="auto"/>
              <w:jc w:val="left"/>
              <w:rPr>
                <w:rStyle w:val="Hyperlink"/>
                <w:rFonts w:hint="cs"/>
                <w:rtl/>
              </w:rPr>
            </w:pPr>
            <w:hyperlink w:anchor="Seif1" w:tooltip="פחת למוניטין" w:history="1">
              <w:r w:rsidRPr="004E333C">
                <w:rPr>
                  <w:rStyle w:val="Hyperlink"/>
                </w:rPr>
                <w:t>Go</w:t>
              </w:r>
            </w:hyperlink>
          </w:p>
        </w:tc>
        <w:tc>
          <w:tcPr>
            <w:tcW w:w="850" w:type="dxa"/>
          </w:tcPr>
          <w:p w:rsidR="004E333C" w:rsidRPr="004E333C" w:rsidRDefault="004E333C" w:rsidP="004E333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E333C" w:rsidRPr="004E333C" w:rsidTr="004E333C">
        <w:tblPrEx>
          <w:tblCellMar>
            <w:top w:w="0" w:type="dxa"/>
            <w:bottom w:w="0" w:type="dxa"/>
          </w:tblCellMar>
        </w:tblPrEx>
        <w:tc>
          <w:tcPr>
            <w:tcW w:w="1247" w:type="dxa"/>
          </w:tcPr>
          <w:p w:rsidR="004E333C" w:rsidRPr="004E333C" w:rsidRDefault="004E333C" w:rsidP="004E333C">
            <w:pPr>
              <w:spacing w:line="240" w:lineRule="auto"/>
              <w:jc w:val="left"/>
              <w:rPr>
                <w:rFonts w:cs="Frankruhel" w:hint="cs"/>
                <w:sz w:val="24"/>
                <w:rtl/>
              </w:rPr>
            </w:pPr>
            <w:r>
              <w:rPr>
                <w:sz w:val="24"/>
                <w:rtl/>
              </w:rPr>
              <w:t xml:space="preserve">סעיף 2 </w:t>
            </w:r>
          </w:p>
        </w:tc>
        <w:tc>
          <w:tcPr>
            <w:tcW w:w="5669" w:type="dxa"/>
          </w:tcPr>
          <w:p w:rsidR="004E333C" w:rsidRPr="004E333C" w:rsidRDefault="004E333C" w:rsidP="004E333C">
            <w:pPr>
              <w:spacing w:line="240" w:lineRule="auto"/>
              <w:jc w:val="left"/>
              <w:rPr>
                <w:rFonts w:cs="Frankruhel" w:hint="cs"/>
                <w:sz w:val="24"/>
                <w:rtl/>
              </w:rPr>
            </w:pPr>
            <w:r>
              <w:rPr>
                <w:sz w:val="24"/>
                <w:rtl/>
              </w:rPr>
              <w:t>סייג לפחת</w:t>
            </w:r>
          </w:p>
        </w:tc>
        <w:tc>
          <w:tcPr>
            <w:tcW w:w="567" w:type="dxa"/>
          </w:tcPr>
          <w:p w:rsidR="004E333C" w:rsidRPr="004E333C" w:rsidRDefault="004E333C" w:rsidP="004E333C">
            <w:pPr>
              <w:spacing w:line="240" w:lineRule="auto"/>
              <w:jc w:val="left"/>
              <w:rPr>
                <w:rStyle w:val="Hyperlink"/>
                <w:rFonts w:hint="cs"/>
                <w:rtl/>
              </w:rPr>
            </w:pPr>
            <w:hyperlink w:anchor="Seif2" w:tooltip="סייג לפחת" w:history="1">
              <w:r w:rsidRPr="004E333C">
                <w:rPr>
                  <w:rStyle w:val="Hyperlink"/>
                </w:rPr>
                <w:t>Go</w:t>
              </w:r>
            </w:hyperlink>
          </w:p>
        </w:tc>
        <w:tc>
          <w:tcPr>
            <w:tcW w:w="850" w:type="dxa"/>
          </w:tcPr>
          <w:p w:rsidR="004E333C" w:rsidRPr="004E333C" w:rsidRDefault="004E333C" w:rsidP="004E333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E333C" w:rsidRPr="004E333C" w:rsidTr="004E333C">
        <w:tblPrEx>
          <w:tblCellMar>
            <w:top w:w="0" w:type="dxa"/>
            <w:bottom w:w="0" w:type="dxa"/>
          </w:tblCellMar>
        </w:tblPrEx>
        <w:tc>
          <w:tcPr>
            <w:tcW w:w="1247" w:type="dxa"/>
          </w:tcPr>
          <w:p w:rsidR="004E333C" w:rsidRPr="004E333C" w:rsidRDefault="004E333C" w:rsidP="004E333C">
            <w:pPr>
              <w:spacing w:line="240" w:lineRule="auto"/>
              <w:jc w:val="left"/>
              <w:rPr>
                <w:rFonts w:cs="Frankruhel" w:hint="cs"/>
                <w:sz w:val="24"/>
                <w:rtl/>
              </w:rPr>
            </w:pPr>
            <w:r>
              <w:rPr>
                <w:sz w:val="24"/>
                <w:rtl/>
              </w:rPr>
              <w:t xml:space="preserve">סעיף 3 </w:t>
            </w:r>
          </w:p>
        </w:tc>
        <w:tc>
          <w:tcPr>
            <w:tcW w:w="5669" w:type="dxa"/>
          </w:tcPr>
          <w:p w:rsidR="004E333C" w:rsidRPr="004E333C" w:rsidRDefault="004E333C" w:rsidP="004E333C">
            <w:pPr>
              <w:spacing w:line="240" w:lineRule="auto"/>
              <w:jc w:val="left"/>
              <w:rPr>
                <w:rFonts w:cs="Frankruhel" w:hint="cs"/>
                <w:sz w:val="24"/>
                <w:rtl/>
              </w:rPr>
            </w:pPr>
            <w:r>
              <w:rPr>
                <w:sz w:val="24"/>
                <w:rtl/>
              </w:rPr>
              <w:t>סייג לפחת מואץ או להפחתה</w:t>
            </w:r>
          </w:p>
        </w:tc>
        <w:tc>
          <w:tcPr>
            <w:tcW w:w="567" w:type="dxa"/>
          </w:tcPr>
          <w:p w:rsidR="004E333C" w:rsidRPr="004E333C" w:rsidRDefault="004E333C" w:rsidP="004E333C">
            <w:pPr>
              <w:spacing w:line="240" w:lineRule="auto"/>
              <w:jc w:val="left"/>
              <w:rPr>
                <w:rStyle w:val="Hyperlink"/>
                <w:rFonts w:hint="cs"/>
                <w:rtl/>
              </w:rPr>
            </w:pPr>
            <w:hyperlink w:anchor="Seif3" w:tooltip="סייג לפחת מואץ או להפחתה" w:history="1">
              <w:r w:rsidRPr="004E333C">
                <w:rPr>
                  <w:rStyle w:val="Hyperlink"/>
                </w:rPr>
                <w:t>Go</w:t>
              </w:r>
            </w:hyperlink>
          </w:p>
        </w:tc>
        <w:tc>
          <w:tcPr>
            <w:tcW w:w="850" w:type="dxa"/>
          </w:tcPr>
          <w:p w:rsidR="004E333C" w:rsidRPr="004E333C" w:rsidRDefault="004E333C" w:rsidP="004E333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E333C" w:rsidRPr="004E333C" w:rsidTr="004E333C">
        <w:tblPrEx>
          <w:tblCellMar>
            <w:top w:w="0" w:type="dxa"/>
            <w:bottom w:w="0" w:type="dxa"/>
          </w:tblCellMar>
        </w:tblPrEx>
        <w:tc>
          <w:tcPr>
            <w:tcW w:w="1247" w:type="dxa"/>
          </w:tcPr>
          <w:p w:rsidR="004E333C" w:rsidRPr="004E333C" w:rsidRDefault="004E333C" w:rsidP="004E333C">
            <w:pPr>
              <w:spacing w:line="240" w:lineRule="auto"/>
              <w:jc w:val="left"/>
              <w:rPr>
                <w:rFonts w:cs="Frankruhel" w:hint="cs"/>
                <w:sz w:val="24"/>
                <w:rtl/>
              </w:rPr>
            </w:pPr>
            <w:r>
              <w:rPr>
                <w:sz w:val="24"/>
                <w:rtl/>
              </w:rPr>
              <w:t xml:space="preserve">סעיף 4 </w:t>
            </w:r>
          </w:p>
        </w:tc>
        <w:tc>
          <w:tcPr>
            <w:tcW w:w="5669" w:type="dxa"/>
          </w:tcPr>
          <w:p w:rsidR="004E333C" w:rsidRPr="004E333C" w:rsidRDefault="004E333C" w:rsidP="004E333C">
            <w:pPr>
              <w:spacing w:line="240" w:lineRule="auto"/>
              <w:jc w:val="left"/>
              <w:rPr>
                <w:rFonts w:cs="Frankruhel" w:hint="cs"/>
                <w:sz w:val="24"/>
                <w:rtl/>
              </w:rPr>
            </w:pPr>
            <w:r>
              <w:rPr>
                <w:sz w:val="24"/>
                <w:rtl/>
              </w:rPr>
              <w:t>תחילה ותחולה</w:t>
            </w:r>
          </w:p>
        </w:tc>
        <w:tc>
          <w:tcPr>
            <w:tcW w:w="567" w:type="dxa"/>
          </w:tcPr>
          <w:p w:rsidR="004E333C" w:rsidRPr="004E333C" w:rsidRDefault="004E333C" w:rsidP="004E333C">
            <w:pPr>
              <w:spacing w:line="240" w:lineRule="auto"/>
              <w:jc w:val="left"/>
              <w:rPr>
                <w:rStyle w:val="Hyperlink"/>
                <w:rFonts w:hint="cs"/>
                <w:rtl/>
              </w:rPr>
            </w:pPr>
            <w:hyperlink w:anchor="Seif4" w:tooltip="תחילה ותחולה" w:history="1">
              <w:r w:rsidRPr="004E333C">
                <w:rPr>
                  <w:rStyle w:val="Hyperlink"/>
                </w:rPr>
                <w:t>Go</w:t>
              </w:r>
            </w:hyperlink>
          </w:p>
        </w:tc>
        <w:tc>
          <w:tcPr>
            <w:tcW w:w="850" w:type="dxa"/>
          </w:tcPr>
          <w:p w:rsidR="004E333C" w:rsidRPr="004E333C" w:rsidRDefault="004E333C" w:rsidP="004E333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C86363" w:rsidRDefault="00C86363" w:rsidP="00C86363">
      <w:pPr>
        <w:pStyle w:val="big-header"/>
        <w:ind w:left="0" w:right="1134"/>
        <w:rPr>
          <w:rFonts w:cs="FrankRuehl" w:hint="cs"/>
          <w:sz w:val="32"/>
          <w:rtl/>
        </w:rPr>
      </w:pPr>
    </w:p>
    <w:p w:rsidR="001537DD" w:rsidRDefault="00C86363" w:rsidP="00C118C9">
      <w:pPr>
        <w:pStyle w:val="big-header"/>
        <w:ind w:left="0" w:right="1134"/>
        <w:rPr>
          <w:rFonts w:cs="FrankRuehl" w:hint="cs"/>
          <w:sz w:val="32"/>
          <w:rtl/>
        </w:rPr>
      </w:pPr>
      <w:r>
        <w:rPr>
          <w:rFonts w:cs="FrankRuehl"/>
          <w:sz w:val="32"/>
          <w:rtl/>
        </w:rPr>
        <w:br w:type="page"/>
      </w:r>
      <w:r w:rsidR="001537DD">
        <w:rPr>
          <w:rFonts w:cs="FrankRuehl" w:hint="cs"/>
          <w:sz w:val="32"/>
          <w:rtl/>
        </w:rPr>
        <w:lastRenderedPageBreak/>
        <w:t>תקנות מס הכנסה (שיעור פחת למוניטין)</w:t>
      </w:r>
      <w:r w:rsidR="001537DD">
        <w:rPr>
          <w:rFonts w:cs="FrankRuehl"/>
          <w:sz w:val="32"/>
          <w:rtl/>
        </w:rPr>
        <w:t xml:space="preserve">, </w:t>
      </w:r>
      <w:r w:rsidR="001537DD">
        <w:rPr>
          <w:rFonts w:cs="FrankRuehl" w:hint="cs"/>
          <w:sz w:val="32"/>
          <w:rtl/>
        </w:rPr>
        <w:t>תשס"ג-2003</w:t>
      </w:r>
      <w:r w:rsidR="001537DD">
        <w:rPr>
          <w:rStyle w:val="default"/>
          <w:sz w:val="22"/>
          <w:szCs w:val="22"/>
          <w:rtl/>
        </w:rPr>
        <w:footnoteReference w:customMarkFollows="1" w:id="1"/>
        <w:t>*</w:t>
      </w:r>
    </w:p>
    <w:p w:rsidR="001537DD" w:rsidRDefault="001537DD">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וקף סמכותי לפי סעיפים 21 ו-243 לפקודת מס הכנסה, ולפי סעיף 3 לחוק מס הכנסה (תיאומים בשל אינפלציה), התשמ"ה-1985, ובאישור ועדת הכספים של הכנסת, אני מתקין תקנות אלה:</w:t>
      </w:r>
    </w:p>
    <w:p w:rsidR="001537DD" w:rsidRDefault="001537DD">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pt;z-index:251656192" o:allowincell="f" filled="f" stroked="f" strokecolor="lime" strokeweight=".25pt">
            <v:textbox style="mso-next-textbox:#_x0000_s1026" inset="0,0,0,0">
              <w:txbxContent>
                <w:p w:rsidR="001537DD" w:rsidRDefault="001537DD">
                  <w:pPr>
                    <w:spacing w:line="160" w:lineRule="exact"/>
                    <w:jc w:val="left"/>
                    <w:rPr>
                      <w:rFonts w:cs="Miriam" w:hint="cs"/>
                      <w:noProof/>
                      <w:sz w:val="18"/>
                      <w:szCs w:val="18"/>
                      <w:rtl/>
                    </w:rPr>
                  </w:pPr>
                  <w:r>
                    <w:rPr>
                      <w:rFonts w:cs="Miriam" w:hint="cs"/>
                      <w:sz w:val="18"/>
                      <w:szCs w:val="18"/>
                      <w:rtl/>
                    </w:rPr>
                    <w:t>פחת למוניטין</w:t>
                  </w:r>
                </w:p>
              </w:txbxContent>
            </v:textbox>
            <w10:anchorlock/>
          </v:rect>
        </w:pict>
      </w:r>
      <w:r>
        <w:rPr>
          <w:rStyle w:val="big-number"/>
          <w:rFonts w:cs="Miriam"/>
          <w:rtl/>
        </w:rPr>
        <w:t>1</w:t>
      </w:r>
      <w:r>
        <w:rPr>
          <w:rStyle w:val="default"/>
          <w:rFonts w:cs="FrankRuehl"/>
          <w:rtl/>
        </w:rPr>
        <w:t>.</w:t>
      </w:r>
      <w:r>
        <w:rPr>
          <w:rStyle w:val="default"/>
          <w:rFonts w:cs="FrankRuehl"/>
          <w:rtl/>
        </w:rPr>
        <w:tab/>
      </w:r>
      <w:r>
        <w:rPr>
          <w:rStyle w:val="default"/>
          <w:rFonts w:cs="FrankRuehl" w:hint="cs"/>
          <w:rtl/>
        </w:rPr>
        <w:t>הפחת בשל מוניטין ששולם בעדם יהיה בשיעור של 10% לשנה ממחירם המקורי.</w:t>
      </w:r>
    </w:p>
    <w:p w:rsidR="001537DD" w:rsidRDefault="001537DD">
      <w:pPr>
        <w:pStyle w:val="P00"/>
        <w:spacing w:before="72"/>
        <w:ind w:left="0" w:right="1134"/>
        <w:rPr>
          <w:rStyle w:val="default"/>
          <w:rFonts w:cs="FrankRuehl" w:hint="cs"/>
          <w:rtl/>
        </w:rPr>
      </w:pPr>
      <w:bookmarkStart w:id="1" w:name="Seif2"/>
      <w:bookmarkEnd w:id="1"/>
      <w:r>
        <w:rPr>
          <w:lang w:val="he-IL"/>
        </w:rPr>
        <w:pict>
          <v:rect id="_x0000_s1029" style="position:absolute;left:0;text-align:left;margin-left:464.5pt;margin-top:8.05pt;width:75.05pt;height:12.4pt;z-index:251657216" o:allowincell="f" filled="f" stroked="f" strokecolor="lime" strokeweight=".25pt">
            <v:textbox inset="0,0,0,0">
              <w:txbxContent>
                <w:p w:rsidR="001537DD" w:rsidRDefault="001537DD">
                  <w:pPr>
                    <w:spacing w:line="160" w:lineRule="exact"/>
                    <w:jc w:val="left"/>
                    <w:rPr>
                      <w:rFonts w:cs="Miriam"/>
                      <w:noProof/>
                      <w:sz w:val="18"/>
                      <w:szCs w:val="18"/>
                      <w:rtl/>
                    </w:rPr>
                  </w:pPr>
                  <w:r>
                    <w:rPr>
                      <w:rFonts w:cs="Miriam" w:hint="cs"/>
                      <w:sz w:val="18"/>
                      <w:szCs w:val="18"/>
                      <w:rtl/>
                    </w:rPr>
                    <w:t>סייג לפחת</w:t>
                  </w:r>
                </w:p>
              </w:txbxContent>
            </v:textbox>
            <w10:anchorlock/>
          </v:rect>
        </w:pict>
      </w:r>
      <w:r>
        <w:rPr>
          <w:rStyle w:val="big-number"/>
          <w:rFonts w:cs="Miriam"/>
          <w:rtl/>
        </w:rPr>
        <w:t>2.</w:t>
      </w:r>
      <w:r>
        <w:rPr>
          <w:rStyle w:val="big-number"/>
          <w:rFonts w:cs="Miriam"/>
          <w:rtl/>
        </w:rPr>
        <w:tab/>
      </w:r>
      <w:r>
        <w:rPr>
          <w:rStyle w:val="default"/>
          <w:rFonts w:cs="FrankRuehl" w:hint="cs"/>
          <w:rtl/>
        </w:rPr>
        <w:t>(א)</w:t>
      </w:r>
      <w:r>
        <w:rPr>
          <w:rStyle w:val="default"/>
          <w:rFonts w:cs="FrankRuehl" w:hint="cs"/>
          <w:rtl/>
        </w:rPr>
        <w:tab/>
        <w:t>האמור בתקנה 1 לא יחול ברכישת מוניטין מקרוב כהגדרתו בסעיף 105יא לפקודה, או מתושב חוץ, אלא אם כן הוכח להנחת דעתו של פקיד השומה שהרכישה היתה חיונית לצורך ייצור ההכנסה ונעשתה בתום לב ומטעמים עסקיים בלבד.</w:t>
      </w:r>
    </w:p>
    <w:p w:rsidR="001537DD" w:rsidRDefault="001537D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יראו במוניטין נכס בר פחת לענין סעיף 96 לפקודה.</w:t>
      </w:r>
    </w:p>
    <w:p w:rsidR="001537DD" w:rsidRDefault="001537DD">
      <w:pPr>
        <w:pStyle w:val="P00"/>
        <w:spacing w:before="72"/>
        <w:ind w:left="0" w:right="1134"/>
        <w:rPr>
          <w:rStyle w:val="default"/>
          <w:rFonts w:cs="FrankRuehl"/>
          <w:rtl/>
        </w:rPr>
      </w:pPr>
      <w:bookmarkStart w:id="2" w:name="Seif3"/>
      <w:bookmarkEnd w:id="2"/>
      <w:r>
        <w:rPr>
          <w:lang w:val="he-IL"/>
        </w:rPr>
        <w:pict>
          <v:rect id="_x0000_s1030" style="position:absolute;left:0;text-align:left;margin-left:464.5pt;margin-top:8.05pt;width:75.05pt;height:16.35pt;z-index:251658240" o:allowincell="f" filled="f" stroked="f" strokecolor="lime" strokeweight=".25pt">
            <v:textbox inset="0,0,0,0">
              <w:txbxContent>
                <w:p w:rsidR="001537DD" w:rsidRDefault="001537DD">
                  <w:pPr>
                    <w:spacing w:line="160" w:lineRule="exact"/>
                    <w:jc w:val="left"/>
                    <w:rPr>
                      <w:rFonts w:cs="Miriam" w:hint="cs"/>
                      <w:noProof/>
                      <w:sz w:val="18"/>
                      <w:szCs w:val="18"/>
                      <w:rtl/>
                    </w:rPr>
                  </w:pPr>
                  <w:r>
                    <w:rPr>
                      <w:rFonts w:cs="Miriam" w:hint="cs"/>
                      <w:sz w:val="18"/>
                      <w:szCs w:val="18"/>
                      <w:rtl/>
                    </w:rPr>
                    <w:t>סייג לפחת מואץ או להפחתה</w:t>
                  </w:r>
                </w:p>
              </w:txbxContent>
            </v:textbox>
            <w10:anchorlock/>
          </v:rect>
        </w:pict>
      </w:r>
      <w:r>
        <w:rPr>
          <w:rStyle w:val="big-number"/>
          <w:rFonts w:cs="Miriam"/>
          <w:rtl/>
        </w:rPr>
        <w:t>3.</w:t>
      </w:r>
      <w:r>
        <w:rPr>
          <w:rStyle w:val="big-number"/>
          <w:rFonts w:cs="Miriam"/>
          <w:rtl/>
        </w:rPr>
        <w:tab/>
      </w:r>
      <w:r>
        <w:rPr>
          <w:rStyle w:val="default"/>
          <w:rFonts w:cs="FrankRuehl" w:hint="cs"/>
          <w:rtl/>
        </w:rPr>
        <w:t xml:space="preserve">על אף האמור בתקנה 1, אדם הזכאי לפחת נוסף או הפחתה בשל אותו מוניטין גם על פי דין אחר (להלן </w:t>
      </w:r>
      <w:r>
        <w:rPr>
          <w:rStyle w:val="default"/>
          <w:rFonts w:cs="FrankRuehl"/>
          <w:rtl/>
        </w:rPr>
        <w:t>–</w:t>
      </w:r>
      <w:r>
        <w:rPr>
          <w:rStyle w:val="default"/>
          <w:rFonts w:cs="FrankRuehl" w:hint="cs"/>
          <w:rtl/>
        </w:rPr>
        <w:t xml:space="preserve"> הפחת הנוסף), יהיה זכאי לפחת על פי תקנות אלה בשיעור ההפרש שבין 10% לפחת הנוסף, ובלבד שסך כל הפחת בשל אותם מוניטין לא יעלה על 10% או על הפחת הנוסף, לפי הגבוה מביניהם.</w:t>
      </w:r>
    </w:p>
    <w:p w:rsidR="001537DD" w:rsidRDefault="001537DD">
      <w:pPr>
        <w:pStyle w:val="P00"/>
        <w:spacing w:before="72"/>
        <w:ind w:left="0" w:right="1134"/>
        <w:rPr>
          <w:rStyle w:val="default"/>
          <w:rFonts w:cs="FrankRuehl"/>
          <w:rtl/>
        </w:rPr>
      </w:pPr>
      <w:bookmarkStart w:id="3" w:name="Seif4"/>
      <w:bookmarkEnd w:id="3"/>
      <w:r>
        <w:rPr>
          <w:lang w:val="he-IL"/>
        </w:rPr>
        <w:pict>
          <v:rect id="_x0000_s1031" style="position:absolute;left:0;text-align:left;margin-left:464.5pt;margin-top:8.05pt;width:75.05pt;height:10pt;z-index:251659264" o:allowincell="f" filled="f" stroked="f" strokecolor="lime" strokeweight=".25pt">
            <v:textbox inset="0,0,0,0">
              <w:txbxContent>
                <w:p w:rsidR="001537DD" w:rsidRDefault="001537DD">
                  <w:pPr>
                    <w:spacing w:line="160" w:lineRule="exact"/>
                    <w:jc w:val="lef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rtl/>
        </w:rPr>
        <w:t>4.</w:t>
      </w:r>
      <w:r>
        <w:rPr>
          <w:rStyle w:val="big-number"/>
          <w:rFonts w:cs="Miriam"/>
          <w:rtl/>
        </w:rPr>
        <w:tab/>
      </w:r>
      <w:r>
        <w:rPr>
          <w:rStyle w:val="default"/>
          <w:rFonts w:cs="FrankRuehl" w:hint="cs"/>
          <w:rtl/>
        </w:rPr>
        <w:t xml:space="preserve">תחילתן של תקנות אלה ביום א' בתמוז התשס"ג (1 ביולי 2003) (להלן </w:t>
      </w:r>
      <w:r>
        <w:rPr>
          <w:rStyle w:val="default"/>
          <w:rFonts w:cs="FrankRuehl"/>
          <w:rtl/>
        </w:rPr>
        <w:t>–</w:t>
      </w:r>
      <w:r>
        <w:rPr>
          <w:rStyle w:val="default"/>
          <w:rFonts w:cs="FrankRuehl" w:hint="cs"/>
          <w:rtl/>
        </w:rPr>
        <w:t xml:space="preserve"> יום התחילה) והן יחולו על מוניטין שנרכש ביום התחילה ואילך.</w:t>
      </w:r>
    </w:p>
    <w:p w:rsidR="001537DD" w:rsidRDefault="001537DD">
      <w:pPr>
        <w:pStyle w:val="medium-header"/>
        <w:keepNext w:val="0"/>
        <w:keepLines w:val="0"/>
        <w:ind w:left="0" w:right="1134"/>
        <w:jc w:val="both"/>
        <w:rPr>
          <w:rFonts w:cs="FrankRuehl"/>
          <w:sz w:val="26"/>
          <w:rtl/>
        </w:rPr>
      </w:pPr>
    </w:p>
    <w:p w:rsidR="001537DD" w:rsidRDefault="001537DD">
      <w:pPr>
        <w:pStyle w:val="medium-header"/>
        <w:keepNext w:val="0"/>
        <w:keepLines w:val="0"/>
        <w:ind w:left="0" w:right="1134"/>
        <w:jc w:val="both"/>
        <w:rPr>
          <w:rFonts w:cs="FrankRuehl" w:hint="cs"/>
          <w:sz w:val="26"/>
          <w:rtl/>
        </w:rPr>
      </w:pPr>
    </w:p>
    <w:p w:rsidR="001537DD" w:rsidRDefault="001537DD">
      <w:pPr>
        <w:pStyle w:val="medium-header"/>
        <w:keepNext w:val="0"/>
        <w:keepLines w:val="0"/>
        <w:ind w:left="0" w:right="1134"/>
        <w:jc w:val="both"/>
        <w:rPr>
          <w:rFonts w:cs="FrankRuehl" w:hint="cs"/>
          <w:sz w:val="26"/>
          <w:rtl/>
        </w:rPr>
      </w:pPr>
      <w:r>
        <w:rPr>
          <w:rFonts w:cs="FrankRuehl" w:hint="cs"/>
          <w:sz w:val="26"/>
          <w:rtl/>
        </w:rPr>
        <w:t>כ"ח בתמוז התשס"ג (28 ביולי 2003)</w:t>
      </w:r>
    </w:p>
    <w:p w:rsidR="001537DD" w:rsidRDefault="001537DD">
      <w:pPr>
        <w:pStyle w:val="medium-header"/>
        <w:keepNext w:val="0"/>
        <w:keepLines w:val="0"/>
        <w:tabs>
          <w:tab w:val="clear" w:pos="624"/>
          <w:tab w:val="clear" w:pos="1021"/>
          <w:tab w:val="clear" w:pos="1474"/>
          <w:tab w:val="clear" w:pos="1928"/>
          <w:tab w:val="clear" w:pos="2381"/>
          <w:tab w:val="clear" w:pos="2835"/>
          <w:tab w:val="center" w:pos="5103"/>
        </w:tabs>
        <w:ind w:left="0" w:right="1134"/>
        <w:jc w:val="both"/>
        <w:rPr>
          <w:rFonts w:cs="FrankRuehl" w:hint="cs"/>
          <w:sz w:val="26"/>
          <w:rtl/>
        </w:rPr>
      </w:pPr>
      <w:r>
        <w:rPr>
          <w:rFonts w:cs="FrankRuehl" w:hint="cs"/>
          <w:sz w:val="26"/>
          <w:rtl/>
        </w:rPr>
        <w:tab/>
        <w:t>בנימין נתניהו</w:t>
      </w:r>
    </w:p>
    <w:p w:rsidR="001537DD" w:rsidRDefault="001537DD">
      <w:pPr>
        <w:pStyle w:val="medium-header"/>
        <w:keepNext w:val="0"/>
        <w:keepLines w:val="0"/>
        <w:tabs>
          <w:tab w:val="clear" w:pos="624"/>
          <w:tab w:val="clear" w:pos="1021"/>
          <w:tab w:val="clear" w:pos="1474"/>
          <w:tab w:val="clear" w:pos="1928"/>
          <w:tab w:val="clear" w:pos="2381"/>
          <w:tab w:val="clear" w:pos="2835"/>
          <w:tab w:val="center" w:pos="5103"/>
        </w:tabs>
        <w:ind w:left="0" w:right="1134"/>
        <w:jc w:val="both"/>
        <w:rPr>
          <w:rFonts w:cs="FrankRuehl" w:hint="cs"/>
          <w:sz w:val="22"/>
          <w:szCs w:val="22"/>
          <w:rtl/>
        </w:rPr>
      </w:pPr>
      <w:r>
        <w:rPr>
          <w:rFonts w:cs="FrankRuehl" w:hint="cs"/>
          <w:sz w:val="22"/>
          <w:szCs w:val="22"/>
          <w:rtl/>
        </w:rPr>
        <w:tab/>
        <w:t>שר האוצר</w:t>
      </w:r>
    </w:p>
    <w:p w:rsidR="004E333C" w:rsidRDefault="004E333C">
      <w:pPr>
        <w:pStyle w:val="medium-header"/>
        <w:keepNext w:val="0"/>
        <w:keepLines w:val="0"/>
        <w:tabs>
          <w:tab w:val="clear" w:pos="624"/>
          <w:tab w:val="clear" w:pos="1021"/>
          <w:tab w:val="clear" w:pos="1474"/>
          <w:tab w:val="clear" w:pos="1928"/>
          <w:tab w:val="clear" w:pos="2381"/>
          <w:tab w:val="clear" w:pos="2835"/>
          <w:tab w:val="center" w:pos="3402"/>
        </w:tabs>
        <w:ind w:left="0" w:right="1134"/>
        <w:jc w:val="both"/>
        <w:rPr>
          <w:rFonts w:cs="FrankRuehl"/>
          <w:sz w:val="22"/>
          <w:szCs w:val="22"/>
          <w:rtl/>
        </w:rPr>
      </w:pPr>
    </w:p>
    <w:p w:rsidR="004E333C" w:rsidRDefault="004E333C">
      <w:pPr>
        <w:pStyle w:val="medium-header"/>
        <w:keepNext w:val="0"/>
        <w:keepLines w:val="0"/>
        <w:tabs>
          <w:tab w:val="clear" w:pos="624"/>
          <w:tab w:val="clear" w:pos="1021"/>
          <w:tab w:val="clear" w:pos="1474"/>
          <w:tab w:val="clear" w:pos="1928"/>
          <w:tab w:val="clear" w:pos="2381"/>
          <w:tab w:val="clear" w:pos="2835"/>
          <w:tab w:val="center" w:pos="3402"/>
        </w:tabs>
        <w:ind w:left="0" w:right="1134"/>
        <w:jc w:val="both"/>
        <w:rPr>
          <w:rFonts w:cs="FrankRuehl"/>
          <w:sz w:val="22"/>
          <w:szCs w:val="22"/>
          <w:rtl/>
        </w:rPr>
      </w:pPr>
    </w:p>
    <w:p w:rsidR="004E333C" w:rsidRDefault="004E333C" w:rsidP="004E333C">
      <w:pPr>
        <w:pStyle w:val="medium-header"/>
        <w:keepNext w:val="0"/>
        <w:keepLines w:val="0"/>
        <w:tabs>
          <w:tab w:val="clear" w:pos="624"/>
          <w:tab w:val="clear" w:pos="1021"/>
          <w:tab w:val="clear" w:pos="1474"/>
          <w:tab w:val="clear" w:pos="1928"/>
          <w:tab w:val="clear" w:pos="2381"/>
          <w:tab w:val="clear" w:pos="2835"/>
          <w:tab w:val="center" w:pos="3402"/>
        </w:tabs>
        <w:ind w:left="0" w:right="1134"/>
        <w:rPr>
          <w:rFonts w:cs="David"/>
          <w:color w:val="0000FF"/>
          <w:sz w:val="22"/>
          <w:szCs w:val="24"/>
          <w:u w:val="single"/>
          <w:rtl/>
        </w:rPr>
      </w:pPr>
      <w:hyperlink r:id="rId6" w:history="1">
        <w:r>
          <w:rPr>
            <w:rFonts w:cs="David"/>
            <w:color w:val="0000FF"/>
            <w:sz w:val="22"/>
            <w:szCs w:val="24"/>
            <w:u w:val="single"/>
            <w:rtl/>
          </w:rPr>
          <w:t>הודעה למנויים על עריכה ושינויים במסמכי פסיקה, חקיקה ועוד באתר נבו - הקש כאן</w:t>
        </w:r>
      </w:hyperlink>
    </w:p>
    <w:p w:rsidR="001537DD" w:rsidRPr="004E333C" w:rsidRDefault="001537DD" w:rsidP="004E333C">
      <w:pPr>
        <w:pStyle w:val="medium-header"/>
        <w:keepNext w:val="0"/>
        <w:keepLines w:val="0"/>
        <w:tabs>
          <w:tab w:val="clear" w:pos="624"/>
          <w:tab w:val="clear" w:pos="1021"/>
          <w:tab w:val="clear" w:pos="1474"/>
          <w:tab w:val="clear" w:pos="1928"/>
          <w:tab w:val="clear" w:pos="2381"/>
          <w:tab w:val="clear" w:pos="2835"/>
          <w:tab w:val="center" w:pos="3402"/>
        </w:tabs>
        <w:ind w:left="0" w:right="1134"/>
        <w:rPr>
          <w:rFonts w:cs="David" w:hint="cs"/>
          <w:color w:val="0000FF"/>
          <w:sz w:val="22"/>
          <w:szCs w:val="24"/>
          <w:u w:val="single"/>
          <w:rtl/>
        </w:rPr>
      </w:pPr>
    </w:p>
    <w:sectPr w:rsidR="001537DD" w:rsidRPr="004E333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696F" w:rsidRDefault="0021696F">
      <w:r>
        <w:separator/>
      </w:r>
    </w:p>
  </w:endnote>
  <w:endnote w:type="continuationSeparator" w:id="0">
    <w:p w:rsidR="0021696F" w:rsidRDefault="00216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37DD" w:rsidRDefault="001537D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537DD" w:rsidRDefault="001537D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537DD" w:rsidRDefault="001537D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F:\Yael\hakika\090703\999_189.doc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37DD" w:rsidRDefault="001537D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E333C">
      <w:rPr>
        <w:rFonts w:hAnsi="FrankRuehl" w:cs="FrankRuehl"/>
        <w:noProof/>
        <w:sz w:val="24"/>
        <w:szCs w:val="24"/>
        <w:rtl/>
      </w:rPr>
      <w:t>2</w:t>
    </w:r>
    <w:r>
      <w:rPr>
        <w:rFonts w:hAnsi="FrankRuehl" w:cs="FrankRuehl"/>
        <w:sz w:val="24"/>
        <w:szCs w:val="24"/>
        <w:rtl/>
      </w:rPr>
      <w:fldChar w:fldCharType="end"/>
    </w:r>
  </w:p>
  <w:p w:rsidR="001537DD" w:rsidRDefault="001537D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537DD" w:rsidRDefault="001537D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F:\Yael\hakika\090703\999_189.doc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696F" w:rsidRDefault="0021696F">
      <w:r>
        <w:separator/>
      </w:r>
    </w:p>
  </w:footnote>
  <w:footnote w:type="continuationSeparator" w:id="0">
    <w:p w:rsidR="0021696F" w:rsidRDefault="0021696F">
      <w:r>
        <w:continuationSeparator/>
      </w:r>
    </w:p>
  </w:footnote>
  <w:footnote w:id="1">
    <w:p w:rsidR="001537DD" w:rsidRDefault="001537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9804E4">
          <w:rPr>
            <w:rStyle w:val="Hyperlink"/>
            <w:rFonts w:cs="FrankRuehl" w:hint="cs"/>
            <w:rtl/>
          </w:rPr>
          <w:t>ק"ת תשס"ג מס' 6259</w:t>
        </w:r>
      </w:hyperlink>
      <w:r>
        <w:rPr>
          <w:rFonts w:cs="FrankRuehl" w:hint="cs"/>
          <w:rtl/>
        </w:rPr>
        <w:t xml:space="preserve"> מיום 24.8.2003 עמ' 1003.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37DD" w:rsidRDefault="001537D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פיקוח על מחירי מצרכים ושירותים (מחירי נסיעה בקווי השירות באוטובוסים), תשנ"ז- 1996</w:t>
    </w:r>
  </w:p>
  <w:p w:rsidR="001537DD" w:rsidRDefault="001537D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537DD" w:rsidRDefault="001537D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37DD" w:rsidRDefault="001537DD">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מס הכנסה (שיעור פחת למוניטין), תשס"ג-2003</w:t>
    </w:r>
  </w:p>
  <w:p w:rsidR="001537DD" w:rsidRDefault="001537D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537DD" w:rsidRDefault="001537D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04E4"/>
    <w:rsid w:val="001537DD"/>
    <w:rsid w:val="0021696F"/>
    <w:rsid w:val="00384D00"/>
    <w:rsid w:val="004E333C"/>
    <w:rsid w:val="00946D37"/>
    <w:rsid w:val="009804E4"/>
    <w:rsid w:val="00C118C9"/>
    <w:rsid w:val="00C8636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ADC5261-6970-4080-B6CF-2B37C635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פרק 230</vt:lpstr>
    </vt:vector>
  </TitlesOfParts>
  <Company/>
  <LinksUpToDate>false</LinksUpToDate>
  <CharactersWithSpaces>1611</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7995395</vt:i4>
      </vt:variant>
      <vt:variant>
        <vt:i4>0</vt:i4>
      </vt:variant>
      <vt:variant>
        <vt:i4>0</vt:i4>
      </vt:variant>
      <vt:variant>
        <vt:i4>5</vt:i4>
      </vt:variant>
      <vt:variant>
        <vt:lpwstr>http://www.nevo.co.il/Law_word/law06/tak-6259.pdf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999</vt:lpwstr>
  </property>
  <property fmtid="{D5CDD505-2E9C-101B-9397-08002B2CF9AE}" pid="3" name="CHNAME">
    <vt:lpwstr>מס הכנסה</vt:lpwstr>
  </property>
  <property fmtid="{D5CDD505-2E9C-101B-9397-08002B2CF9AE}" pid="4" name="LAWNAME">
    <vt:lpwstr>תקנות מס הכנסה (שיעור פחת למוניטין), תשס"ג-2003</vt:lpwstr>
  </property>
  <property fmtid="{D5CDD505-2E9C-101B-9397-08002B2CF9AE}" pid="5" name="LAWNUMBER">
    <vt:lpwstr>0190</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הכנסה</vt:lpwstr>
  </property>
  <property fmtid="{D5CDD505-2E9C-101B-9397-08002B2CF9AE}" pid="9" name="NOSE31">
    <vt:lpwstr>שיעורים</vt:lpwstr>
  </property>
  <property fmtid="{D5CDD505-2E9C-101B-9397-08002B2CF9AE}" pid="10" name="NOSE41">
    <vt:lpwstr>פחת</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