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B9784" w14:textId="77777777" w:rsidR="009B05B5" w:rsidRDefault="009B05B5" w:rsidP="00113D58">
      <w:pPr>
        <w:pStyle w:val="big-header"/>
        <w:ind w:left="0" w:right="1134"/>
      </w:pPr>
      <w:r>
        <w:rPr>
          <w:rFonts w:hint="cs"/>
          <w:rtl/>
        </w:rPr>
        <w:t>תקנות מס הכנסה (שיעורי מס מיוחדים לענין מי שהחזיק בנייר ערך זר לפני יום רישומו למסחר בבורסה מחוץ לישראל), תשס"ד-2004</w:t>
      </w:r>
    </w:p>
    <w:p w14:paraId="1FF0669E" w14:textId="77777777" w:rsidR="0001091C" w:rsidRPr="0001091C" w:rsidRDefault="0001091C" w:rsidP="0001091C">
      <w:pPr>
        <w:spacing w:line="320" w:lineRule="auto"/>
        <w:jc w:val="left"/>
        <w:rPr>
          <w:rFonts w:cs="FrankRuehl"/>
          <w:szCs w:val="26"/>
          <w:rtl/>
        </w:rPr>
      </w:pPr>
    </w:p>
    <w:p w14:paraId="649D6FB2" w14:textId="77777777" w:rsidR="001E2068" w:rsidRDefault="001E2068" w:rsidP="001E2068">
      <w:pPr>
        <w:spacing w:line="320" w:lineRule="auto"/>
        <w:jc w:val="left"/>
        <w:rPr>
          <w:rtl/>
        </w:rPr>
      </w:pPr>
    </w:p>
    <w:p w14:paraId="06D2F7A1" w14:textId="77777777" w:rsidR="001E2068" w:rsidRDefault="001E2068" w:rsidP="001E2068">
      <w:pPr>
        <w:spacing w:line="320" w:lineRule="auto"/>
        <w:jc w:val="left"/>
        <w:rPr>
          <w:rFonts w:cs="FrankRuehl"/>
          <w:szCs w:val="26"/>
          <w:rtl/>
        </w:rPr>
      </w:pPr>
      <w:r w:rsidRPr="001E2068">
        <w:rPr>
          <w:rFonts w:cs="Miriam"/>
          <w:szCs w:val="22"/>
          <w:rtl/>
        </w:rPr>
        <w:t>מסים</w:t>
      </w:r>
      <w:r w:rsidRPr="001E2068">
        <w:rPr>
          <w:rFonts w:cs="FrankRuehl"/>
          <w:szCs w:val="26"/>
          <w:rtl/>
        </w:rPr>
        <w:t xml:space="preserve"> – מס הכנסה – שיעורים</w:t>
      </w:r>
    </w:p>
    <w:p w14:paraId="6672878B" w14:textId="77777777" w:rsidR="001E2068" w:rsidRDefault="001E2068" w:rsidP="001E2068">
      <w:pPr>
        <w:spacing w:line="320" w:lineRule="auto"/>
        <w:jc w:val="left"/>
        <w:rPr>
          <w:rFonts w:cs="FrankRuehl"/>
          <w:szCs w:val="26"/>
          <w:rtl/>
        </w:rPr>
      </w:pPr>
      <w:r w:rsidRPr="001E2068">
        <w:rPr>
          <w:rFonts w:cs="Miriam"/>
          <w:szCs w:val="22"/>
          <w:rtl/>
        </w:rPr>
        <w:t>מסים</w:t>
      </w:r>
      <w:r w:rsidRPr="001E2068">
        <w:rPr>
          <w:rFonts w:cs="FrankRuehl"/>
          <w:szCs w:val="26"/>
          <w:rtl/>
        </w:rPr>
        <w:t xml:space="preserve"> – מס הכנסה – ניירות ערך</w:t>
      </w:r>
    </w:p>
    <w:p w14:paraId="52C6D834" w14:textId="77777777" w:rsidR="001E2068" w:rsidRDefault="001E2068" w:rsidP="001E2068">
      <w:pPr>
        <w:spacing w:line="320" w:lineRule="auto"/>
        <w:jc w:val="left"/>
        <w:rPr>
          <w:rFonts w:cs="FrankRuehl"/>
          <w:szCs w:val="26"/>
          <w:rtl/>
        </w:rPr>
      </w:pPr>
      <w:r w:rsidRPr="001E2068">
        <w:rPr>
          <w:rFonts w:cs="Miriam"/>
          <w:szCs w:val="22"/>
          <w:rtl/>
        </w:rPr>
        <w:t>מסים</w:t>
      </w:r>
      <w:r w:rsidRPr="001E2068">
        <w:rPr>
          <w:rFonts w:cs="FrankRuehl"/>
          <w:szCs w:val="26"/>
          <w:rtl/>
        </w:rPr>
        <w:t xml:space="preserve"> – מס הכנסה – בורסה</w:t>
      </w:r>
    </w:p>
    <w:p w14:paraId="316134A2" w14:textId="77777777" w:rsidR="0001091C" w:rsidRPr="001E2068" w:rsidRDefault="001E2068" w:rsidP="001E2068">
      <w:pPr>
        <w:spacing w:line="320" w:lineRule="auto"/>
        <w:jc w:val="left"/>
        <w:rPr>
          <w:rFonts w:cs="Miriam"/>
          <w:szCs w:val="22"/>
          <w:rtl/>
        </w:rPr>
      </w:pPr>
      <w:r w:rsidRPr="001E2068">
        <w:rPr>
          <w:rFonts w:cs="Miriam"/>
          <w:szCs w:val="22"/>
          <w:rtl/>
        </w:rPr>
        <w:t>משפט פרטי וכלכלה</w:t>
      </w:r>
      <w:r w:rsidRPr="001E2068">
        <w:rPr>
          <w:rFonts w:cs="FrankRuehl"/>
          <w:szCs w:val="26"/>
          <w:rtl/>
        </w:rPr>
        <w:t xml:space="preserve"> – מסחר  – בורסה</w:t>
      </w:r>
    </w:p>
    <w:p w14:paraId="792CFA59" w14:textId="77777777" w:rsidR="00113D58" w:rsidRDefault="00113D58" w:rsidP="00113D58">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A7C68" w:rsidRPr="003A7C68" w14:paraId="35A937C8" w14:textId="77777777">
        <w:tblPrEx>
          <w:tblCellMar>
            <w:top w:w="0" w:type="dxa"/>
            <w:bottom w:w="0" w:type="dxa"/>
          </w:tblCellMar>
        </w:tblPrEx>
        <w:tc>
          <w:tcPr>
            <w:tcW w:w="1247" w:type="dxa"/>
          </w:tcPr>
          <w:p w14:paraId="4D8D1DD2" w14:textId="77777777" w:rsidR="003A7C68" w:rsidRPr="003A7C68" w:rsidRDefault="003A7C68" w:rsidP="003A7C68">
            <w:pPr>
              <w:spacing w:line="240" w:lineRule="auto"/>
              <w:jc w:val="left"/>
              <w:rPr>
                <w:rFonts w:cs="Frankruhel"/>
                <w:sz w:val="24"/>
                <w:rtl/>
              </w:rPr>
            </w:pPr>
            <w:r>
              <w:rPr>
                <w:rFonts w:cs="Times New Roman"/>
                <w:sz w:val="24"/>
                <w:rtl/>
              </w:rPr>
              <w:t xml:space="preserve">סעיף 1 </w:t>
            </w:r>
          </w:p>
        </w:tc>
        <w:tc>
          <w:tcPr>
            <w:tcW w:w="5669" w:type="dxa"/>
          </w:tcPr>
          <w:p w14:paraId="39BDD3F0" w14:textId="77777777" w:rsidR="003A7C68" w:rsidRPr="003A7C68" w:rsidRDefault="003A7C68" w:rsidP="003A7C68">
            <w:pPr>
              <w:spacing w:line="240" w:lineRule="auto"/>
              <w:jc w:val="left"/>
              <w:rPr>
                <w:rFonts w:cs="Frankruhel"/>
                <w:sz w:val="24"/>
                <w:rtl/>
              </w:rPr>
            </w:pPr>
            <w:r>
              <w:rPr>
                <w:rFonts w:cs="Times New Roman"/>
                <w:sz w:val="24"/>
                <w:rtl/>
              </w:rPr>
              <w:t>פרשנות</w:t>
            </w:r>
          </w:p>
        </w:tc>
        <w:tc>
          <w:tcPr>
            <w:tcW w:w="567" w:type="dxa"/>
          </w:tcPr>
          <w:p w14:paraId="42785F13" w14:textId="77777777" w:rsidR="003A7C68" w:rsidRPr="003A7C68" w:rsidRDefault="003A7C68" w:rsidP="003A7C68">
            <w:pPr>
              <w:spacing w:line="240" w:lineRule="auto"/>
              <w:jc w:val="left"/>
              <w:rPr>
                <w:rStyle w:val="Hyperlink"/>
                <w:rtl/>
              </w:rPr>
            </w:pPr>
            <w:hyperlink w:anchor="Seif1" w:tooltip="פרשנות" w:history="1">
              <w:r w:rsidRPr="003A7C68">
                <w:rPr>
                  <w:rStyle w:val="Hyperlink"/>
                </w:rPr>
                <w:t>Go</w:t>
              </w:r>
            </w:hyperlink>
          </w:p>
        </w:tc>
        <w:tc>
          <w:tcPr>
            <w:tcW w:w="850" w:type="dxa"/>
          </w:tcPr>
          <w:p w14:paraId="1EE44148" w14:textId="77777777" w:rsidR="003A7C68" w:rsidRPr="003A7C68" w:rsidRDefault="003A7C68" w:rsidP="003A7C6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sidR="00113D58">
              <w:rPr>
                <w:rFonts w:cs="Times New Roman"/>
                <w:noProof/>
                <w:sz w:val="24"/>
                <w:rtl/>
              </w:rPr>
              <w:t>2</w:t>
            </w:r>
            <w:r>
              <w:rPr>
                <w:rFonts w:cs="Frankruhel"/>
                <w:sz w:val="24"/>
                <w:rtl/>
              </w:rPr>
              <w:fldChar w:fldCharType="end"/>
            </w:r>
          </w:p>
        </w:tc>
      </w:tr>
      <w:tr w:rsidR="003A7C68" w:rsidRPr="003A7C68" w14:paraId="79F83F95" w14:textId="77777777">
        <w:tblPrEx>
          <w:tblCellMar>
            <w:top w:w="0" w:type="dxa"/>
            <w:bottom w:w="0" w:type="dxa"/>
          </w:tblCellMar>
        </w:tblPrEx>
        <w:tc>
          <w:tcPr>
            <w:tcW w:w="1247" w:type="dxa"/>
          </w:tcPr>
          <w:p w14:paraId="37CDB837" w14:textId="77777777" w:rsidR="003A7C68" w:rsidRPr="003A7C68" w:rsidRDefault="003A7C68" w:rsidP="003A7C68">
            <w:pPr>
              <w:spacing w:line="240" w:lineRule="auto"/>
              <w:jc w:val="left"/>
              <w:rPr>
                <w:rFonts w:cs="Frankruhel"/>
                <w:sz w:val="24"/>
                <w:rtl/>
              </w:rPr>
            </w:pPr>
            <w:r>
              <w:rPr>
                <w:rFonts w:cs="Times New Roman"/>
                <w:sz w:val="24"/>
                <w:rtl/>
              </w:rPr>
              <w:t xml:space="preserve">סעיף 2 </w:t>
            </w:r>
          </w:p>
        </w:tc>
        <w:tc>
          <w:tcPr>
            <w:tcW w:w="5669" w:type="dxa"/>
          </w:tcPr>
          <w:p w14:paraId="6A20F789" w14:textId="77777777" w:rsidR="003A7C68" w:rsidRPr="003A7C68" w:rsidRDefault="003A7C68" w:rsidP="003A7C68">
            <w:pPr>
              <w:spacing w:line="240" w:lineRule="auto"/>
              <w:jc w:val="left"/>
              <w:rPr>
                <w:rFonts w:cs="Frankruhel"/>
                <w:sz w:val="24"/>
                <w:rtl/>
              </w:rPr>
            </w:pPr>
            <w:r>
              <w:rPr>
                <w:rFonts w:cs="Times New Roman"/>
                <w:sz w:val="24"/>
                <w:rtl/>
              </w:rPr>
              <w:t>נייר ערך זר שיום רכישתו לפני המועד הקובע</w:t>
            </w:r>
          </w:p>
        </w:tc>
        <w:tc>
          <w:tcPr>
            <w:tcW w:w="567" w:type="dxa"/>
          </w:tcPr>
          <w:p w14:paraId="0DC52FA5" w14:textId="77777777" w:rsidR="003A7C68" w:rsidRPr="003A7C68" w:rsidRDefault="003A7C68" w:rsidP="003A7C68">
            <w:pPr>
              <w:spacing w:line="240" w:lineRule="auto"/>
              <w:jc w:val="left"/>
              <w:rPr>
                <w:rStyle w:val="Hyperlink"/>
                <w:rtl/>
              </w:rPr>
            </w:pPr>
            <w:hyperlink w:anchor="Seif2" w:tooltip="נייר ערך זר שיום רכישתו לפני המועד הקובע" w:history="1">
              <w:r w:rsidRPr="003A7C68">
                <w:rPr>
                  <w:rStyle w:val="Hyperlink"/>
                </w:rPr>
                <w:t>Go</w:t>
              </w:r>
            </w:hyperlink>
          </w:p>
        </w:tc>
        <w:tc>
          <w:tcPr>
            <w:tcW w:w="850" w:type="dxa"/>
          </w:tcPr>
          <w:p w14:paraId="60C17D7E" w14:textId="77777777" w:rsidR="003A7C68" w:rsidRPr="003A7C68" w:rsidRDefault="003A7C68" w:rsidP="003A7C6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sidR="00113D58">
              <w:rPr>
                <w:rFonts w:cs="Times New Roman"/>
                <w:noProof/>
                <w:sz w:val="24"/>
                <w:rtl/>
              </w:rPr>
              <w:t>2</w:t>
            </w:r>
            <w:r>
              <w:rPr>
                <w:rFonts w:cs="Frankruhel"/>
                <w:sz w:val="24"/>
                <w:rtl/>
              </w:rPr>
              <w:fldChar w:fldCharType="end"/>
            </w:r>
          </w:p>
        </w:tc>
      </w:tr>
      <w:tr w:rsidR="003A7C68" w:rsidRPr="003A7C68" w14:paraId="1915DD14" w14:textId="77777777">
        <w:tblPrEx>
          <w:tblCellMar>
            <w:top w:w="0" w:type="dxa"/>
            <w:bottom w:w="0" w:type="dxa"/>
          </w:tblCellMar>
        </w:tblPrEx>
        <w:tc>
          <w:tcPr>
            <w:tcW w:w="1247" w:type="dxa"/>
          </w:tcPr>
          <w:p w14:paraId="43AC3E26" w14:textId="77777777" w:rsidR="003A7C68" w:rsidRPr="003A7C68" w:rsidRDefault="003A7C68" w:rsidP="003A7C68">
            <w:pPr>
              <w:spacing w:line="240" w:lineRule="auto"/>
              <w:jc w:val="left"/>
              <w:rPr>
                <w:rFonts w:cs="Frankruhel"/>
                <w:sz w:val="24"/>
                <w:rtl/>
              </w:rPr>
            </w:pPr>
            <w:r>
              <w:rPr>
                <w:rFonts w:cs="Times New Roman"/>
                <w:sz w:val="24"/>
                <w:rtl/>
              </w:rPr>
              <w:t xml:space="preserve">סעיף 3 </w:t>
            </w:r>
          </w:p>
        </w:tc>
        <w:tc>
          <w:tcPr>
            <w:tcW w:w="5669" w:type="dxa"/>
          </w:tcPr>
          <w:p w14:paraId="41D91DEF" w14:textId="77777777" w:rsidR="003A7C68" w:rsidRPr="003A7C68" w:rsidRDefault="003A7C68" w:rsidP="003A7C68">
            <w:pPr>
              <w:spacing w:line="240" w:lineRule="auto"/>
              <w:jc w:val="left"/>
              <w:rPr>
                <w:rFonts w:cs="Frankruhel"/>
                <w:sz w:val="24"/>
                <w:rtl/>
              </w:rPr>
            </w:pPr>
            <w:r>
              <w:rPr>
                <w:rFonts w:cs="Times New Roman"/>
                <w:sz w:val="24"/>
                <w:rtl/>
              </w:rPr>
              <w:t>נייר ערך של חברה תושבת ישראל</w:t>
            </w:r>
          </w:p>
        </w:tc>
        <w:tc>
          <w:tcPr>
            <w:tcW w:w="567" w:type="dxa"/>
          </w:tcPr>
          <w:p w14:paraId="415E2367" w14:textId="77777777" w:rsidR="003A7C68" w:rsidRPr="003A7C68" w:rsidRDefault="003A7C68" w:rsidP="003A7C68">
            <w:pPr>
              <w:spacing w:line="240" w:lineRule="auto"/>
              <w:jc w:val="left"/>
              <w:rPr>
                <w:rStyle w:val="Hyperlink"/>
                <w:rtl/>
              </w:rPr>
            </w:pPr>
            <w:hyperlink w:anchor="Seif3" w:tooltip="נייר ערך של חברה תושבת ישראל" w:history="1">
              <w:r w:rsidRPr="003A7C68">
                <w:rPr>
                  <w:rStyle w:val="Hyperlink"/>
                </w:rPr>
                <w:t>Go</w:t>
              </w:r>
            </w:hyperlink>
          </w:p>
        </w:tc>
        <w:tc>
          <w:tcPr>
            <w:tcW w:w="850" w:type="dxa"/>
          </w:tcPr>
          <w:p w14:paraId="53810E7E" w14:textId="77777777" w:rsidR="003A7C68" w:rsidRPr="003A7C68" w:rsidRDefault="003A7C68" w:rsidP="003A7C6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sidR="00113D58">
              <w:rPr>
                <w:rFonts w:cs="Times New Roman"/>
                <w:noProof/>
                <w:sz w:val="24"/>
                <w:rtl/>
              </w:rPr>
              <w:t>3</w:t>
            </w:r>
            <w:r>
              <w:rPr>
                <w:rFonts w:cs="Frankruhel"/>
                <w:sz w:val="24"/>
                <w:rtl/>
              </w:rPr>
              <w:fldChar w:fldCharType="end"/>
            </w:r>
          </w:p>
        </w:tc>
      </w:tr>
      <w:tr w:rsidR="003A7C68" w:rsidRPr="003A7C68" w14:paraId="13DF2B5C" w14:textId="77777777">
        <w:tblPrEx>
          <w:tblCellMar>
            <w:top w:w="0" w:type="dxa"/>
            <w:bottom w:w="0" w:type="dxa"/>
          </w:tblCellMar>
        </w:tblPrEx>
        <w:tc>
          <w:tcPr>
            <w:tcW w:w="1247" w:type="dxa"/>
          </w:tcPr>
          <w:p w14:paraId="76CF11EB" w14:textId="77777777" w:rsidR="003A7C68" w:rsidRPr="003A7C68" w:rsidRDefault="003A7C68" w:rsidP="003A7C68">
            <w:pPr>
              <w:spacing w:line="240" w:lineRule="auto"/>
              <w:jc w:val="left"/>
              <w:rPr>
                <w:rFonts w:cs="Frankruhel"/>
                <w:sz w:val="24"/>
                <w:rtl/>
              </w:rPr>
            </w:pPr>
            <w:r>
              <w:rPr>
                <w:rFonts w:cs="Times New Roman"/>
                <w:sz w:val="24"/>
                <w:rtl/>
              </w:rPr>
              <w:t xml:space="preserve">סעיף 4 </w:t>
            </w:r>
          </w:p>
        </w:tc>
        <w:tc>
          <w:tcPr>
            <w:tcW w:w="5669" w:type="dxa"/>
          </w:tcPr>
          <w:p w14:paraId="00EF536B" w14:textId="77777777" w:rsidR="003A7C68" w:rsidRPr="003A7C68" w:rsidRDefault="003A7C68" w:rsidP="003A7C68">
            <w:pPr>
              <w:spacing w:line="240" w:lineRule="auto"/>
              <w:jc w:val="left"/>
              <w:rPr>
                <w:rFonts w:cs="Frankruhel"/>
                <w:sz w:val="24"/>
                <w:rtl/>
              </w:rPr>
            </w:pPr>
            <w:r>
              <w:rPr>
                <w:rFonts w:cs="Times New Roman"/>
                <w:sz w:val="24"/>
                <w:rtl/>
              </w:rPr>
              <w:t>תחילה</w:t>
            </w:r>
          </w:p>
        </w:tc>
        <w:tc>
          <w:tcPr>
            <w:tcW w:w="567" w:type="dxa"/>
          </w:tcPr>
          <w:p w14:paraId="785FEAD6" w14:textId="77777777" w:rsidR="003A7C68" w:rsidRPr="003A7C68" w:rsidRDefault="003A7C68" w:rsidP="003A7C68">
            <w:pPr>
              <w:spacing w:line="240" w:lineRule="auto"/>
              <w:jc w:val="left"/>
              <w:rPr>
                <w:rStyle w:val="Hyperlink"/>
                <w:rtl/>
              </w:rPr>
            </w:pPr>
            <w:hyperlink w:anchor="Seif4" w:tooltip="תחילה" w:history="1">
              <w:r w:rsidRPr="003A7C68">
                <w:rPr>
                  <w:rStyle w:val="Hyperlink"/>
                </w:rPr>
                <w:t>Go</w:t>
              </w:r>
            </w:hyperlink>
          </w:p>
        </w:tc>
        <w:tc>
          <w:tcPr>
            <w:tcW w:w="850" w:type="dxa"/>
          </w:tcPr>
          <w:p w14:paraId="12C11213" w14:textId="77777777" w:rsidR="003A7C68" w:rsidRPr="003A7C68" w:rsidRDefault="003A7C68" w:rsidP="003A7C6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sidR="00113D58">
              <w:rPr>
                <w:rFonts w:cs="Times New Roman"/>
                <w:noProof/>
                <w:sz w:val="24"/>
                <w:rtl/>
              </w:rPr>
              <w:t>3</w:t>
            </w:r>
            <w:r>
              <w:rPr>
                <w:rFonts w:cs="Frankruhel"/>
                <w:sz w:val="24"/>
                <w:rtl/>
              </w:rPr>
              <w:fldChar w:fldCharType="end"/>
            </w:r>
          </w:p>
        </w:tc>
      </w:tr>
    </w:tbl>
    <w:p w14:paraId="738F34B2" w14:textId="77777777" w:rsidR="00113D58" w:rsidRDefault="00113D58" w:rsidP="00113D58">
      <w:pPr>
        <w:pStyle w:val="big-header"/>
        <w:ind w:left="0" w:right="1134"/>
        <w:rPr>
          <w:rFonts w:hint="cs"/>
          <w:rtl/>
        </w:rPr>
      </w:pPr>
    </w:p>
    <w:p w14:paraId="57E58D6B" w14:textId="77777777" w:rsidR="00113D58" w:rsidRDefault="00113D58" w:rsidP="0001091C">
      <w:pPr>
        <w:pStyle w:val="big-header"/>
        <w:ind w:left="0" w:right="1134"/>
        <w:rPr>
          <w:rStyle w:val="default"/>
          <w:rFonts w:cs="FrankRuehl" w:hint="cs"/>
          <w:rtl/>
        </w:rPr>
      </w:pPr>
      <w:r>
        <w:rPr>
          <w:rtl/>
        </w:rPr>
        <w:br w:type="page"/>
      </w:r>
      <w:r>
        <w:rPr>
          <w:rFonts w:hint="cs"/>
          <w:rtl/>
        </w:rPr>
        <w:lastRenderedPageBreak/>
        <w:t>תקנות מס הכנסה (שיעורי מס מיוחדים לענין מי שהחזיק בנייר ערך זר לפני יום רישומו למסחר בבורסה מחוץ לישראל), תשס"ד-2004</w:t>
      </w:r>
      <w:r>
        <w:rPr>
          <w:rStyle w:val="default"/>
          <w:sz w:val="22"/>
          <w:szCs w:val="22"/>
          <w:rtl/>
        </w:rPr>
        <w:footnoteReference w:customMarkFollows="1" w:id="1"/>
        <w:t>*</w:t>
      </w:r>
    </w:p>
    <w:p w14:paraId="1C6F2C59" w14:textId="77777777" w:rsidR="009B05B5" w:rsidRDefault="009B05B5">
      <w:pPr>
        <w:pStyle w:val="P00"/>
        <w:spacing w:before="72"/>
        <w:ind w:left="0" w:right="1134"/>
        <w:rPr>
          <w:rStyle w:val="default"/>
          <w:rFonts w:cs="FrankRuehl" w:hint="cs"/>
          <w:rtl/>
        </w:rPr>
      </w:pPr>
      <w:r>
        <w:rPr>
          <w:rtl/>
        </w:rPr>
        <w:tab/>
      </w:r>
      <w:r>
        <w:rPr>
          <w:rStyle w:val="default"/>
          <w:rFonts w:cs="FrankRuehl" w:hint="cs"/>
          <w:rtl/>
        </w:rPr>
        <w:t xml:space="preserve">בתוקף סמכותי לפי סעיפים 105יג, 105יד(1), 243 ו-244א לפקודת מס הכנסה (להלן </w:t>
      </w:r>
      <w:r>
        <w:rPr>
          <w:rStyle w:val="default"/>
          <w:rFonts w:cs="FrankRuehl"/>
          <w:rtl/>
        </w:rPr>
        <w:t>–</w:t>
      </w:r>
      <w:r>
        <w:rPr>
          <w:rStyle w:val="default"/>
          <w:rFonts w:cs="FrankRuehl" w:hint="cs"/>
          <w:rtl/>
        </w:rPr>
        <w:t xml:space="preserve"> הפקודה), ובאישור ועדת הכספים של הכנסת, אני מתקין תקנות אלה:</w:t>
      </w:r>
    </w:p>
    <w:p w14:paraId="70050A13" w14:textId="77777777" w:rsidR="009B05B5" w:rsidRDefault="009B05B5">
      <w:pPr>
        <w:pStyle w:val="P00"/>
        <w:spacing w:before="72"/>
        <w:ind w:left="0" w:right="1134"/>
        <w:rPr>
          <w:rStyle w:val="default"/>
          <w:rFonts w:cs="FrankRuehl" w:hint="cs"/>
          <w:rtl/>
        </w:rPr>
      </w:pPr>
      <w:bookmarkStart w:id="0" w:name="Seif1"/>
      <w:bookmarkEnd w:id="0"/>
      <w:r>
        <w:rPr>
          <w:lang w:val="he-IL"/>
        </w:rPr>
        <w:pict w14:anchorId="3F8DB2E0">
          <v:rect id="_x0000_s1026" style="position:absolute;left:0;text-align:left;margin-left:470.25pt;margin-top:8.05pt;width:69.3pt;height:7.55pt;z-index:251656192" o:allowincell="f" filled="f" stroked="f" strokecolor="lime" strokeweight=".25pt">
            <v:textbox style="mso-next-textbox:#_x0000_s1026" inset="0,0,0,0">
              <w:txbxContent>
                <w:p w14:paraId="74338A44" w14:textId="77777777" w:rsidR="009B05B5" w:rsidRDefault="009B05B5">
                  <w:pPr>
                    <w:spacing w:line="160" w:lineRule="exact"/>
                    <w:jc w:val="left"/>
                    <w:rPr>
                      <w:rFonts w:cs="Miriam" w:hint="cs"/>
                      <w:noProof/>
                      <w:szCs w:val="18"/>
                      <w:rtl/>
                    </w:rPr>
                  </w:pPr>
                  <w:r>
                    <w:rPr>
                      <w:rFonts w:cs="Miriam" w:hint="cs"/>
                      <w:szCs w:val="18"/>
                      <w:rtl/>
                    </w:rPr>
                    <w:t>פרשנות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בתקנות אלה </w:t>
      </w:r>
      <w:r>
        <w:rPr>
          <w:rStyle w:val="default"/>
          <w:rFonts w:cs="FrankRuehl"/>
          <w:rtl/>
        </w:rPr>
        <w:t>–</w:t>
      </w:r>
    </w:p>
    <w:p w14:paraId="0C608081" w14:textId="77777777" w:rsidR="009B05B5" w:rsidRDefault="009B05B5">
      <w:pPr>
        <w:pStyle w:val="P00"/>
        <w:spacing w:before="72"/>
        <w:ind w:left="0" w:right="1134"/>
        <w:rPr>
          <w:rStyle w:val="default"/>
          <w:rFonts w:cs="FrankRuehl" w:hint="cs"/>
          <w:rtl/>
        </w:rPr>
      </w:pPr>
      <w:r>
        <w:rPr>
          <w:rStyle w:val="default"/>
          <w:rFonts w:cs="FrankRuehl" w:hint="cs"/>
          <w:rtl/>
        </w:rPr>
        <w:tab/>
        <w:t xml:space="preserve">"המועד הקובע" </w:t>
      </w:r>
      <w:r>
        <w:rPr>
          <w:rStyle w:val="default"/>
          <w:rFonts w:cs="FrankRuehl"/>
          <w:rtl/>
        </w:rPr>
        <w:t>–</w:t>
      </w:r>
      <w:r>
        <w:rPr>
          <w:rStyle w:val="default"/>
          <w:rFonts w:cs="FrankRuehl" w:hint="cs"/>
          <w:rtl/>
        </w:rPr>
        <w:t xml:space="preserve"> כהגדרתו בסעיף 88 לפקודה;</w:t>
      </w:r>
    </w:p>
    <w:p w14:paraId="6D2E833E" w14:textId="77777777" w:rsidR="009B05B5" w:rsidRDefault="009B05B5">
      <w:pPr>
        <w:pStyle w:val="P00"/>
        <w:spacing w:before="72"/>
        <w:ind w:left="0" w:right="1134"/>
        <w:rPr>
          <w:rStyle w:val="default"/>
          <w:rFonts w:cs="FrankRuehl" w:hint="cs"/>
          <w:rtl/>
        </w:rPr>
      </w:pPr>
      <w:r>
        <w:rPr>
          <w:rStyle w:val="default"/>
          <w:rFonts w:cs="FrankRuehl" w:hint="cs"/>
          <w:rtl/>
        </w:rPr>
        <w:tab/>
        <w:t xml:space="preserve">"יתרת רווח ההון" </w:t>
      </w:r>
      <w:r>
        <w:rPr>
          <w:rStyle w:val="default"/>
          <w:rFonts w:cs="FrankRuehl"/>
          <w:rtl/>
        </w:rPr>
        <w:t>–</w:t>
      </w:r>
      <w:r>
        <w:rPr>
          <w:rStyle w:val="default"/>
          <w:rFonts w:cs="FrankRuehl" w:hint="cs"/>
          <w:rtl/>
        </w:rPr>
        <w:t xml:space="preserve"> ההפרש שבין רווח ההון הריאלי לבין רווח ההון עד למועד הרישום; ואולם לענין נייר ערך של חברה תושבת ישראל שנרשם למסחר בבורסה מחוץ לישראל ביום כ"ה בתשרי התשנ"ט (15 באוקטובר 1998) או אחריו </w:t>
      </w:r>
      <w:r>
        <w:rPr>
          <w:rStyle w:val="default"/>
          <w:rFonts w:cs="FrankRuehl"/>
          <w:rtl/>
        </w:rPr>
        <w:t>–</w:t>
      </w:r>
      <w:r>
        <w:rPr>
          <w:rStyle w:val="default"/>
          <w:rFonts w:cs="FrankRuehl" w:hint="cs"/>
          <w:rtl/>
        </w:rPr>
        <w:t xml:space="preserve"> ההפרש שבין רווח ההון הריאלי לבין רווח ההון עד למועד הרישום או עד המועד הקובע, לפי המאוחר מביניהם;</w:t>
      </w:r>
    </w:p>
    <w:p w14:paraId="2C6DCC13" w14:textId="77777777" w:rsidR="009B05B5" w:rsidRDefault="009B05B5">
      <w:pPr>
        <w:pStyle w:val="P00"/>
        <w:spacing w:before="72"/>
        <w:ind w:left="0" w:right="1134"/>
        <w:rPr>
          <w:rStyle w:val="default"/>
          <w:rFonts w:cs="FrankRuehl" w:hint="cs"/>
          <w:rtl/>
        </w:rPr>
      </w:pPr>
      <w:r>
        <w:rPr>
          <w:rStyle w:val="default"/>
          <w:rFonts w:cs="FrankRuehl" w:hint="cs"/>
          <w:rtl/>
        </w:rPr>
        <w:tab/>
        <w:t xml:space="preserve">"נייר ערך זר" </w:t>
      </w:r>
      <w:r>
        <w:rPr>
          <w:rStyle w:val="default"/>
          <w:rFonts w:cs="FrankRuehl"/>
          <w:rtl/>
        </w:rPr>
        <w:t>–</w:t>
      </w:r>
      <w:r>
        <w:rPr>
          <w:rStyle w:val="default"/>
          <w:rFonts w:cs="FrankRuehl" w:hint="cs"/>
          <w:rtl/>
        </w:rPr>
        <w:t xml:space="preserve"> כמשמעותו בתקנות מס הכנסה (קביעת ניירות ערך זרים והוראת שעה), התשס"ג-2002;</w:t>
      </w:r>
    </w:p>
    <w:p w14:paraId="0B3AB3C5" w14:textId="77777777" w:rsidR="009B05B5" w:rsidRDefault="009B05B5">
      <w:pPr>
        <w:pStyle w:val="P00"/>
        <w:spacing w:before="72"/>
        <w:ind w:left="0" w:right="1134"/>
        <w:rPr>
          <w:rStyle w:val="default"/>
          <w:rFonts w:cs="FrankRuehl" w:hint="cs"/>
          <w:rtl/>
        </w:rPr>
      </w:pPr>
      <w:r>
        <w:rPr>
          <w:rStyle w:val="default"/>
          <w:rFonts w:cs="FrankRuehl" w:hint="cs"/>
          <w:rtl/>
        </w:rPr>
        <w:tab/>
        <w:t xml:space="preserve">"נייר ערך של חברה תושבת ישראל" </w:t>
      </w:r>
      <w:r>
        <w:rPr>
          <w:rStyle w:val="default"/>
          <w:rFonts w:cs="FrankRuehl"/>
          <w:rtl/>
        </w:rPr>
        <w:t>–</w:t>
      </w:r>
      <w:r>
        <w:rPr>
          <w:rStyle w:val="default"/>
          <w:rFonts w:cs="FrankRuehl" w:hint="cs"/>
          <w:rtl/>
        </w:rPr>
        <w:t xml:space="preserve"> נייר ערך של חברה תושבת ישראל אשר התקיימו בו כל אלה:</w:t>
      </w:r>
    </w:p>
    <w:p w14:paraId="660F4F40" w14:textId="77777777" w:rsidR="009B05B5" w:rsidRDefault="009B05B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יום רכישתו חל לפני המועד הקובע;</w:t>
      </w:r>
    </w:p>
    <w:p w14:paraId="74603D69" w14:textId="77777777" w:rsidR="009B05B5" w:rsidRDefault="009B05B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לפני המועד הקובע היה נייר ערך זר לפי סעיף 16ה לפקודה;</w:t>
      </w:r>
    </w:p>
    <w:p w14:paraId="2B20EC51" w14:textId="77777777" w:rsidR="009B05B5" w:rsidRDefault="009B05B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הוחזק בידי המוכר לפני רישומו למסחר בבורסה מחוץ לישראל ולפני שהוצע לציבור;</w:t>
      </w:r>
    </w:p>
    <w:p w14:paraId="2916ACFA" w14:textId="77777777" w:rsidR="009B05B5" w:rsidRDefault="009B05B5">
      <w:pPr>
        <w:pStyle w:val="P00"/>
        <w:spacing w:before="72"/>
        <w:ind w:left="0" w:right="1134"/>
        <w:rPr>
          <w:rStyle w:val="default"/>
          <w:rFonts w:cs="FrankRuehl" w:hint="cs"/>
          <w:rtl/>
        </w:rPr>
      </w:pPr>
      <w:r>
        <w:rPr>
          <w:rStyle w:val="default"/>
          <w:rFonts w:cs="FrankRuehl" w:hint="cs"/>
          <w:rtl/>
        </w:rPr>
        <w:tab/>
        <w:t xml:space="preserve">"רווח ההון עד למועד הרישום" </w:t>
      </w:r>
      <w:r>
        <w:rPr>
          <w:rStyle w:val="default"/>
          <w:rFonts w:cs="FrankRuehl"/>
          <w:rtl/>
        </w:rPr>
        <w:t>–</w:t>
      </w:r>
      <w:r>
        <w:rPr>
          <w:rStyle w:val="default"/>
          <w:rFonts w:cs="FrankRuehl" w:hint="cs"/>
          <w:rtl/>
        </w:rPr>
        <w:t xml:space="preserve"> רווח ההון הריאלי כשהוא מוכפל ביחס שבין התקופה שמיום הרכישה של נייר הערך ועד ליום רישומו למסחר בבורסה מחוץ לישראל, לבין התקופה שמיום הרכישה של נייר הערך ועד ליום מכירתו;</w:t>
      </w:r>
    </w:p>
    <w:p w14:paraId="65F6CC95" w14:textId="77777777" w:rsidR="009B05B5" w:rsidRDefault="009B05B5">
      <w:pPr>
        <w:pStyle w:val="P00"/>
        <w:spacing w:before="72"/>
        <w:ind w:left="0" w:right="1134"/>
        <w:rPr>
          <w:rStyle w:val="default"/>
          <w:rFonts w:cs="FrankRuehl" w:hint="cs"/>
          <w:rtl/>
        </w:rPr>
      </w:pPr>
      <w:r>
        <w:rPr>
          <w:rStyle w:val="default"/>
          <w:rFonts w:cs="FrankRuehl" w:hint="cs"/>
          <w:rtl/>
        </w:rPr>
        <w:tab/>
        <w:t xml:space="preserve">"רווח ההון עד המועד הקובע" </w:t>
      </w:r>
      <w:r>
        <w:rPr>
          <w:rStyle w:val="default"/>
          <w:rFonts w:cs="FrankRuehl"/>
          <w:rtl/>
        </w:rPr>
        <w:t>–</w:t>
      </w:r>
      <w:r>
        <w:rPr>
          <w:rStyle w:val="default"/>
          <w:rFonts w:cs="FrankRuehl" w:hint="cs"/>
          <w:rtl/>
        </w:rPr>
        <w:t xml:space="preserve"> רווח ההון הריאלי כשהוא מוכפל ביחס שבין התקופה שמיום הרכישה של נייר הערך ועד למועד הקובע, לבין התקופה שמיום הרכישה ועד למועד מכירתו.</w:t>
      </w:r>
    </w:p>
    <w:p w14:paraId="48136132" w14:textId="77777777" w:rsidR="009B05B5" w:rsidRDefault="009B05B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לכל מונח אחר בתקנות אלה תהיה המשמעות הנודעת לו בחלק ה3 לפקודה, אם לא נאמר במפורש אחרת.</w:t>
      </w:r>
    </w:p>
    <w:p w14:paraId="2A8498AD" w14:textId="77777777" w:rsidR="009B05B5" w:rsidRDefault="009B05B5">
      <w:pPr>
        <w:pStyle w:val="P00"/>
        <w:spacing w:before="72"/>
        <w:ind w:left="0" w:right="1134"/>
        <w:rPr>
          <w:rStyle w:val="default"/>
          <w:rFonts w:cs="FrankRuehl" w:hint="cs"/>
          <w:rtl/>
        </w:rPr>
      </w:pPr>
      <w:bookmarkStart w:id="1" w:name="Seif2"/>
      <w:bookmarkEnd w:id="1"/>
      <w:r>
        <w:rPr>
          <w:rFonts w:cs="Miriam"/>
          <w:szCs w:val="32"/>
          <w:rtl/>
          <w:lang w:val="he-IL"/>
        </w:rPr>
        <w:pict w14:anchorId="3A141630">
          <v:shapetype id="_x0000_t202" coordsize="21600,21600" o:spt="202" path="m,l,21600r21600,l21600,xe">
            <v:stroke joinstyle="miter"/>
            <v:path gradientshapeok="t" o:connecttype="rect"/>
          </v:shapetype>
          <v:shape id="_x0000_s1036" type="#_x0000_t202" style="position:absolute;left:0;text-align:left;margin-left:462pt;margin-top:8.5pt;width:80.25pt;height:24.25pt;z-index:251657216" filled="f" stroked="f">
            <v:textbox style="mso-next-textbox:#_x0000_s1036" inset="1mm,0,1mm,0">
              <w:txbxContent>
                <w:p w14:paraId="1E62DAE2" w14:textId="77777777" w:rsidR="009B05B5" w:rsidRDefault="009B05B5">
                  <w:pPr>
                    <w:pStyle w:val="3"/>
                    <w:rPr>
                      <w:rFonts w:hint="cs"/>
                      <w:rtl/>
                    </w:rPr>
                  </w:pPr>
                  <w:r>
                    <w:rPr>
                      <w:rFonts w:hint="cs"/>
                      <w:rtl/>
                    </w:rPr>
                    <w:t>נייר ערך זר שיום רכישתו לפני המועד הקובע</w:t>
                  </w:r>
                </w:p>
              </w:txbxContent>
            </v:textbox>
            <w10:anchorlock/>
          </v:shape>
        </w:pict>
      </w:r>
      <w:r>
        <w:rPr>
          <w:rStyle w:val="default"/>
          <w:rFonts w:cs="Miriam" w:hint="cs"/>
          <w:sz w:val="32"/>
          <w:szCs w:val="32"/>
          <w:rtl/>
        </w:rPr>
        <w:t>2</w:t>
      </w:r>
      <w:r>
        <w:rPr>
          <w:rStyle w:val="default"/>
          <w:rFonts w:cs="FrankRuehl" w:hint="cs"/>
          <w:rtl/>
        </w:rPr>
        <w:t>.</w:t>
      </w:r>
      <w:r>
        <w:rPr>
          <w:rStyle w:val="default"/>
          <w:rFonts w:cs="FrankRuehl" w:hint="cs"/>
          <w:rtl/>
        </w:rPr>
        <w:tab/>
        <w:t>(א)</w:t>
      </w:r>
      <w:r>
        <w:rPr>
          <w:rStyle w:val="default"/>
          <w:rFonts w:cs="FrankRuehl" w:hint="cs"/>
          <w:rtl/>
        </w:rPr>
        <w:tab/>
        <w:t>במכירת נייר ערך זר שנרשם למסחר בבורסה מחוץ לישראל בתקופה שבין יום כ"ה בתשרי התשנ"ט (15 באוקטובר 1998) לבין המועד הקובע ולא נרשם למסחר בבורסה בישראל, בידי יחיד החזיק בו לפני רישומו למסחר בבורסה כאמור, ולפני שהוצא לציבור, יחויב רווח ההון הריאלי במס בשיעורים אלה:</w:t>
      </w:r>
    </w:p>
    <w:p w14:paraId="3BE1F2B3" w14:textId="77777777" w:rsidR="009B05B5" w:rsidRDefault="009B05B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על רווח ההון עד למועד הרישום </w:t>
      </w:r>
      <w:r>
        <w:rPr>
          <w:rStyle w:val="default"/>
          <w:rFonts w:cs="FrankRuehl"/>
          <w:rtl/>
        </w:rPr>
        <w:t>–</w:t>
      </w:r>
      <w:r>
        <w:rPr>
          <w:rStyle w:val="default"/>
          <w:rFonts w:cs="FrankRuehl" w:hint="cs"/>
          <w:rtl/>
        </w:rPr>
        <w:t xml:space="preserve"> בשיעור הקבוע בסעיף 121 לפקודה;</w:t>
      </w:r>
    </w:p>
    <w:p w14:paraId="66288C4D" w14:textId="77777777" w:rsidR="009B05B5" w:rsidRDefault="009B05B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על יתרת רווח ההון </w:t>
      </w:r>
      <w:r>
        <w:rPr>
          <w:rStyle w:val="default"/>
          <w:rFonts w:cs="FrankRuehl"/>
          <w:rtl/>
        </w:rPr>
        <w:t>–</w:t>
      </w:r>
      <w:r>
        <w:rPr>
          <w:rStyle w:val="default"/>
          <w:rFonts w:cs="FrankRuehl" w:hint="cs"/>
          <w:rtl/>
        </w:rPr>
        <w:t xml:space="preserve"> בשיעורים הקבועים בסעיף 105יג(ד) לפקודה.</w:t>
      </w:r>
    </w:p>
    <w:p w14:paraId="3C9B468E" w14:textId="77777777" w:rsidR="009B05B5" w:rsidRDefault="009B05B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במכירת נייר ערך זר כאמור בתקנת משנה (א) אשר נרשם למסחר בבורסה מחוץ לישראל במועד הקובע או לאחריו, ולא נרשם למסחר בבורסה בישראל, יחויב רווח ההון הריאלי במס בשיעורים אלה:</w:t>
      </w:r>
    </w:p>
    <w:p w14:paraId="2BEE9499" w14:textId="77777777" w:rsidR="009B05B5" w:rsidRDefault="009B05B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על חלק רווח ההון עד למועד הרישום </w:t>
      </w:r>
      <w:r>
        <w:rPr>
          <w:rStyle w:val="default"/>
          <w:rFonts w:cs="FrankRuehl"/>
          <w:rtl/>
        </w:rPr>
        <w:t>–</w:t>
      </w:r>
      <w:r>
        <w:rPr>
          <w:rStyle w:val="default"/>
          <w:rFonts w:cs="FrankRuehl" w:hint="cs"/>
          <w:rtl/>
        </w:rPr>
        <w:t xml:space="preserve"> בשיעורים הקבועים בסעיף 91(א), (ב) או (ב1) לפקודה, לפי הענין, בשינויים המחויבים;</w:t>
      </w:r>
    </w:p>
    <w:p w14:paraId="7AC77158" w14:textId="77777777" w:rsidR="009B05B5" w:rsidRDefault="009B05B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על יתרת רווח ההון </w:t>
      </w:r>
      <w:r>
        <w:rPr>
          <w:rStyle w:val="default"/>
          <w:rFonts w:cs="FrankRuehl"/>
          <w:rtl/>
        </w:rPr>
        <w:t>–</w:t>
      </w:r>
      <w:r>
        <w:rPr>
          <w:rStyle w:val="default"/>
          <w:rFonts w:cs="FrankRuehl" w:hint="cs"/>
          <w:rtl/>
        </w:rPr>
        <w:t xml:space="preserve"> בשיעורים הקבועים בסעיף 105יג(ד) לפקודה.</w:t>
      </w:r>
    </w:p>
    <w:p w14:paraId="50542CE9" w14:textId="77777777" w:rsidR="009B05B5" w:rsidRDefault="009B05B5">
      <w:pPr>
        <w:pStyle w:val="P00"/>
        <w:spacing w:before="72"/>
        <w:ind w:left="0" w:right="1134"/>
        <w:rPr>
          <w:rStyle w:val="default"/>
          <w:rFonts w:cs="FrankRuehl" w:hint="cs"/>
          <w:rtl/>
        </w:rPr>
      </w:pPr>
      <w:bookmarkStart w:id="2" w:name="Seif3"/>
      <w:bookmarkEnd w:id="2"/>
      <w:r>
        <w:rPr>
          <w:lang w:val="he-IL"/>
        </w:rPr>
        <w:pict w14:anchorId="2FA40EF9">
          <v:rect id="_x0000_s1212" style="position:absolute;left:0;text-align:left;margin-left:470.25pt;margin-top:8.05pt;width:69.3pt;height:15pt;z-index:251658240" o:allowincell="f" filled="f" stroked="f" strokecolor="lime" strokeweight=".25pt">
            <v:textbox style="mso-next-textbox:#_x0000_s1212" inset="0,0,0,0">
              <w:txbxContent>
                <w:p w14:paraId="368E54DC" w14:textId="77777777" w:rsidR="009B05B5" w:rsidRDefault="009B05B5">
                  <w:pPr>
                    <w:spacing w:line="160" w:lineRule="exact"/>
                    <w:jc w:val="left"/>
                    <w:rPr>
                      <w:rFonts w:cs="Miriam" w:hint="cs"/>
                      <w:noProof/>
                      <w:szCs w:val="18"/>
                      <w:rtl/>
                    </w:rPr>
                  </w:pPr>
                  <w:r>
                    <w:rPr>
                      <w:rFonts w:cs="Miriam" w:hint="cs"/>
                      <w:szCs w:val="18"/>
                      <w:rtl/>
                    </w:rPr>
                    <w:t>נייר ערך של חברה תושבת ישראל</w:t>
                  </w:r>
                </w:p>
              </w:txbxContent>
            </v:textbox>
            <w10:anchorlock/>
          </v:rect>
        </w:pict>
      </w:r>
      <w:r>
        <w:rPr>
          <w:rStyle w:val="big-number"/>
          <w:rFonts w:hint="cs"/>
          <w:rtl/>
        </w:rPr>
        <w:t>3</w:t>
      </w:r>
      <w:r>
        <w:rPr>
          <w:rStyle w:val="default"/>
          <w:rFonts w:cs="FrankRuehl"/>
          <w:rtl/>
        </w:rPr>
        <w:t>.</w:t>
      </w:r>
      <w:r>
        <w:rPr>
          <w:rStyle w:val="default"/>
          <w:rFonts w:cs="FrankRuehl"/>
          <w:rtl/>
        </w:rPr>
        <w:tab/>
      </w:r>
      <w:r>
        <w:rPr>
          <w:rStyle w:val="default"/>
          <w:rFonts w:cs="FrankRuehl" w:hint="cs"/>
          <w:rtl/>
        </w:rPr>
        <w:t>במכירת נייר ערך של חברה תושבת ישראל יחויב רווח ההון הריאלי בשיעורי המס המפורטים להלן:</w:t>
      </w:r>
    </w:p>
    <w:p w14:paraId="484BCEDF" w14:textId="77777777" w:rsidR="009B05B5" w:rsidRDefault="009B05B5">
      <w:pPr>
        <w:pStyle w:val="P00"/>
        <w:spacing w:before="72"/>
        <w:ind w:left="624" w:right="1134"/>
        <w:rPr>
          <w:rStyle w:val="default"/>
          <w:rFonts w:cs="FrankRuehl" w:hint="cs"/>
          <w:rtl/>
        </w:rPr>
      </w:pPr>
      <w:r>
        <w:rPr>
          <w:rStyle w:val="default"/>
          <w:rFonts w:cs="FrankRuehl" w:hint="cs"/>
          <w:rtl/>
        </w:rPr>
        <w:lastRenderedPageBreak/>
        <w:t>(1)</w:t>
      </w:r>
      <w:r>
        <w:rPr>
          <w:rStyle w:val="default"/>
          <w:rFonts w:cs="FrankRuehl" w:hint="cs"/>
          <w:rtl/>
        </w:rPr>
        <w:tab/>
        <w:t xml:space="preserve">בידי מוכר שהוא חבר בני אדם שהוראות סעיף 6 לחוק תיאומים בשל אינפלציה או שהוראות לפי סעיף 130א לפקודה אינן חלות בקביעת הכנסתו, על רווח ההון עד המועד הקובע </w:t>
      </w:r>
      <w:r>
        <w:rPr>
          <w:rStyle w:val="default"/>
          <w:rFonts w:cs="FrankRuehl"/>
          <w:rtl/>
        </w:rPr>
        <w:t>–</w:t>
      </w:r>
      <w:r>
        <w:rPr>
          <w:rStyle w:val="default"/>
          <w:rFonts w:cs="FrankRuehl" w:hint="cs"/>
          <w:rtl/>
        </w:rPr>
        <w:t xml:space="preserve"> בשיעור הקבוע בסעיף 126 לפקודה, ועל יתרת רווח ההון </w:t>
      </w:r>
      <w:r>
        <w:rPr>
          <w:rStyle w:val="default"/>
          <w:rFonts w:cs="FrankRuehl"/>
          <w:rtl/>
        </w:rPr>
        <w:t>–</w:t>
      </w:r>
      <w:r>
        <w:rPr>
          <w:rStyle w:val="default"/>
          <w:rFonts w:cs="FrankRuehl" w:hint="cs"/>
          <w:rtl/>
        </w:rPr>
        <w:t xml:space="preserve"> בשיעור הקבוע בסעיף 91(א) או 105יב, לפי הענין;</w:t>
      </w:r>
    </w:p>
    <w:p w14:paraId="1F4C0DE4" w14:textId="77777777" w:rsidR="009B05B5" w:rsidRDefault="009B05B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בידי מוכר יחיד, על חלק רווח ההון עד המועד הקובע </w:t>
      </w:r>
      <w:r>
        <w:rPr>
          <w:rStyle w:val="default"/>
          <w:rFonts w:cs="FrankRuehl"/>
          <w:rtl/>
        </w:rPr>
        <w:t>–</w:t>
      </w:r>
      <w:r>
        <w:rPr>
          <w:rStyle w:val="default"/>
          <w:rFonts w:cs="FrankRuehl" w:hint="cs"/>
          <w:rtl/>
        </w:rPr>
        <w:t xml:space="preserve"> בשיעור של 35% ועל יתרת רווח ההון </w:t>
      </w:r>
      <w:r>
        <w:rPr>
          <w:rStyle w:val="default"/>
          <w:rFonts w:cs="FrankRuehl"/>
          <w:rtl/>
        </w:rPr>
        <w:t>–</w:t>
      </w:r>
      <w:r>
        <w:rPr>
          <w:rStyle w:val="default"/>
          <w:rFonts w:cs="FrankRuehl" w:hint="cs"/>
          <w:rtl/>
        </w:rPr>
        <w:t xml:space="preserve"> בשיעור הקבוע בסעיף 91(ב) לפקודה; ואולם לענין נייר ערך שנרשם למסחר בבורסה מחוץ לישראל ביום כ"ה בתשרי התשנ"ט (15 באוקטובר 1998) או לאחריו, על רווח ההון עד למועד הרישום </w:t>
      </w:r>
      <w:r>
        <w:rPr>
          <w:rStyle w:val="default"/>
          <w:rFonts w:cs="FrankRuehl"/>
          <w:rtl/>
        </w:rPr>
        <w:t>–</w:t>
      </w:r>
      <w:r>
        <w:rPr>
          <w:rStyle w:val="default"/>
          <w:rFonts w:cs="FrankRuehl" w:hint="cs"/>
          <w:rtl/>
        </w:rPr>
        <w:t xml:space="preserve"> בשיעור הקבוע בסעיף 121 לפקודה, על חלק רווח ההון עד המועד הקובע </w:t>
      </w:r>
      <w:r>
        <w:rPr>
          <w:rStyle w:val="default"/>
          <w:rFonts w:cs="FrankRuehl"/>
          <w:rtl/>
        </w:rPr>
        <w:t>–</w:t>
      </w:r>
      <w:r>
        <w:rPr>
          <w:rStyle w:val="default"/>
          <w:rFonts w:cs="FrankRuehl" w:hint="cs"/>
          <w:rtl/>
        </w:rPr>
        <w:t xml:space="preserve"> בשיעור של 35%, ועל יתרת רווח ההון </w:t>
      </w:r>
      <w:r>
        <w:rPr>
          <w:rStyle w:val="default"/>
          <w:rFonts w:cs="FrankRuehl"/>
          <w:rtl/>
        </w:rPr>
        <w:t>–</w:t>
      </w:r>
      <w:r>
        <w:rPr>
          <w:rStyle w:val="default"/>
          <w:rFonts w:cs="FrankRuehl" w:hint="cs"/>
          <w:rtl/>
        </w:rPr>
        <w:t xml:space="preserve"> בשיעור הקבוע בסעיף 91(ב) או 105יב לפקודה, לפי הענין.</w:t>
      </w:r>
    </w:p>
    <w:p w14:paraId="43BDA53E" w14:textId="77777777" w:rsidR="009B05B5" w:rsidRDefault="009B05B5">
      <w:pPr>
        <w:pStyle w:val="P00"/>
        <w:spacing w:before="72"/>
        <w:ind w:left="0" w:right="1134"/>
        <w:rPr>
          <w:rStyle w:val="default"/>
          <w:rFonts w:cs="FrankRuehl" w:hint="cs"/>
          <w:rtl/>
        </w:rPr>
      </w:pPr>
      <w:bookmarkStart w:id="3" w:name="Seif4"/>
      <w:bookmarkEnd w:id="3"/>
      <w:r>
        <w:rPr>
          <w:lang w:val="he-IL"/>
        </w:rPr>
        <w:pict w14:anchorId="43DF30A3">
          <v:rect id="_x0000_s1218" style="position:absolute;left:0;text-align:left;margin-left:470.25pt;margin-top:8.05pt;width:69.3pt;height:6.55pt;z-index:251659264" o:allowincell="f" filled="f" stroked="f" strokecolor="lime" strokeweight=".25pt">
            <v:textbox style="mso-next-textbox:#_x0000_s1218" inset="0,0,0,0">
              <w:txbxContent>
                <w:p w14:paraId="22D2573C" w14:textId="77777777" w:rsidR="009B05B5" w:rsidRDefault="009B05B5">
                  <w:pPr>
                    <w:spacing w:line="160" w:lineRule="exact"/>
                    <w:jc w:val="left"/>
                    <w:rPr>
                      <w:rFonts w:cs="Miriam" w:hint="cs"/>
                      <w:noProof/>
                      <w:szCs w:val="18"/>
                      <w:rtl/>
                    </w:rPr>
                  </w:pPr>
                  <w:r>
                    <w:rPr>
                      <w:rFonts w:cs="Miriam" w:hint="cs"/>
                      <w:szCs w:val="18"/>
                      <w:rtl/>
                    </w:rPr>
                    <w:t>תחילה</w:t>
                  </w:r>
                </w:p>
              </w:txbxContent>
            </v:textbox>
            <w10:anchorlock/>
          </v:rect>
        </w:pict>
      </w:r>
      <w:r>
        <w:rPr>
          <w:rStyle w:val="big-number"/>
          <w:rFonts w:hint="cs"/>
          <w:rtl/>
        </w:rPr>
        <w:t>4</w:t>
      </w:r>
      <w:r>
        <w:rPr>
          <w:rStyle w:val="default"/>
          <w:rFonts w:cs="FrankRuehl"/>
          <w:rtl/>
        </w:rPr>
        <w:t>.</w:t>
      </w:r>
      <w:r>
        <w:rPr>
          <w:rStyle w:val="default"/>
          <w:rFonts w:cs="FrankRuehl"/>
          <w:rtl/>
        </w:rPr>
        <w:tab/>
      </w:r>
      <w:r>
        <w:rPr>
          <w:rStyle w:val="default"/>
          <w:rFonts w:cs="FrankRuehl" w:hint="cs"/>
          <w:rtl/>
        </w:rPr>
        <w:t>תחילתן של תקנות אלה ביום ז' בטבת התשס"ד (1 בינואר 2004).</w:t>
      </w:r>
    </w:p>
    <w:p w14:paraId="5D7904F4" w14:textId="77777777" w:rsidR="009B05B5" w:rsidRDefault="009B05B5">
      <w:pPr>
        <w:pStyle w:val="P00"/>
        <w:spacing w:before="72"/>
        <w:ind w:left="0" w:right="1134"/>
        <w:rPr>
          <w:rStyle w:val="default"/>
          <w:rFonts w:cs="FrankRuehl" w:hint="cs"/>
          <w:rtl/>
        </w:rPr>
      </w:pPr>
    </w:p>
    <w:p w14:paraId="06BFDEC8" w14:textId="77777777" w:rsidR="009B05B5" w:rsidRDefault="009B05B5">
      <w:pPr>
        <w:pStyle w:val="P00"/>
        <w:spacing w:before="72"/>
        <w:ind w:left="0" w:right="1134"/>
        <w:rPr>
          <w:rStyle w:val="default"/>
          <w:rFonts w:cs="FrankRuehl" w:hint="cs"/>
          <w:rtl/>
        </w:rPr>
      </w:pPr>
    </w:p>
    <w:p w14:paraId="09D265D7" w14:textId="77777777" w:rsidR="009B05B5" w:rsidRDefault="009B05B5">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כ"ה באב התשס"ד (12 באוגוסט 2004)</w:t>
      </w:r>
      <w:r>
        <w:rPr>
          <w:rStyle w:val="default"/>
          <w:rFonts w:cs="FrankRuehl" w:hint="cs"/>
          <w:rtl/>
        </w:rPr>
        <w:tab/>
        <w:t>בנימין נתניהו</w:t>
      </w:r>
    </w:p>
    <w:p w14:paraId="6799B202" w14:textId="77777777" w:rsidR="009B05B5" w:rsidRDefault="009B05B5">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Pr>
          <w:rStyle w:val="default"/>
          <w:rFonts w:cs="FrankRuehl" w:hint="cs"/>
          <w:sz w:val="22"/>
          <w:szCs w:val="22"/>
          <w:rtl/>
        </w:rPr>
        <w:tab/>
        <w:t>שר האוצר</w:t>
      </w:r>
    </w:p>
    <w:p w14:paraId="0E4EECD1" w14:textId="77777777" w:rsidR="009B05B5" w:rsidRDefault="009B05B5">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p>
    <w:p w14:paraId="04DFCB99" w14:textId="77777777" w:rsidR="00113D58" w:rsidRDefault="00113D58">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p>
    <w:p w14:paraId="18924C81" w14:textId="77777777" w:rsidR="00113D58" w:rsidRDefault="00113D58">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p>
    <w:sectPr w:rsidR="00113D58">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DAC12" w14:textId="77777777" w:rsidR="001F6A0E" w:rsidRDefault="001F6A0E" w:rsidP="009B05B5">
      <w:pPr>
        <w:pStyle w:val="big-header"/>
      </w:pPr>
      <w:r>
        <w:separator/>
      </w:r>
    </w:p>
  </w:endnote>
  <w:endnote w:type="continuationSeparator" w:id="0">
    <w:p w14:paraId="36D88E7E" w14:textId="77777777" w:rsidR="001F6A0E" w:rsidRDefault="001F6A0E" w:rsidP="009B05B5">
      <w:pPr>
        <w:pStyle w:val="big-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5E073" w14:textId="77777777" w:rsidR="009B05B5" w:rsidRDefault="009B05B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96084D4" w14:textId="77777777" w:rsidR="009B05B5" w:rsidRDefault="009B05B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lac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16D485F8" w14:textId="77777777" w:rsidR="009B05B5" w:rsidRDefault="009B05B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13D58">
      <w:rPr>
        <w:rFonts w:cs="TopType Jerushalmi"/>
        <w:noProof/>
        <w:color w:val="000000"/>
        <w:sz w:val="14"/>
        <w:szCs w:val="14"/>
      </w:rPr>
      <w:t>D:\Yael\hakika\Revadim</w:t>
    </w:r>
    <w:r w:rsidR="00113D58">
      <w:rPr>
        <w:rFonts w:cs="TopType Jerushalmi"/>
        <w:noProof/>
        <w:color w:val="000000"/>
        <w:sz w:val="14"/>
        <w:szCs w:val="14"/>
        <w:rtl/>
      </w:rPr>
      <w:t>\קישורים\999_331.</w:t>
    </w:r>
    <w:r w:rsidR="00113D58">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D64A0" w14:textId="77777777" w:rsidR="009B05B5" w:rsidRDefault="009B05B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E2068">
      <w:rPr>
        <w:rFonts w:hAnsi="FrankRuehl" w:cs="FrankRuehl"/>
        <w:noProof/>
        <w:sz w:val="24"/>
        <w:szCs w:val="24"/>
        <w:rtl/>
      </w:rPr>
      <w:t>2</w:t>
    </w:r>
    <w:r>
      <w:rPr>
        <w:rFonts w:hAnsi="FrankRuehl" w:cs="FrankRuehl"/>
        <w:sz w:val="24"/>
        <w:szCs w:val="24"/>
        <w:rtl/>
      </w:rPr>
      <w:fldChar w:fldCharType="end"/>
    </w:r>
  </w:p>
  <w:p w14:paraId="724A4F13" w14:textId="77777777" w:rsidR="009B05B5" w:rsidRDefault="009B05B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lac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27C87CF9" w14:textId="77777777" w:rsidR="009B05B5" w:rsidRDefault="009B05B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13D58">
      <w:rPr>
        <w:rFonts w:cs="TopType Jerushalmi"/>
        <w:noProof/>
        <w:color w:val="000000"/>
        <w:sz w:val="14"/>
        <w:szCs w:val="14"/>
      </w:rPr>
      <w:t>D:\Yael\hakika\Revadim</w:t>
    </w:r>
    <w:r w:rsidR="00113D58">
      <w:rPr>
        <w:rFonts w:cs="TopType Jerushalmi"/>
        <w:noProof/>
        <w:color w:val="000000"/>
        <w:sz w:val="14"/>
        <w:szCs w:val="14"/>
        <w:rtl/>
      </w:rPr>
      <w:t>\קישורים\999_331.</w:t>
    </w:r>
    <w:r w:rsidR="00113D58">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9B04F" w14:textId="77777777" w:rsidR="001F6A0E" w:rsidRDefault="001F6A0E" w:rsidP="00113D58">
      <w:pPr>
        <w:pStyle w:val="big-header"/>
        <w:spacing w:before="60"/>
        <w:ind w:left="0" w:right="1134"/>
        <w:jc w:val="both"/>
      </w:pPr>
      <w:r>
        <w:separator/>
      </w:r>
    </w:p>
  </w:footnote>
  <w:footnote w:type="continuationSeparator" w:id="0">
    <w:p w14:paraId="711B62B4" w14:textId="77777777" w:rsidR="001F6A0E" w:rsidRDefault="001F6A0E" w:rsidP="009B05B5">
      <w:pPr>
        <w:pStyle w:val="big-header"/>
      </w:pPr>
      <w:r>
        <w:continuationSeparator/>
      </w:r>
    </w:p>
  </w:footnote>
  <w:footnote w:id="1">
    <w:p w14:paraId="5CDD310F" w14:textId="77777777" w:rsidR="00113D58" w:rsidRDefault="00113D58" w:rsidP="00113D5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פורסמו </w:t>
      </w:r>
      <w:hyperlink r:id="rId1" w:history="1">
        <w:r w:rsidRPr="000D2548">
          <w:rPr>
            <w:rStyle w:val="Hyperlink"/>
            <w:rFonts w:hint="cs"/>
            <w:sz w:val="20"/>
            <w:rtl/>
          </w:rPr>
          <w:t>ק"ת תשס"ד מס' 6337</w:t>
        </w:r>
      </w:hyperlink>
      <w:r>
        <w:rPr>
          <w:rFonts w:hint="cs"/>
          <w:sz w:val="20"/>
          <w:rtl/>
        </w:rPr>
        <w:t xml:space="preserve"> מיום 31.8.2004 עמ' 952.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1992A" w14:textId="77777777" w:rsidR="009B05B5" w:rsidRDefault="009B05B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(היטלי הפקה), תש"ס- 2000</w:t>
    </w:r>
  </w:p>
  <w:p w14:paraId="2E3DA98A" w14:textId="77777777" w:rsidR="009B05B5" w:rsidRDefault="009B05B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E9DDF57" w14:textId="77777777" w:rsidR="009B05B5" w:rsidRDefault="009B05B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F2947" w14:textId="77777777" w:rsidR="009B05B5" w:rsidRDefault="009B05B5">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מס הכנסה (שיעורי מס מיוחדים לענין מי שהחזיק בנייר ערך זר לפני יום רישומו למסחר בבורסה מחוץ לישראל), תשס"ד-2004</w:t>
    </w:r>
  </w:p>
  <w:p w14:paraId="255F5F90" w14:textId="77777777" w:rsidR="009B05B5" w:rsidRDefault="009B05B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6E1D7D3" w14:textId="77777777" w:rsidR="009B05B5" w:rsidRDefault="009B05B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05B5"/>
    <w:rsid w:val="0001091C"/>
    <w:rsid w:val="00040CA3"/>
    <w:rsid w:val="000A70A1"/>
    <w:rsid w:val="000D2548"/>
    <w:rsid w:val="00113D58"/>
    <w:rsid w:val="001E2068"/>
    <w:rsid w:val="001F6A0E"/>
    <w:rsid w:val="003A7C68"/>
    <w:rsid w:val="005724C9"/>
    <w:rsid w:val="00612968"/>
    <w:rsid w:val="007E6BFB"/>
    <w:rsid w:val="00851240"/>
    <w:rsid w:val="009B05B5"/>
    <w:rsid w:val="00AE73CC"/>
    <w:rsid w:val="00CD365E"/>
    <w:rsid w:val="00D40AF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3074" fill="f" fillcolor="white" stroke="f">
      <v:fill color="white" on="f"/>
      <v:stroke on="f"/>
      <v:textbox inset="1mm,,1mm"/>
    </o:shapedefaults>
    <o:shapelayout v:ext="edit">
      <o:idmap v:ext="edit" data="1"/>
    </o:shapelayout>
  </w:shapeDefaults>
  <w:decimalSymbol w:val="."/>
  <w:listSeparator w:val=","/>
  <w14:docId w14:val="55A52463"/>
  <w15:chartTrackingRefBased/>
  <w15:docId w15:val="{0BF59F20-A678-446F-92EB-844799B67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styleId="2">
    <w:name w:val="Body Text 2"/>
    <w:basedOn w:val="a"/>
    <w:pPr>
      <w:spacing w:line="160" w:lineRule="exact"/>
      <w:jc w:val="left"/>
    </w:pPr>
    <w:rPr>
      <w:rFonts w:cs="Miriam"/>
      <w:szCs w:val="18"/>
    </w:rPr>
  </w:style>
  <w:style w:type="paragraph" w:styleId="3">
    <w:name w:val="Body Text 3"/>
    <w:basedOn w:val="a"/>
    <w:pPr>
      <w:spacing w:line="160" w:lineRule="exact"/>
      <w:jc w:val="left"/>
    </w:pPr>
    <w:rPr>
      <w:rFonts w:cs="Miriam"/>
      <w:szCs w:val="18"/>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customStyle="1" w:styleId="header-2">
    <w:name w:val="header-2"/>
    <w:basedOn w:val="P00"/>
    <w:pPr>
      <w:keepNext/>
      <w:keepLines/>
      <w:tabs>
        <w:tab w:val="clear" w:pos="6259"/>
      </w:tabs>
      <w:spacing w:before="240"/>
      <w:jc w:val="center"/>
    </w:pPr>
    <w:rPr>
      <w:rFonts w:cs="Times New Roman"/>
      <w:szCs w:val="20"/>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33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3723</CharactersWithSpaces>
  <SharedDoc>false</SharedDoc>
  <HLinks>
    <vt:vector size="30" baseType="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8126476</vt:i4>
      </vt:variant>
      <vt:variant>
        <vt:i4>0</vt:i4>
      </vt:variant>
      <vt:variant>
        <vt:i4>0</vt:i4>
      </vt:variant>
      <vt:variant>
        <vt:i4>5</vt:i4>
      </vt:variant>
      <vt:variant>
        <vt:lpwstr>http://www.nevo.co.il/Law_word/law06/TAK-6337.pdf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eli</dc:creator>
  <cp:keywords/>
  <dc:description/>
  <cp:lastModifiedBy>Shimon Doodkin</cp:lastModifiedBy>
  <cp:revision>2</cp:revision>
  <dcterms:created xsi:type="dcterms:W3CDTF">2023-06-05T20:35:00Z</dcterms:created>
  <dcterms:modified xsi:type="dcterms:W3CDTF">2023-06-05T20:35:00Z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מס הכנסה (שיעורי מס מיוחדים לענין מי שהחזיק בנייר ערך זר לפני יום רישומו למסחר בבורסה מחוץ לישראל), תשס"ד-2004</vt:lpwstr>
  </property>
  <property fmtid="{D5CDD505-2E9C-101B-9397-08002B2CF9AE}" pid="4" name="LAWNUMBER">
    <vt:lpwstr>0331</vt:lpwstr>
  </property>
  <property fmtid="{D5CDD505-2E9C-101B-9397-08002B2CF9AE}" pid="5" name="TYPE">
    <vt:lpwstr>01</vt:lpwstr>
  </property>
  <property fmtid="{D5CDD505-2E9C-101B-9397-08002B2CF9AE}" pid="6" name="CHNAME">
    <vt:lpwstr>מס הכנסה</vt:lpwstr>
  </property>
  <property fmtid="{D5CDD505-2E9C-101B-9397-08002B2CF9AE}" pid="7" name="LINKK1">
    <vt:lpwstr>http://www.nevo.co.il/Law_word/law06/tak-6337.pdf;רשומות – תקנת כלליות#פורסמו ק"ת תשס"ד#מס' 6337 מיום 31.8.2004#עמ' 952</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MEKORSAMCHUT">
    <vt:lpwstr/>
  </property>
  <property fmtid="{D5CDD505-2E9C-101B-9397-08002B2CF9AE}" pid="18" name="LINKI1">
    <vt:lpwstr/>
  </property>
  <property fmtid="{D5CDD505-2E9C-101B-9397-08002B2CF9AE}" pid="19" name="LINKI2">
    <vt:lpwstr/>
  </property>
  <property fmtid="{D5CDD505-2E9C-101B-9397-08002B2CF9AE}" pid="20" name="LINKI3">
    <vt:lpwstr/>
  </property>
  <property fmtid="{D5CDD505-2E9C-101B-9397-08002B2CF9AE}" pid="21" name="LINKI4">
    <vt:lpwstr/>
  </property>
  <property fmtid="{D5CDD505-2E9C-101B-9397-08002B2CF9AE}" pid="22" name="LINKI5">
    <vt:lpwstr/>
  </property>
  <property fmtid="{D5CDD505-2E9C-101B-9397-08002B2CF9AE}" pid="23" name="MEKOR_NAME1">
    <vt:lpwstr>פקודת מס הכנסה </vt:lpwstr>
  </property>
  <property fmtid="{D5CDD505-2E9C-101B-9397-08002B2CF9AE}" pid="24" name="MEKOR_SAIF1">
    <vt:lpwstr>105יגX;105ידX1X;243X;244אX</vt:lpwstr>
  </property>
  <property fmtid="{D5CDD505-2E9C-101B-9397-08002B2CF9AE}" pid="25" name="NOSE11">
    <vt:lpwstr>מסים</vt:lpwstr>
  </property>
  <property fmtid="{D5CDD505-2E9C-101B-9397-08002B2CF9AE}" pid="26" name="NOSE21">
    <vt:lpwstr>מס הכנסה</vt:lpwstr>
  </property>
  <property fmtid="{D5CDD505-2E9C-101B-9397-08002B2CF9AE}" pid="27" name="NOSE31">
    <vt:lpwstr>שיעורים</vt:lpwstr>
  </property>
  <property fmtid="{D5CDD505-2E9C-101B-9397-08002B2CF9AE}" pid="28" name="NOSE41">
    <vt:lpwstr/>
  </property>
  <property fmtid="{D5CDD505-2E9C-101B-9397-08002B2CF9AE}" pid="29" name="NOSE12">
    <vt:lpwstr>מסים</vt:lpwstr>
  </property>
  <property fmtid="{D5CDD505-2E9C-101B-9397-08002B2CF9AE}" pid="30" name="NOSE22">
    <vt:lpwstr>מס הכנסה</vt:lpwstr>
  </property>
  <property fmtid="{D5CDD505-2E9C-101B-9397-08002B2CF9AE}" pid="31" name="NOSE32">
    <vt:lpwstr>ניירות ערך</vt:lpwstr>
  </property>
  <property fmtid="{D5CDD505-2E9C-101B-9397-08002B2CF9AE}" pid="32" name="NOSE42">
    <vt:lpwstr/>
  </property>
  <property fmtid="{D5CDD505-2E9C-101B-9397-08002B2CF9AE}" pid="33" name="NOSE13">
    <vt:lpwstr>מסים</vt:lpwstr>
  </property>
  <property fmtid="{D5CDD505-2E9C-101B-9397-08002B2CF9AE}" pid="34" name="NOSE23">
    <vt:lpwstr>מס הכנסה</vt:lpwstr>
  </property>
  <property fmtid="{D5CDD505-2E9C-101B-9397-08002B2CF9AE}" pid="35" name="NOSE33">
    <vt:lpwstr>בורסה</vt:lpwstr>
  </property>
  <property fmtid="{D5CDD505-2E9C-101B-9397-08002B2CF9AE}" pid="36" name="NOSE43">
    <vt:lpwstr/>
  </property>
  <property fmtid="{D5CDD505-2E9C-101B-9397-08002B2CF9AE}" pid="37" name="NOSE14">
    <vt:lpwstr>משפט פרטי וכלכלה</vt:lpwstr>
  </property>
  <property fmtid="{D5CDD505-2E9C-101B-9397-08002B2CF9AE}" pid="38" name="NOSE24">
    <vt:lpwstr>מסחר </vt:lpwstr>
  </property>
  <property fmtid="{D5CDD505-2E9C-101B-9397-08002B2CF9AE}" pid="39" name="NOSE34">
    <vt:lpwstr>בורסה</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