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0E2" w14:textId="77777777" w:rsidR="00F125F1" w:rsidRDefault="00F125F1" w:rsidP="00CE2C5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תקנות מס הכנסה (תוספת פחת על נכסים עסקיים) (מסירת הצהרות), </w:t>
      </w:r>
      <w:r w:rsidR="00CE2C5D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תשכ"ה</w:t>
      </w:r>
      <w:r w:rsidR="00CE2C5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</w:p>
    <w:p w14:paraId="7C542FF4" w14:textId="77777777" w:rsidR="00E10133" w:rsidRPr="00E10133" w:rsidRDefault="00E10133" w:rsidP="00E10133">
      <w:pPr>
        <w:spacing w:line="320" w:lineRule="auto"/>
        <w:rPr>
          <w:rFonts w:cs="FrankRuehl"/>
          <w:szCs w:val="26"/>
          <w:rtl/>
        </w:rPr>
      </w:pPr>
    </w:p>
    <w:p w14:paraId="44C0AC63" w14:textId="77777777" w:rsidR="00E10133" w:rsidRDefault="00E10133" w:rsidP="00E10133">
      <w:pPr>
        <w:spacing w:line="320" w:lineRule="auto"/>
        <w:rPr>
          <w:rtl/>
        </w:rPr>
      </w:pPr>
    </w:p>
    <w:p w14:paraId="2EA21879" w14:textId="77777777" w:rsidR="00E10133" w:rsidRPr="00E10133" w:rsidRDefault="00E10133" w:rsidP="00E10133">
      <w:pPr>
        <w:spacing w:line="320" w:lineRule="auto"/>
        <w:rPr>
          <w:rFonts w:cs="Miriam"/>
          <w:szCs w:val="22"/>
          <w:rtl/>
        </w:rPr>
      </w:pPr>
      <w:r w:rsidRPr="00E10133">
        <w:rPr>
          <w:rFonts w:cs="Miriam"/>
          <w:szCs w:val="22"/>
          <w:rtl/>
        </w:rPr>
        <w:t>מסים</w:t>
      </w:r>
      <w:r w:rsidRPr="00E10133">
        <w:rPr>
          <w:rFonts w:cs="FrankRuehl"/>
          <w:szCs w:val="26"/>
          <w:rtl/>
        </w:rPr>
        <w:t xml:space="preserve"> – מס הכנסה – פחת</w:t>
      </w:r>
    </w:p>
    <w:p w14:paraId="1B91B0E0" w14:textId="77777777" w:rsidR="00F125F1" w:rsidRDefault="00F125F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125F1" w14:paraId="5C5D078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3B4FD3" w14:textId="77777777" w:rsidR="00F125F1" w:rsidRDefault="00F125F1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CE2C5D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172324F" w14:textId="77777777" w:rsidR="00F125F1" w:rsidRDefault="00F125F1">
            <w:hyperlink w:anchor="Seif0" w:tooltip="הצהרות על ידי התובע ניכוי נוס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00E6AC" w14:textId="77777777" w:rsidR="00F125F1" w:rsidRDefault="00F125F1">
            <w:pPr>
              <w:rPr>
                <w:rtl/>
              </w:rPr>
            </w:pPr>
            <w:r>
              <w:rPr>
                <w:rtl/>
              </w:rPr>
              <w:t>הצהרות על ידי התובע ניכוי נוסף</w:t>
            </w:r>
          </w:p>
        </w:tc>
        <w:tc>
          <w:tcPr>
            <w:tcW w:w="1247" w:type="dxa"/>
          </w:tcPr>
          <w:p w14:paraId="3E9E5CDB" w14:textId="77777777" w:rsidR="00F125F1" w:rsidRDefault="00F125F1">
            <w:r>
              <w:rPr>
                <w:rtl/>
              </w:rPr>
              <w:t xml:space="preserve">סעיף 1 </w:t>
            </w:r>
          </w:p>
        </w:tc>
      </w:tr>
      <w:tr w:rsidR="00F125F1" w14:paraId="03A4882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F61124" w14:textId="77777777" w:rsidR="00F125F1" w:rsidRDefault="00F125F1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CE2C5D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5FC8924" w14:textId="77777777" w:rsidR="00F125F1" w:rsidRDefault="00F125F1">
            <w:hyperlink w:anchor="Seif1" w:tooltip="מועד הגשת הטופ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25F5AF" w14:textId="77777777" w:rsidR="00F125F1" w:rsidRDefault="00F125F1">
            <w:pPr>
              <w:rPr>
                <w:rtl/>
              </w:rPr>
            </w:pPr>
            <w:r>
              <w:rPr>
                <w:rtl/>
              </w:rPr>
              <w:t>מועד הגשת הטופס</w:t>
            </w:r>
          </w:p>
        </w:tc>
        <w:tc>
          <w:tcPr>
            <w:tcW w:w="1247" w:type="dxa"/>
          </w:tcPr>
          <w:p w14:paraId="2F4EF89E" w14:textId="77777777" w:rsidR="00F125F1" w:rsidRDefault="00F125F1">
            <w:r>
              <w:rPr>
                <w:rtl/>
              </w:rPr>
              <w:t xml:space="preserve">סעיף 2 </w:t>
            </w:r>
          </w:p>
        </w:tc>
      </w:tr>
      <w:tr w:rsidR="00F125F1" w14:paraId="3F21AD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0860AA" w14:textId="77777777" w:rsidR="00F125F1" w:rsidRDefault="00F125F1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CE2C5D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E713673" w14:textId="77777777" w:rsidR="00F125F1" w:rsidRDefault="00F125F1"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428157" w14:textId="77777777" w:rsidR="00F125F1" w:rsidRDefault="00F125F1">
            <w:pPr>
              <w:rPr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1247" w:type="dxa"/>
          </w:tcPr>
          <w:p w14:paraId="1A68BCDA" w14:textId="77777777" w:rsidR="00F125F1" w:rsidRDefault="00F125F1">
            <w:r>
              <w:rPr>
                <w:rtl/>
              </w:rPr>
              <w:t xml:space="preserve">סעיף 3 </w:t>
            </w:r>
          </w:p>
        </w:tc>
      </w:tr>
    </w:tbl>
    <w:p w14:paraId="0A01F5A2" w14:textId="77777777" w:rsidR="00F125F1" w:rsidRDefault="00F125F1">
      <w:pPr>
        <w:pStyle w:val="big-header"/>
        <w:ind w:left="0" w:right="1134"/>
        <w:rPr>
          <w:rFonts w:cs="FrankRuehl"/>
          <w:sz w:val="32"/>
          <w:rtl/>
        </w:rPr>
      </w:pPr>
    </w:p>
    <w:p w14:paraId="08390419" w14:textId="77777777" w:rsidR="00F125F1" w:rsidRDefault="00F125F1" w:rsidP="00E1013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 xml:space="preserve">ת מס הכנסה (תוספת פחת על נכסים עסקיים) (מסירת הצהרות), </w:t>
      </w:r>
      <w:r w:rsidR="00CE2C5D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תשכ"ה</w:t>
      </w:r>
      <w:r w:rsidR="00CE2C5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  <w:r w:rsidR="00CE2C5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E5EE80F" w14:textId="77777777" w:rsidR="00F125F1" w:rsidRDefault="00F125F1" w:rsidP="00CE2C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11 לחוק מס הכנסה (תוספת פחת על נכסים עסקיים), תשכ"ד</w:t>
      </w:r>
      <w:r w:rsidR="00CE2C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1964, אנ</w:t>
      </w:r>
      <w:r>
        <w:rPr>
          <w:rStyle w:val="default"/>
          <w:rFonts w:cs="FrankRuehl" w:hint="cs"/>
          <w:rtl/>
        </w:rPr>
        <w:t>י מתקין תקנות אלה:</w:t>
      </w:r>
    </w:p>
    <w:p w14:paraId="69F94B08" w14:textId="77777777" w:rsidR="00F125F1" w:rsidRDefault="00F125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CE2C5D">
        <w:rPr>
          <w:rFonts w:cs="Miriam"/>
          <w:lang w:val="he-IL"/>
        </w:rPr>
        <w:pict w14:anchorId="57C938B4">
          <v:rect id="_x0000_s1026" style="position:absolute;left:0;text-align:left;margin-left:464.5pt;margin-top:8.05pt;width:75.05pt;height:24pt;z-index:251656704" o:allowincell="f" filled="f" stroked="f" strokecolor="lime" strokeweight=".25pt">
            <v:textbox style="mso-next-textbox:#_x0000_s1026" inset="0,0,0,0">
              <w:txbxContent>
                <w:p w14:paraId="450F0232" w14:textId="77777777" w:rsidR="00F125F1" w:rsidRDefault="00F125F1" w:rsidP="00CE2C5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  <w:r w:rsidR="00CE2C5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 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 התובע</w:t>
                  </w:r>
                  <w:r w:rsidR="00CE2C5D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ניכ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 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וסף</w:t>
                  </w:r>
                </w:p>
              </w:txbxContent>
            </v:textbox>
            <w10:anchorlock/>
          </v:rect>
        </w:pict>
      </w:r>
      <w:r w:rsidRPr="00CE2C5D">
        <w:rPr>
          <w:rStyle w:val="big-number"/>
          <w:rFonts w:cs="Miriam"/>
          <w:rtl/>
        </w:rPr>
        <w:t>1</w:t>
      </w:r>
      <w:r w:rsidRPr="00CE2C5D">
        <w:rPr>
          <w:rStyle w:val="big-number"/>
          <w:rFonts w:cs="FrankRuehl"/>
          <w:sz w:val="26"/>
          <w:szCs w:val="26"/>
          <w:rtl/>
        </w:rPr>
        <w:t>.</w:t>
      </w:r>
      <w:r w:rsidRPr="00CE2C5D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ניש</w:t>
      </w:r>
      <w:r>
        <w:rPr>
          <w:rStyle w:val="default"/>
          <w:rFonts w:cs="FrankRuehl" w:hint="cs"/>
          <w:rtl/>
        </w:rPr>
        <w:t xml:space="preserve">ום התובע ניכוי נוסף על פי סעיף 2 לחוק ימסור לפקיד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שומה הצהרה בשני עותקים על פרטי נכסיו העסקיים שבעדם הוא תובע את הניכוי.</w:t>
      </w:r>
    </w:p>
    <w:p w14:paraId="1BC06BF8" w14:textId="77777777" w:rsidR="00F125F1" w:rsidRDefault="00F125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ההצ</w:t>
      </w:r>
      <w:r>
        <w:rPr>
          <w:rStyle w:val="default"/>
          <w:rFonts w:cs="FrankRuehl" w:hint="cs"/>
          <w:rtl/>
        </w:rPr>
        <w:t>הרה תהיה לפי הנוסח שבטופס 265 שאפשר להשיגו במשרדי פקידי השומה, ולה יצרף הנישום את המסמכים המקוריים המעידי</w:t>
      </w:r>
      <w:r>
        <w:rPr>
          <w:rStyle w:val="default"/>
          <w:rFonts w:cs="FrankRuehl"/>
          <w:rtl/>
        </w:rPr>
        <w:t>ם על</w:t>
      </w:r>
      <w:r>
        <w:rPr>
          <w:rStyle w:val="default"/>
          <w:rFonts w:cs="FrankRuehl" w:hint="cs"/>
          <w:rtl/>
        </w:rPr>
        <w:t xml:space="preserve"> סוג המטבע בו רכש את הנכס, תאריך הרכישה, גמר הבניה או ההתקנה של הנכ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, וכן מחיר הרכישה, הבניה או ההתקנה.</w:t>
      </w:r>
    </w:p>
    <w:p w14:paraId="3FFAB873" w14:textId="77777777" w:rsidR="00F125F1" w:rsidRDefault="00F125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/>
          <w:rtl/>
        </w:rPr>
        <w:tab/>
        <w:t>ניש</w:t>
      </w:r>
      <w:r>
        <w:rPr>
          <w:rStyle w:val="default"/>
          <w:rFonts w:cs="FrankRuehl" w:hint="cs"/>
          <w:rtl/>
        </w:rPr>
        <w:t>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בע ניכוי נוסף כאמור בתקנת משנה (א) ימסור לפקיד השומה לכל שנת מס שבעדה הוא 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בע את הניכוי, הצהרה לפי הנוסח שבטופס 266 שאפשר להשיגו במשרד</w:t>
      </w:r>
      <w:r>
        <w:rPr>
          <w:rStyle w:val="default"/>
          <w:rFonts w:cs="FrankRuehl"/>
          <w:rtl/>
        </w:rPr>
        <w:t>י פק</w:t>
      </w:r>
      <w:r>
        <w:rPr>
          <w:rStyle w:val="default"/>
          <w:rFonts w:cs="FrankRuehl" w:hint="cs"/>
          <w:rtl/>
        </w:rPr>
        <w:t>ידי השומה; ההצהרה תצורף לדין וחשבון השנתי על ההכנסה שהנישום מגיש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פי פקודת מס הכנסה.</w:t>
      </w:r>
    </w:p>
    <w:p w14:paraId="1082E5D4" w14:textId="77777777" w:rsidR="00F125F1" w:rsidRDefault="00F125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CE2C5D">
        <w:rPr>
          <w:rFonts w:cs="Miriam"/>
          <w:lang w:val="he-IL"/>
        </w:rPr>
        <w:pict w14:anchorId="5D914408">
          <v:rect id="_x0000_s1027" style="position:absolute;left:0;text-align:left;margin-left:464.5pt;margin-top:8.05pt;width:75.05pt;height:16pt;z-index:251657728" o:allowincell="f" filled="f" stroked="f" strokecolor="lime" strokeweight=".25pt">
            <v:textbox style="mso-next-textbox:#_x0000_s1027" inset="0,0,0,0">
              <w:txbxContent>
                <w:p w14:paraId="4133C880" w14:textId="77777777" w:rsidR="00F125F1" w:rsidRDefault="00F125F1" w:rsidP="00CE2C5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הגשת</w:t>
                  </w:r>
                  <w:r w:rsidR="00CE2C5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הטופ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</w:p>
              </w:txbxContent>
            </v:textbox>
            <w10:anchorlock/>
          </v:rect>
        </w:pict>
      </w:r>
      <w:r w:rsidRPr="00CE2C5D">
        <w:rPr>
          <w:rStyle w:val="big-number"/>
          <w:rFonts w:cs="Miriam"/>
          <w:rtl/>
        </w:rPr>
        <w:t>2</w:t>
      </w:r>
      <w:r w:rsidRPr="00CE2C5D">
        <w:rPr>
          <w:rStyle w:val="big-number"/>
          <w:rFonts w:cs="FrankRuehl"/>
          <w:sz w:val="26"/>
          <w:szCs w:val="26"/>
          <w:rtl/>
        </w:rPr>
        <w:t>.</w:t>
      </w:r>
      <w:r w:rsidRPr="00CE2C5D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דורש ניכוי נוסף לשנת המס 1963, יגיש את טופס 265 לא יאוחר מיום כ"ז באדר ב' </w:t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>כ"ה (31 במרס 1965).</w:t>
      </w:r>
    </w:p>
    <w:p w14:paraId="08B7A586" w14:textId="77777777" w:rsidR="00F125F1" w:rsidRDefault="00F125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טופ</w:t>
      </w:r>
      <w:r>
        <w:rPr>
          <w:rStyle w:val="default"/>
          <w:rFonts w:cs="FrankRuehl" w:hint="cs"/>
          <w:rtl/>
        </w:rPr>
        <w:t>ס 266 המתייחס לשנת המס 1963 יוג</w:t>
      </w:r>
      <w:r>
        <w:rPr>
          <w:rStyle w:val="default"/>
          <w:rFonts w:cs="FrankRuehl"/>
          <w:rtl/>
        </w:rPr>
        <w:t>ש בי</w:t>
      </w:r>
      <w:r>
        <w:rPr>
          <w:rStyle w:val="default"/>
          <w:rFonts w:cs="FrankRuehl" w:hint="cs"/>
          <w:rtl/>
        </w:rPr>
        <w:t>חד עם טופס 265.</w:t>
      </w:r>
    </w:p>
    <w:p w14:paraId="0855BF4E" w14:textId="77777777" w:rsidR="00F125F1" w:rsidRDefault="00F125F1" w:rsidP="00CE2C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CE2C5D">
        <w:rPr>
          <w:rFonts w:cs="Miriam"/>
          <w:lang w:val="he-IL"/>
        </w:rPr>
        <w:pict w14:anchorId="28EBBD4D">
          <v:rect id="_x0000_s1028" style="position:absolute;left:0;text-align:left;margin-left:464.5pt;margin-top:8.05pt;width:75.05pt;height:16.2pt;z-index:251658752" o:allowincell="f" filled="f" stroked="f" strokecolor="lime" strokeweight=".25pt">
            <v:textbox style="mso-next-textbox:#_x0000_s1028" inset="0,0,0,0">
              <w:txbxContent>
                <w:p w14:paraId="5D4DB37B" w14:textId="77777777" w:rsidR="00F125F1" w:rsidRDefault="00F125F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CE2C5D">
        <w:rPr>
          <w:rStyle w:val="big-number"/>
          <w:rFonts w:cs="Miriam"/>
          <w:rtl/>
        </w:rPr>
        <w:t>3</w:t>
      </w:r>
      <w:r w:rsidRPr="00CE2C5D">
        <w:rPr>
          <w:rStyle w:val="big-number"/>
          <w:rFonts w:cs="FrankRuehl"/>
          <w:sz w:val="26"/>
          <w:szCs w:val="26"/>
          <w:rtl/>
        </w:rPr>
        <w:t>.</w:t>
      </w:r>
      <w:r w:rsidRPr="00CE2C5D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לתקנ</w:t>
      </w:r>
      <w:r>
        <w:rPr>
          <w:rStyle w:val="default"/>
          <w:rFonts w:cs="FrankRuehl" w:hint="cs"/>
          <w:rtl/>
        </w:rPr>
        <w:t>ות אלה ייקרא "תקנות מס הכנסה (תוספת פחת על נכסים עסקיים) (מסי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ת הצהרות), תשכ"ה</w:t>
      </w:r>
      <w:r w:rsidR="00CE2C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1964".</w:t>
      </w:r>
    </w:p>
    <w:p w14:paraId="5C98BA99" w14:textId="77777777" w:rsidR="00F125F1" w:rsidRDefault="00F125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3B6050" w14:textId="77777777" w:rsidR="00CE2C5D" w:rsidRDefault="00CE2C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EACA03" w14:textId="77777777" w:rsidR="00F125F1" w:rsidRDefault="00F125F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כ"ב </w:t>
      </w:r>
      <w:r>
        <w:rPr>
          <w:rFonts w:cs="FrankRuehl" w:hint="cs"/>
          <w:sz w:val="26"/>
          <w:rtl/>
        </w:rPr>
        <w:t>בחשון תשכ"ה (28 באוקטובר 1964)</w:t>
      </w:r>
      <w:r>
        <w:rPr>
          <w:rFonts w:cs="FrankRuehl"/>
          <w:sz w:val="26"/>
          <w:rtl/>
        </w:rPr>
        <w:tab/>
        <w:t>פנח</w:t>
      </w:r>
      <w:r>
        <w:rPr>
          <w:rFonts w:cs="FrankRuehl" w:hint="cs"/>
          <w:sz w:val="26"/>
          <w:rtl/>
        </w:rPr>
        <w:t>ס ספיר</w:t>
      </w:r>
    </w:p>
    <w:p w14:paraId="04548C9E" w14:textId="77777777" w:rsidR="00F125F1" w:rsidRDefault="00F125F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3AA32D5E" w14:textId="77777777" w:rsidR="00F125F1" w:rsidRPr="00CE2C5D" w:rsidRDefault="00F125F1" w:rsidP="00CE2C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1040D0" w14:textId="77777777" w:rsidR="00CE2C5D" w:rsidRPr="00CE2C5D" w:rsidRDefault="00CE2C5D" w:rsidP="00CE2C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9335AC" w14:textId="77777777" w:rsidR="00F125F1" w:rsidRPr="00CE2C5D" w:rsidRDefault="00F125F1" w:rsidP="00CE2C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57EAD40" w14:textId="77777777" w:rsidR="00F125F1" w:rsidRPr="00CE2C5D" w:rsidRDefault="00F125F1" w:rsidP="00CE2C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125F1" w:rsidRPr="00CE2C5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0E06" w14:textId="77777777" w:rsidR="006124D4" w:rsidRDefault="006124D4">
      <w:r>
        <w:separator/>
      </w:r>
    </w:p>
  </w:endnote>
  <w:endnote w:type="continuationSeparator" w:id="0">
    <w:p w14:paraId="7611B2FA" w14:textId="77777777" w:rsidR="006124D4" w:rsidRDefault="00612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23FB9" w14:textId="77777777" w:rsidR="00F125F1" w:rsidRDefault="00F125F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5E5387BA" w14:textId="77777777" w:rsidR="00F125F1" w:rsidRDefault="00F125F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58ADD83" w14:textId="77777777" w:rsidR="00F125F1" w:rsidRDefault="00F125F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E2C5D">
      <w:rPr>
        <w:rFonts w:cs="TopType Jerushalmi"/>
        <w:noProof/>
        <w:color w:val="000000"/>
        <w:sz w:val="14"/>
        <w:szCs w:val="14"/>
      </w:rPr>
      <w:t>C:\Yael\hakika\Revadim\255_560.doc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D9B0" w14:textId="77777777" w:rsidR="00F125F1" w:rsidRDefault="00F125F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E10133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3ABD0D94" w14:textId="77777777" w:rsidR="00F125F1" w:rsidRDefault="00F125F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1BEBC0A" w14:textId="77777777" w:rsidR="00F125F1" w:rsidRDefault="00F125F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E2C5D">
      <w:rPr>
        <w:rFonts w:cs="TopType Jerushalmi"/>
        <w:noProof/>
        <w:color w:val="000000"/>
        <w:sz w:val="14"/>
        <w:szCs w:val="14"/>
      </w:rPr>
      <w:t>C:\Yael\hakika\Revadim\255_560.doc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9F701" w14:textId="77777777" w:rsidR="006124D4" w:rsidRDefault="006124D4" w:rsidP="00CE2C5D">
      <w:pPr>
        <w:spacing w:before="60"/>
        <w:ind w:right="1134"/>
      </w:pPr>
      <w:r>
        <w:separator/>
      </w:r>
    </w:p>
  </w:footnote>
  <w:footnote w:type="continuationSeparator" w:id="0">
    <w:p w14:paraId="0B13CE15" w14:textId="77777777" w:rsidR="006124D4" w:rsidRDefault="006124D4">
      <w:r>
        <w:continuationSeparator/>
      </w:r>
    </w:p>
  </w:footnote>
  <w:footnote w:id="1">
    <w:p w14:paraId="1FF21141" w14:textId="77777777" w:rsidR="00CE2C5D" w:rsidRPr="00CE2C5D" w:rsidRDefault="00CE2C5D" w:rsidP="00CE2C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E2C5D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E31C2E">
          <w:rPr>
            <w:rStyle w:val="Hyperlink"/>
            <w:rFonts w:cs="FrankRuehl" w:hint="cs"/>
            <w:rtl/>
          </w:rPr>
          <w:t>ק"ת תשכ"ח מס' 1647</w:t>
        </w:r>
      </w:hyperlink>
      <w:r>
        <w:rPr>
          <w:rFonts w:cs="FrankRuehl" w:hint="cs"/>
          <w:rtl/>
        </w:rPr>
        <w:t xml:space="preserve"> מיום </w:t>
      </w:r>
      <w:r>
        <w:rPr>
          <w:rFonts w:cs="FrankRuehl"/>
          <w:rtl/>
        </w:rPr>
        <w:t>12.11.1964 עמ' 378.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ABC2C" w14:textId="77777777" w:rsidR="00F125F1" w:rsidRDefault="00F125F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(תוספת פחת על נכסים עסקיים) (מסירת הצהרות), תשכ"ה–1964</w:t>
    </w:r>
  </w:p>
  <w:p w14:paraId="15D19E95" w14:textId="77777777" w:rsidR="00F125F1" w:rsidRDefault="00F125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BD6F41" w14:textId="77777777" w:rsidR="00F125F1" w:rsidRDefault="00F125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242C" w14:textId="77777777" w:rsidR="00F125F1" w:rsidRDefault="00F125F1" w:rsidP="00CE2C5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(תוספת פחת על נכסים עסקיים) (מסירת הצהרות), תשכ"ה</w:t>
    </w:r>
    <w:r w:rsidR="00CE2C5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14:paraId="73D15C29" w14:textId="77777777" w:rsidR="00F125F1" w:rsidRDefault="00F125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C9893B" w14:textId="77777777" w:rsidR="00F125F1" w:rsidRDefault="00F125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1C2E"/>
    <w:rsid w:val="00473E70"/>
    <w:rsid w:val="004C6068"/>
    <w:rsid w:val="005C7002"/>
    <w:rsid w:val="006124D4"/>
    <w:rsid w:val="00992198"/>
    <w:rsid w:val="00CE2C5D"/>
    <w:rsid w:val="00E10133"/>
    <w:rsid w:val="00E31C2E"/>
    <w:rsid w:val="00F125F1"/>
    <w:rsid w:val="00FD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ECD0BD"/>
  <w15:chartTrackingRefBased/>
  <w15:docId w15:val="{556430AF-E11F-4747-AFEA-58E41378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E2C5D"/>
    <w:rPr>
      <w:sz w:val="20"/>
      <w:szCs w:val="20"/>
    </w:rPr>
  </w:style>
  <w:style w:type="character" w:styleId="a6">
    <w:name w:val="footnote reference"/>
    <w:basedOn w:val="a0"/>
    <w:semiHidden/>
    <w:rsid w:val="00CE2C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6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1492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http://www.nevo.co.il/Law_word/law06/tak-1647.pdf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(תוספת פחת על נכסים עסקיים) (מסירת הצהרות), תשכ"ה-1964</vt:lpwstr>
  </property>
  <property fmtid="{D5CDD505-2E9C-101B-9397-08002B2CF9AE}" pid="5" name="LAWNUMBER">
    <vt:lpwstr>0560</vt:lpwstr>
  </property>
  <property fmtid="{D5CDD505-2E9C-101B-9397-08002B2CF9AE}" pid="6" name="TYPE">
    <vt:lpwstr>01</vt:lpwstr>
  </property>
  <property fmtid="{D5CDD505-2E9C-101B-9397-08002B2CF9AE}" pid="7" name="MEKOR_NAME1">
    <vt:lpwstr>חוק מס הכנסה (תוספת פחת על נכסים עסקיים)</vt:lpwstr>
  </property>
  <property fmtid="{D5CDD505-2E9C-101B-9397-08002B2CF9AE}" pid="8" name="MEKOR_SAIF1">
    <vt:lpwstr>11X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פחת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