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F9E4" w14:textId="77777777" w:rsidR="00972C9F" w:rsidRDefault="00972C9F">
      <w:pPr>
        <w:pStyle w:val="big-header"/>
        <w:ind w:left="0" w:right="1134"/>
      </w:pPr>
      <w:r>
        <w:rPr>
          <w:rFonts w:hint="cs"/>
          <w:rtl/>
        </w:rPr>
        <w:t>תקנות מס הכנסה (תיאומים בשל אינפלציה) (הוראות לענין נישום שהיה ברשותו נייר ערך במועד שהוחלו לגביו הוראות החוק), תשס"ה-2005</w:t>
      </w:r>
    </w:p>
    <w:p w14:paraId="5201A98C" w14:textId="77777777" w:rsidR="008138C5" w:rsidRPr="008138C5" w:rsidRDefault="008138C5" w:rsidP="008138C5">
      <w:pPr>
        <w:spacing w:line="320" w:lineRule="auto"/>
        <w:jc w:val="left"/>
        <w:rPr>
          <w:rFonts w:cs="FrankRuehl"/>
          <w:szCs w:val="26"/>
          <w:rtl/>
        </w:rPr>
      </w:pPr>
    </w:p>
    <w:p w14:paraId="24D2344E" w14:textId="77777777" w:rsidR="00BD32B1" w:rsidRDefault="00BD32B1" w:rsidP="00BD32B1">
      <w:pPr>
        <w:spacing w:line="320" w:lineRule="auto"/>
        <w:jc w:val="left"/>
        <w:rPr>
          <w:rtl/>
        </w:rPr>
      </w:pPr>
    </w:p>
    <w:p w14:paraId="2F2D6303" w14:textId="77777777" w:rsidR="00BD32B1" w:rsidRDefault="00BD32B1" w:rsidP="00BD32B1">
      <w:pPr>
        <w:spacing w:line="320" w:lineRule="auto"/>
        <w:jc w:val="left"/>
        <w:rPr>
          <w:rFonts w:cs="FrankRuehl"/>
          <w:szCs w:val="26"/>
          <w:rtl/>
        </w:rPr>
      </w:pPr>
      <w:r w:rsidRPr="00BD32B1">
        <w:rPr>
          <w:rFonts w:cs="Miriam"/>
          <w:szCs w:val="22"/>
          <w:rtl/>
        </w:rPr>
        <w:t>מסים</w:t>
      </w:r>
      <w:r w:rsidRPr="00BD32B1">
        <w:rPr>
          <w:rFonts w:cs="FrankRuehl"/>
          <w:szCs w:val="26"/>
          <w:rtl/>
        </w:rPr>
        <w:t xml:space="preserve"> – מס הכנסה – אינפלציה – תיאומים בשל אינפלציה</w:t>
      </w:r>
    </w:p>
    <w:p w14:paraId="7B3C3949" w14:textId="77777777" w:rsidR="008138C5" w:rsidRPr="00BD32B1" w:rsidRDefault="00BD32B1" w:rsidP="00BD32B1">
      <w:pPr>
        <w:spacing w:line="320" w:lineRule="auto"/>
        <w:jc w:val="left"/>
        <w:rPr>
          <w:rFonts w:cs="Miriam"/>
          <w:szCs w:val="22"/>
          <w:rtl/>
        </w:rPr>
      </w:pPr>
      <w:r w:rsidRPr="00BD32B1">
        <w:rPr>
          <w:rFonts w:cs="Miriam"/>
          <w:szCs w:val="22"/>
          <w:rtl/>
        </w:rPr>
        <w:t>מסים</w:t>
      </w:r>
      <w:r w:rsidRPr="00BD32B1">
        <w:rPr>
          <w:rFonts w:cs="FrankRuehl"/>
          <w:szCs w:val="26"/>
          <w:rtl/>
        </w:rPr>
        <w:t xml:space="preserve"> – מס הכנסה – ניירות ערך</w:t>
      </w:r>
    </w:p>
    <w:p w14:paraId="506EA57F" w14:textId="77777777" w:rsidR="00972C9F" w:rsidRDefault="00972C9F">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72C9F" w14:paraId="590A748E" w14:textId="77777777">
        <w:tblPrEx>
          <w:tblCellMar>
            <w:top w:w="0" w:type="dxa"/>
            <w:bottom w:w="0" w:type="dxa"/>
          </w:tblCellMar>
        </w:tblPrEx>
        <w:trPr>
          <w:jc w:val="right"/>
        </w:trPr>
        <w:tc>
          <w:tcPr>
            <w:tcW w:w="850" w:type="dxa"/>
          </w:tcPr>
          <w:p w14:paraId="3FCFDC44" w14:textId="77777777" w:rsidR="00972C9F" w:rsidRDefault="00972C9F">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4420275" w14:textId="77777777" w:rsidR="00972C9F" w:rsidRDefault="00972C9F">
            <w:pPr>
              <w:spacing w:line="240" w:lineRule="auto"/>
              <w:jc w:val="left"/>
              <w:rPr>
                <w:rFonts w:hint="cs"/>
                <w:sz w:val="24"/>
              </w:rPr>
            </w:pPr>
            <w:hyperlink w:anchor="Seif0" w:tooltip="הגדרות" w:history="1">
              <w:r>
                <w:rPr>
                  <w:rStyle w:val="Hyperlink"/>
                </w:rPr>
                <w:t>Go</w:t>
              </w:r>
            </w:hyperlink>
          </w:p>
        </w:tc>
        <w:tc>
          <w:tcPr>
            <w:tcW w:w="5669" w:type="dxa"/>
          </w:tcPr>
          <w:p w14:paraId="13650F9C" w14:textId="77777777" w:rsidR="00972C9F" w:rsidRDefault="00972C9F">
            <w:pPr>
              <w:spacing w:line="240" w:lineRule="auto"/>
              <w:jc w:val="left"/>
              <w:rPr>
                <w:sz w:val="24"/>
                <w:rtl/>
              </w:rPr>
            </w:pPr>
            <w:r>
              <w:rPr>
                <w:sz w:val="24"/>
                <w:rtl/>
              </w:rPr>
              <w:t>הגדרות</w:t>
            </w:r>
          </w:p>
        </w:tc>
        <w:tc>
          <w:tcPr>
            <w:tcW w:w="1247" w:type="dxa"/>
          </w:tcPr>
          <w:p w14:paraId="271483A1" w14:textId="77777777" w:rsidR="00972C9F" w:rsidRDefault="00972C9F">
            <w:pPr>
              <w:spacing w:line="240" w:lineRule="auto"/>
              <w:jc w:val="left"/>
              <w:rPr>
                <w:rFonts w:hint="cs"/>
                <w:sz w:val="24"/>
              </w:rPr>
            </w:pPr>
            <w:r>
              <w:rPr>
                <w:sz w:val="24"/>
                <w:rtl/>
              </w:rPr>
              <w:t xml:space="preserve">סעיף 1 </w:t>
            </w:r>
          </w:p>
        </w:tc>
      </w:tr>
      <w:tr w:rsidR="00972C9F" w14:paraId="124B0FD9" w14:textId="77777777">
        <w:tblPrEx>
          <w:tblCellMar>
            <w:top w:w="0" w:type="dxa"/>
            <w:bottom w:w="0" w:type="dxa"/>
          </w:tblCellMar>
        </w:tblPrEx>
        <w:trPr>
          <w:jc w:val="right"/>
        </w:trPr>
        <w:tc>
          <w:tcPr>
            <w:tcW w:w="850" w:type="dxa"/>
          </w:tcPr>
          <w:p w14:paraId="012646DA" w14:textId="77777777" w:rsidR="00972C9F" w:rsidRDefault="00972C9F">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478D5D0" w14:textId="77777777" w:rsidR="00972C9F" w:rsidRDefault="00972C9F">
            <w:pPr>
              <w:spacing w:line="240" w:lineRule="auto"/>
              <w:jc w:val="left"/>
              <w:rPr>
                <w:rFonts w:hint="cs"/>
                <w:sz w:val="24"/>
              </w:rPr>
            </w:pPr>
            <w:hyperlink w:anchor="Seif1" w:tooltip="קביעת מחיר מקורי בנייר ערך חייב" w:history="1">
              <w:r>
                <w:rPr>
                  <w:rStyle w:val="Hyperlink"/>
                </w:rPr>
                <w:t>Go</w:t>
              </w:r>
            </w:hyperlink>
          </w:p>
        </w:tc>
        <w:tc>
          <w:tcPr>
            <w:tcW w:w="5669" w:type="dxa"/>
          </w:tcPr>
          <w:p w14:paraId="1AAF6462" w14:textId="77777777" w:rsidR="00972C9F" w:rsidRDefault="00972C9F">
            <w:pPr>
              <w:spacing w:line="240" w:lineRule="auto"/>
              <w:jc w:val="left"/>
              <w:rPr>
                <w:sz w:val="24"/>
                <w:rtl/>
              </w:rPr>
            </w:pPr>
            <w:r>
              <w:rPr>
                <w:sz w:val="24"/>
                <w:rtl/>
              </w:rPr>
              <w:t>קביעת מחיר מקורי בנייר ערך חייב</w:t>
            </w:r>
          </w:p>
        </w:tc>
        <w:tc>
          <w:tcPr>
            <w:tcW w:w="1247" w:type="dxa"/>
          </w:tcPr>
          <w:p w14:paraId="55AABE15" w14:textId="77777777" w:rsidR="00972C9F" w:rsidRDefault="00972C9F">
            <w:pPr>
              <w:spacing w:line="240" w:lineRule="auto"/>
              <w:jc w:val="left"/>
              <w:rPr>
                <w:rFonts w:hint="cs"/>
                <w:sz w:val="24"/>
              </w:rPr>
            </w:pPr>
            <w:r>
              <w:rPr>
                <w:sz w:val="24"/>
                <w:rtl/>
              </w:rPr>
              <w:t xml:space="preserve">סעיף 2 </w:t>
            </w:r>
          </w:p>
        </w:tc>
      </w:tr>
      <w:tr w:rsidR="00972C9F" w14:paraId="3C66EBF5" w14:textId="77777777">
        <w:tblPrEx>
          <w:tblCellMar>
            <w:top w:w="0" w:type="dxa"/>
            <w:bottom w:w="0" w:type="dxa"/>
          </w:tblCellMar>
        </w:tblPrEx>
        <w:trPr>
          <w:jc w:val="right"/>
        </w:trPr>
        <w:tc>
          <w:tcPr>
            <w:tcW w:w="850" w:type="dxa"/>
          </w:tcPr>
          <w:p w14:paraId="64ABBC51" w14:textId="77777777" w:rsidR="00972C9F" w:rsidRDefault="00972C9F">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B644A04" w14:textId="77777777" w:rsidR="00972C9F" w:rsidRDefault="00972C9F">
            <w:pPr>
              <w:spacing w:line="240" w:lineRule="auto"/>
              <w:jc w:val="left"/>
              <w:rPr>
                <w:rFonts w:hint="cs"/>
                <w:sz w:val="24"/>
              </w:rPr>
            </w:pPr>
            <w:hyperlink w:anchor="Seif2" w:tooltip="הוראות לענין נייר ערך שהיה ברשותו של נישום ביום הקובע" w:history="1">
              <w:r>
                <w:rPr>
                  <w:rStyle w:val="Hyperlink"/>
                </w:rPr>
                <w:t>Go</w:t>
              </w:r>
            </w:hyperlink>
          </w:p>
        </w:tc>
        <w:tc>
          <w:tcPr>
            <w:tcW w:w="5669" w:type="dxa"/>
          </w:tcPr>
          <w:p w14:paraId="41784615" w14:textId="77777777" w:rsidR="00972C9F" w:rsidRDefault="00972C9F">
            <w:pPr>
              <w:spacing w:line="240" w:lineRule="auto"/>
              <w:jc w:val="left"/>
              <w:rPr>
                <w:sz w:val="24"/>
                <w:rtl/>
              </w:rPr>
            </w:pPr>
            <w:r>
              <w:rPr>
                <w:sz w:val="24"/>
                <w:rtl/>
              </w:rPr>
              <w:t>הוראות לענין נייר ערך שהיה ברשותו של נישום ביום הקובע</w:t>
            </w:r>
          </w:p>
        </w:tc>
        <w:tc>
          <w:tcPr>
            <w:tcW w:w="1247" w:type="dxa"/>
          </w:tcPr>
          <w:p w14:paraId="3E256A2C" w14:textId="77777777" w:rsidR="00972C9F" w:rsidRDefault="00972C9F">
            <w:pPr>
              <w:spacing w:line="240" w:lineRule="auto"/>
              <w:jc w:val="left"/>
              <w:rPr>
                <w:rFonts w:hint="cs"/>
                <w:sz w:val="24"/>
              </w:rPr>
            </w:pPr>
            <w:r>
              <w:rPr>
                <w:sz w:val="24"/>
                <w:rtl/>
              </w:rPr>
              <w:t xml:space="preserve">סעיף 3 </w:t>
            </w:r>
          </w:p>
        </w:tc>
      </w:tr>
    </w:tbl>
    <w:p w14:paraId="5376E4E7" w14:textId="77777777" w:rsidR="00972C9F" w:rsidRDefault="00972C9F">
      <w:pPr>
        <w:pStyle w:val="P00"/>
        <w:spacing w:before="72"/>
        <w:ind w:left="0" w:right="1134"/>
        <w:rPr>
          <w:rFonts w:hint="cs"/>
          <w:rtl/>
        </w:rPr>
      </w:pPr>
    </w:p>
    <w:p w14:paraId="13385606" w14:textId="77777777" w:rsidR="00972C9F" w:rsidRDefault="00972C9F" w:rsidP="008138C5">
      <w:pPr>
        <w:pStyle w:val="big-header"/>
        <w:ind w:left="0" w:right="1134"/>
        <w:rPr>
          <w:rStyle w:val="default"/>
          <w:rFonts w:cs="FrankRuehl"/>
          <w:rtl/>
        </w:rPr>
      </w:pPr>
      <w:r>
        <w:rPr>
          <w:rtl/>
        </w:rPr>
        <w:br w:type="page"/>
      </w:r>
      <w:r>
        <w:rPr>
          <w:rFonts w:hint="cs"/>
          <w:rtl/>
        </w:rPr>
        <w:lastRenderedPageBreak/>
        <w:t>תקנות מס הכנסה (תיאומים בשל אינפלציה) (הוראות לענין נישום שהיה ברשותו נייר ערך במועד שהוחלו לגביו הוראות החוק), תשס"ה-2005</w:t>
      </w:r>
      <w:r>
        <w:rPr>
          <w:rStyle w:val="default"/>
          <w:sz w:val="22"/>
          <w:szCs w:val="22"/>
          <w:rtl/>
        </w:rPr>
        <w:footnoteReference w:customMarkFollows="1" w:id="1"/>
        <w:t>*</w:t>
      </w:r>
    </w:p>
    <w:p w14:paraId="7348F16E" w14:textId="77777777" w:rsidR="00972C9F" w:rsidRDefault="00972C9F">
      <w:pPr>
        <w:pStyle w:val="P00"/>
        <w:spacing w:before="72"/>
        <w:ind w:left="0" w:right="1134"/>
        <w:rPr>
          <w:rStyle w:val="default"/>
          <w:rFonts w:cs="FrankRuehl" w:hint="cs"/>
          <w:rtl/>
        </w:rPr>
      </w:pPr>
      <w:r>
        <w:rPr>
          <w:rStyle w:val="default"/>
          <w:rFonts w:cs="FrankRuehl" w:hint="cs"/>
          <w:rtl/>
        </w:rPr>
        <w:tab/>
        <w:t xml:space="preserve">בתוקף סמכותי לפי סעיף 6(ט)(3) לחוק מס הכנסה (תיאומים בשל אינפלציה), התשמ"ה-1985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5062ED37" w14:textId="77777777" w:rsidR="00972C9F" w:rsidRDefault="00972C9F">
      <w:pPr>
        <w:pStyle w:val="P00"/>
        <w:spacing w:before="72"/>
        <w:ind w:left="0" w:right="1134"/>
        <w:rPr>
          <w:rStyle w:val="default"/>
          <w:rFonts w:cs="FrankRuehl" w:hint="cs"/>
          <w:rtl/>
        </w:rPr>
      </w:pPr>
      <w:bookmarkStart w:id="0" w:name="Seif0"/>
      <w:bookmarkEnd w:id="0"/>
      <w:r>
        <w:rPr>
          <w:lang w:val="he-IL"/>
        </w:rPr>
        <w:pict w14:anchorId="09DBB506">
          <v:rect id="_x0000_s1026" style="position:absolute;left:0;text-align:left;margin-left:464.5pt;margin-top:8.05pt;width:75.05pt;height:7.6pt;z-index:251656704" o:allowincell="f" filled="f" stroked="f" strokecolor="lime" strokeweight=".25pt">
            <v:textbox inset="0,0,0,0">
              <w:txbxContent>
                <w:p w14:paraId="010928AC" w14:textId="77777777" w:rsidR="00972C9F" w:rsidRDefault="00972C9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7E333251" w14:textId="77777777" w:rsidR="00972C9F" w:rsidRDefault="00972C9F">
      <w:pPr>
        <w:pStyle w:val="P00"/>
        <w:spacing w:before="72"/>
        <w:ind w:left="0" w:right="1134"/>
        <w:rPr>
          <w:rStyle w:val="default"/>
          <w:rFonts w:cs="FrankRuehl" w:hint="cs"/>
          <w:rtl/>
        </w:rPr>
      </w:pPr>
      <w:r>
        <w:rPr>
          <w:rStyle w:val="default"/>
          <w:rFonts w:cs="FrankRuehl" w:hint="cs"/>
          <w:rtl/>
        </w:rPr>
        <w:tab/>
        <w:t xml:space="preserve">"איגרת חוב" </w:t>
      </w:r>
      <w:r>
        <w:rPr>
          <w:rStyle w:val="default"/>
          <w:rFonts w:cs="FrankRuehl"/>
          <w:rtl/>
        </w:rPr>
        <w:t>–</w:t>
      </w:r>
      <w:r>
        <w:rPr>
          <w:rStyle w:val="default"/>
          <w:rFonts w:cs="FrankRuehl" w:hint="cs"/>
          <w:rtl/>
        </w:rPr>
        <w:t xml:space="preserve"> לרבות מילווה קצר מועד;</w:t>
      </w:r>
    </w:p>
    <w:p w14:paraId="0D1E3761" w14:textId="77777777" w:rsidR="00972C9F" w:rsidRDefault="00972C9F">
      <w:pPr>
        <w:pStyle w:val="P00"/>
        <w:spacing w:before="72"/>
        <w:ind w:left="0" w:right="1134"/>
        <w:rPr>
          <w:rStyle w:val="default"/>
          <w:rFonts w:cs="FrankRuehl" w:hint="cs"/>
          <w:rtl/>
        </w:rPr>
      </w:pPr>
      <w:r>
        <w:rPr>
          <w:rStyle w:val="default"/>
          <w:rFonts w:cs="FrankRuehl" w:hint="cs"/>
          <w:rtl/>
        </w:rPr>
        <w:tab/>
        <w:t xml:space="preserve">"היום הקובע" </w:t>
      </w:r>
      <w:r>
        <w:rPr>
          <w:rStyle w:val="default"/>
          <w:rFonts w:cs="FrankRuehl"/>
          <w:rtl/>
        </w:rPr>
        <w:t>–</w:t>
      </w:r>
      <w:r>
        <w:rPr>
          <w:rStyle w:val="default"/>
          <w:rFonts w:cs="FrankRuehl" w:hint="cs"/>
          <w:rtl/>
        </w:rPr>
        <w:t xml:space="preserve"> אחד מאלה לפי הענין:</w:t>
      </w:r>
    </w:p>
    <w:p w14:paraId="5B3F31B8" w14:textId="77777777" w:rsidR="00972C9F" w:rsidRDefault="00972C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נייר ערך שאינו איגרת חוב </w:t>
      </w:r>
      <w:r>
        <w:rPr>
          <w:rStyle w:val="default"/>
          <w:rFonts w:cs="FrankRuehl"/>
          <w:rtl/>
        </w:rPr>
        <w:t>–</w:t>
      </w:r>
      <w:r>
        <w:rPr>
          <w:rStyle w:val="default"/>
          <w:rFonts w:cs="FrankRuehl" w:hint="cs"/>
          <w:rtl/>
        </w:rPr>
        <w:t xml:space="preserve"> המועד הקובע כהגדרתו בסעיף 88 לפקודת מס הכנסה (להלן </w:t>
      </w:r>
      <w:r>
        <w:rPr>
          <w:rStyle w:val="default"/>
          <w:rFonts w:cs="FrankRuehl"/>
          <w:rtl/>
        </w:rPr>
        <w:t>–</w:t>
      </w:r>
      <w:r>
        <w:rPr>
          <w:rStyle w:val="default"/>
          <w:rFonts w:cs="FrankRuehl" w:hint="cs"/>
          <w:rtl/>
        </w:rPr>
        <w:t xml:space="preserve"> הפקודה);</w:t>
      </w:r>
    </w:p>
    <w:p w14:paraId="22634380" w14:textId="77777777" w:rsidR="00972C9F" w:rsidRDefault="00972C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איגרת חוב שהונפקה לפני יום ג' באייר התש"ס (8 במאי 2000) </w:t>
      </w:r>
      <w:r>
        <w:rPr>
          <w:rStyle w:val="default"/>
          <w:rFonts w:cs="FrankRuehl"/>
          <w:rtl/>
        </w:rPr>
        <w:t>–</w:t>
      </w:r>
      <w:r>
        <w:rPr>
          <w:rStyle w:val="default"/>
          <w:rFonts w:cs="FrankRuehl" w:hint="cs"/>
          <w:rtl/>
        </w:rPr>
        <w:t xml:space="preserve"> היום שקדם ליום ראשית התחולה;</w:t>
      </w:r>
    </w:p>
    <w:p w14:paraId="55214F4E" w14:textId="77777777" w:rsidR="00972C9F" w:rsidRDefault="00972C9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איגרת חוב אחרת </w:t>
      </w:r>
      <w:r>
        <w:rPr>
          <w:rStyle w:val="default"/>
          <w:rFonts w:cs="FrankRuehl"/>
          <w:rtl/>
        </w:rPr>
        <w:t>–</w:t>
      </w:r>
      <w:r>
        <w:rPr>
          <w:rStyle w:val="default"/>
          <w:rFonts w:cs="FrankRuehl" w:hint="cs"/>
          <w:rtl/>
        </w:rPr>
        <w:t xml:space="preserve"> יום ז' בטבת התשס"ד (1 בינואר 2004) או יום ראשית התחולה, לפי המוקדם;</w:t>
      </w:r>
    </w:p>
    <w:p w14:paraId="79EC39F3" w14:textId="77777777" w:rsidR="00972C9F" w:rsidRDefault="00972C9F">
      <w:pPr>
        <w:pStyle w:val="P00"/>
        <w:spacing w:before="72"/>
        <w:ind w:left="0" w:right="1134"/>
        <w:rPr>
          <w:rStyle w:val="default"/>
          <w:rFonts w:cs="FrankRuehl" w:hint="cs"/>
          <w:rtl/>
        </w:rPr>
      </w:pPr>
      <w:r>
        <w:rPr>
          <w:rStyle w:val="default"/>
          <w:rFonts w:cs="FrankRuehl" w:hint="cs"/>
          <w:rtl/>
        </w:rPr>
        <w:tab/>
        <w:t xml:space="preserve">"יום ראשית התחולה" </w:t>
      </w:r>
      <w:r>
        <w:rPr>
          <w:rStyle w:val="default"/>
          <w:rFonts w:cs="FrankRuehl"/>
          <w:rtl/>
        </w:rPr>
        <w:t>–</w:t>
      </w:r>
      <w:r>
        <w:rPr>
          <w:rStyle w:val="default"/>
          <w:rFonts w:cs="FrankRuehl" w:hint="cs"/>
          <w:rtl/>
        </w:rPr>
        <w:t xml:space="preserve"> היום שבו החלו לחול על הנישום המחזיק בנייר הערך הוראות פרק ב' לחוק, או הוראות לפי סעיף 130א לפקודה, לפי הענין;</w:t>
      </w:r>
    </w:p>
    <w:p w14:paraId="76781E94" w14:textId="77777777" w:rsidR="00972C9F" w:rsidRDefault="00972C9F">
      <w:pPr>
        <w:pStyle w:val="P00"/>
        <w:spacing w:before="72"/>
        <w:ind w:left="0" w:right="1134"/>
        <w:rPr>
          <w:rStyle w:val="default"/>
          <w:rFonts w:cs="FrankRuehl" w:hint="cs"/>
          <w:rtl/>
        </w:rPr>
      </w:pPr>
      <w:r>
        <w:rPr>
          <w:rStyle w:val="default"/>
          <w:rFonts w:cs="FrankRuehl" w:hint="cs"/>
          <w:rtl/>
        </w:rPr>
        <w:tab/>
        <w:t xml:space="preserve">"יום הרכישה" </w:t>
      </w:r>
      <w:r>
        <w:rPr>
          <w:rStyle w:val="default"/>
          <w:rFonts w:cs="FrankRuehl"/>
          <w:rtl/>
        </w:rPr>
        <w:t>–</w:t>
      </w:r>
      <w:r>
        <w:rPr>
          <w:rStyle w:val="default"/>
          <w:rFonts w:cs="FrankRuehl" w:hint="cs"/>
          <w:rtl/>
        </w:rPr>
        <w:t xml:space="preserve"> כהגדרתו בסעיף 88 לפקודה.</w:t>
      </w:r>
    </w:p>
    <w:p w14:paraId="793A04FB" w14:textId="77777777" w:rsidR="00972C9F" w:rsidRDefault="00972C9F">
      <w:pPr>
        <w:pStyle w:val="P00"/>
        <w:spacing w:before="72"/>
        <w:ind w:left="0" w:right="1134"/>
        <w:rPr>
          <w:rStyle w:val="default"/>
          <w:rFonts w:cs="FrankRuehl" w:hint="cs"/>
          <w:rtl/>
        </w:rPr>
      </w:pPr>
      <w:bookmarkStart w:id="1" w:name="Seif1"/>
      <w:bookmarkEnd w:id="1"/>
      <w:r>
        <w:rPr>
          <w:lang w:val="he-IL"/>
        </w:rPr>
        <w:pict w14:anchorId="4CBC5137">
          <v:rect id="_x0000_s1120" style="position:absolute;left:0;text-align:left;margin-left:464.5pt;margin-top:8.05pt;width:75.05pt;height:16.5pt;z-index:251657728" o:allowincell="f" filled="f" stroked="f" strokecolor="lime" strokeweight=".25pt">
            <v:textbox inset="0,0,0,0">
              <w:txbxContent>
                <w:p w14:paraId="03A109B7" w14:textId="77777777" w:rsidR="00972C9F" w:rsidRDefault="00972C9F">
                  <w:pPr>
                    <w:spacing w:line="160" w:lineRule="exact"/>
                    <w:jc w:val="left"/>
                    <w:rPr>
                      <w:rFonts w:cs="Miriam" w:hint="cs"/>
                      <w:noProof/>
                      <w:szCs w:val="18"/>
                      <w:rtl/>
                    </w:rPr>
                  </w:pPr>
                  <w:r>
                    <w:rPr>
                      <w:rFonts w:cs="Miriam" w:hint="cs"/>
                      <w:szCs w:val="18"/>
                      <w:rtl/>
                    </w:rPr>
                    <w:t>קביעת מחיר מקורי בנייר ערך חייב</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לענין נישום שהיה ברשותו נייר ערך ביום ראשית התחולה, ושאילו היה נייר הערך נמכר ביום שקדם לאותו מועד היה רווח ההון במכירתו חייב במס, יראו את המחיר המקורי המתואם של אותו נייר ערך כמחיר המקורי של נייר הערך, כשהוא מתואם מיום רכישתו או מהיום הקובע, לפי הענין, עד לתום שנת המס שבה נמכר.</w:t>
      </w:r>
    </w:p>
    <w:p w14:paraId="41DDFCB5" w14:textId="77777777" w:rsidR="00972C9F" w:rsidRDefault="00972C9F">
      <w:pPr>
        <w:pStyle w:val="P00"/>
        <w:spacing w:before="72"/>
        <w:ind w:left="0" w:right="1134"/>
        <w:rPr>
          <w:rStyle w:val="default"/>
          <w:rFonts w:cs="FrankRuehl" w:hint="cs"/>
          <w:rtl/>
        </w:rPr>
      </w:pPr>
      <w:bookmarkStart w:id="2" w:name="Seif2"/>
      <w:bookmarkEnd w:id="2"/>
      <w:r>
        <w:rPr>
          <w:lang w:val="he-IL"/>
        </w:rPr>
        <w:pict w14:anchorId="6F8480FF">
          <v:rect id="_x0000_s1124" style="position:absolute;left:0;text-align:left;margin-left:464.5pt;margin-top:8.05pt;width:75.05pt;height:35.95pt;z-index:251658752" o:allowincell="f" filled="f" stroked="f" strokecolor="lime" strokeweight=".25pt">
            <v:textbox inset="0,0,0,0">
              <w:txbxContent>
                <w:p w14:paraId="2E3D3867" w14:textId="77777777" w:rsidR="00972C9F" w:rsidRDefault="00972C9F">
                  <w:pPr>
                    <w:spacing w:line="160" w:lineRule="exact"/>
                    <w:jc w:val="left"/>
                    <w:rPr>
                      <w:rFonts w:cs="Miriam" w:hint="cs"/>
                      <w:noProof/>
                      <w:szCs w:val="18"/>
                      <w:rtl/>
                    </w:rPr>
                  </w:pPr>
                  <w:r>
                    <w:rPr>
                      <w:rFonts w:cs="Miriam" w:hint="cs"/>
                      <w:szCs w:val="18"/>
                      <w:rtl/>
                    </w:rPr>
                    <w:t>הוראות לענין נייר ערך שהיה ברשותו של נישום ביום הקובע</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יראו כמחיר המקורי של נייר ערך את מחירו המקורי כשהוא מתואם מיום רכישתו ועד ליום שקדם ליום ראשית התחולה, אם התקיימו כל אלה:</w:t>
      </w:r>
    </w:p>
    <w:p w14:paraId="7C347867" w14:textId="77777777" w:rsidR="00972C9F" w:rsidRDefault="00972C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נייר הערך היה ברשותו של הנישום לפני היום הקובע;</w:t>
      </w:r>
    </w:p>
    <w:p w14:paraId="03FC00A8" w14:textId="77777777" w:rsidR="00972C9F" w:rsidRDefault="00972C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יום ראשית התחולה היה ביום הקובע;</w:t>
      </w:r>
    </w:p>
    <w:p w14:paraId="75B1DC9C" w14:textId="77777777" w:rsidR="00972C9F" w:rsidRDefault="00972C9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אילו היה נייר הערך נמכר על ידי הנישום ביום שקדם ליום ראשית התחולה, היה רווח ההון במכירתו פטור ממס;</w:t>
      </w:r>
    </w:p>
    <w:p w14:paraId="436933A0" w14:textId="77777777" w:rsidR="00972C9F" w:rsidRDefault="00972C9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הנישום הוכיח כי מחירו המקורי של נייר הערך כשהוא מתואם מיום רכישתו ועד ליום שקדם ליום ראשית התחולה היה גבוה מערכו בתום שנת המס שקדמה ליום ראשית התחולה.</w:t>
      </w:r>
    </w:p>
    <w:p w14:paraId="35EE4AC8" w14:textId="77777777" w:rsidR="00972C9F" w:rsidRDefault="00972C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 מחירו המקורי של נייר הערך כאמור בתקנת משנה (א), יראו את היום הקובע כיום הרכישה של נייר הערך, ויחולו הוראות סעיף 105יג(ב)(1) ו-(2) לפקודה, בשינויים המחויבים.</w:t>
      </w:r>
    </w:p>
    <w:p w14:paraId="11B7A357" w14:textId="77777777" w:rsidR="00972C9F" w:rsidRDefault="00972C9F">
      <w:pPr>
        <w:pStyle w:val="P00"/>
        <w:spacing w:before="72"/>
        <w:ind w:left="0" w:right="1134"/>
        <w:rPr>
          <w:rFonts w:hint="cs"/>
          <w:rtl/>
        </w:rPr>
      </w:pPr>
    </w:p>
    <w:p w14:paraId="4D01FB6C" w14:textId="77777777" w:rsidR="00972C9F" w:rsidRDefault="00972C9F">
      <w:pPr>
        <w:pStyle w:val="P00"/>
        <w:spacing w:before="72"/>
        <w:ind w:left="0" w:right="1134"/>
        <w:rPr>
          <w:rFonts w:hint="cs"/>
          <w:rtl/>
        </w:rPr>
      </w:pPr>
    </w:p>
    <w:p w14:paraId="60174EA0" w14:textId="77777777" w:rsidR="00972C9F" w:rsidRDefault="00972C9F">
      <w:pPr>
        <w:pStyle w:val="P00"/>
        <w:spacing w:before="72"/>
        <w:ind w:left="0" w:right="1134"/>
        <w:rPr>
          <w:rFonts w:hint="cs"/>
          <w:rtl/>
        </w:rPr>
      </w:pPr>
      <w:r>
        <w:rPr>
          <w:rFonts w:hint="cs"/>
          <w:rtl/>
        </w:rPr>
        <w:t>י"ח בתמוז התשס"ה (25 ביולי 2005)</w:t>
      </w:r>
    </w:p>
    <w:p w14:paraId="79303BA5" w14:textId="77777777" w:rsidR="00972C9F" w:rsidRDefault="00972C9F">
      <w:pPr>
        <w:pStyle w:val="sig-0"/>
        <w:tabs>
          <w:tab w:val="clear" w:pos="4820"/>
          <w:tab w:val="center" w:pos="5670"/>
        </w:tabs>
        <w:ind w:left="0" w:right="1134"/>
        <w:rPr>
          <w:rtl/>
        </w:rPr>
      </w:pPr>
      <w:r>
        <w:rPr>
          <w:rFonts w:hint="cs"/>
          <w:rtl/>
        </w:rPr>
        <w:tab/>
        <w:t>בנימין נתניהו</w:t>
      </w:r>
    </w:p>
    <w:p w14:paraId="4A6D1BE2" w14:textId="77777777" w:rsidR="00972C9F" w:rsidRDefault="00972C9F">
      <w:pPr>
        <w:pStyle w:val="sig-1"/>
        <w:widowControl/>
        <w:tabs>
          <w:tab w:val="clear" w:pos="851"/>
          <w:tab w:val="clear" w:pos="2835"/>
          <w:tab w:val="clear" w:pos="4820"/>
          <w:tab w:val="center" w:pos="5670"/>
        </w:tabs>
        <w:ind w:left="0" w:right="1134"/>
        <w:rPr>
          <w:rtl/>
        </w:rPr>
      </w:pPr>
      <w:r>
        <w:rPr>
          <w:rFonts w:hint="cs"/>
          <w:rtl/>
        </w:rPr>
        <w:tab/>
        <w:t>שר האוצר</w:t>
      </w:r>
    </w:p>
    <w:p w14:paraId="56D37927" w14:textId="77777777" w:rsidR="00972C9F" w:rsidRDefault="00972C9F">
      <w:pPr>
        <w:pStyle w:val="sig-1"/>
        <w:widowControl/>
        <w:ind w:left="0" w:right="1134"/>
        <w:rPr>
          <w:rtl/>
        </w:rPr>
      </w:pPr>
    </w:p>
    <w:sectPr w:rsidR="00972C9F">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DF23" w14:textId="77777777" w:rsidR="00B2586C" w:rsidRDefault="00B2586C">
      <w:r>
        <w:separator/>
      </w:r>
    </w:p>
  </w:endnote>
  <w:endnote w:type="continuationSeparator" w:id="0">
    <w:p w14:paraId="4AAB50DE" w14:textId="77777777" w:rsidR="00B2586C" w:rsidRDefault="00B2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1E1F" w14:textId="77777777" w:rsidR="00972C9F" w:rsidRDefault="00972C9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8A67146" w14:textId="77777777" w:rsidR="00972C9F" w:rsidRDefault="00972C9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548323" w14:textId="77777777" w:rsidR="00972C9F" w:rsidRDefault="00972C9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M:\-000000-law\0-yael\05-08-04\999_458.doc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A300" w14:textId="77777777" w:rsidR="00972C9F" w:rsidRDefault="00972C9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D32B1">
      <w:rPr>
        <w:rFonts w:hAnsi="FrankRuehl"/>
        <w:noProof/>
        <w:sz w:val="24"/>
        <w:szCs w:val="24"/>
        <w:rtl/>
      </w:rPr>
      <w:t>2</w:t>
    </w:r>
    <w:r>
      <w:rPr>
        <w:rFonts w:hAnsi="FrankRuehl"/>
        <w:sz w:val="24"/>
        <w:szCs w:val="24"/>
        <w:rtl/>
      </w:rPr>
      <w:fldChar w:fldCharType="end"/>
    </w:r>
  </w:p>
  <w:p w14:paraId="19D92C7D" w14:textId="77777777" w:rsidR="00972C9F" w:rsidRDefault="00972C9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8C8A0F" w14:textId="77777777" w:rsidR="00972C9F" w:rsidRDefault="00972C9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M:\-000000-law\0-yael\05-08-04\999_458.doc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A48E" w14:textId="77777777" w:rsidR="00B2586C" w:rsidRDefault="00B2586C">
      <w:r>
        <w:separator/>
      </w:r>
    </w:p>
  </w:footnote>
  <w:footnote w:type="continuationSeparator" w:id="0">
    <w:p w14:paraId="346CC93B" w14:textId="77777777" w:rsidR="00B2586C" w:rsidRDefault="00B2586C">
      <w:r>
        <w:continuationSeparator/>
      </w:r>
    </w:p>
  </w:footnote>
  <w:footnote w:id="1">
    <w:p w14:paraId="4C87FE62" w14:textId="77777777" w:rsidR="00972C9F" w:rsidRDefault="00972C9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6402</w:t>
        </w:r>
      </w:hyperlink>
      <w:r>
        <w:rPr>
          <w:rFonts w:hint="cs"/>
          <w:sz w:val="20"/>
          <w:rtl/>
        </w:rPr>
        <w:t xml:space="preserve"> מיום 25.7.2005 עמ' 818.</w:t>
      </w:r>
    </w:p>
    <w:p w14:paraId="1836E087" w14:textId="77777777" w:rsidR="00972C9F" w:rsidRDefault="00972C9F">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55B5" w14:textId="77777777" w:rsidR="00972C9F" w:rsidRDefault="00972C9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E0CC5C4" w14:textId="77777777" w:rsidR="00972C9F" w:rsidRDefault="00972C9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B0BAED7" w14:textId="77777777" w:rsidR="00972C9F" w:rsidRDefault="00972C9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2847" w14:textId="77777777" w:rsidR="00972C9F" w:rsidRDefault="00972C9F">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הכנסה (תיאומים בשל אינפלציה) (הוראות לענין נישום שהיה ברשותו נייר ערך במועד שהוחלו לגביו הוראות החוק)</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011EEC16" w14:textId="77777777" w:rsidR="00972C9F" w:rsidRDefault="00972C9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A53B5A0" w14:textId="77777777" w:rsidR="00972C9F" w:rsidRDefault="00972C9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C9F"/>
    <w:rsid w:val="00711CB8"/>
    <w:rsid w:val="008138C5"/>
    <w:rsid w:val="00855EBE"/>
    <w:rsid w:val="00972866"/>
    <w:rsid w:val="00972C9F"/>
    <w:rsid w:val="00B2586C"/>
    <w:rsid w:val="00BD32B1"/>
    <w:rsid w:val="00EA7D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DB3720"/>
  <w15:chartTrackingRefBased/>
  <w15:docId w15:val="{A0E82A71-E928-40FD-8D93-610B9474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2407</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0</vt:i4>
      </vt:variant>
      <vt:variant>
        <vt:i4>0</vt:i4>
      </vt:variant>
      <vt:variant>
        <vt:i4>5</vt:i4>
      </vt:variant>
      <vt:variant>
        <vt:lpwstr>http://www.nevo.co.il/Law_word/law06/tak-6402.pdf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הכנסה</vt:lpwstr>
  </property>
  <property fmtid="{D5CDD505-2E9C-101B-9397-08002B2CF9AE}" pid="4" name="LAWNAME">
    <vt:lpwstr>תקנות מס הכנסה (תיאומים בשל אינפלציה) (הוראות לענין נישום שהיה ברשותו נייר ערך במועד שהוחלו לגביו הוראות החוק), תשס"ה-2005</vt:lpwstr>
  </property>
  <property fmtid="{D5CDD505-2E9C-101B-9397-08002B2CF9AE}" pid="5" name="LAWNUMBER">
    <vt:lpwstr>0458</vt:lpwstr>
  </property>
  <property fmtid="{D5CDD505-2E9C-101B-9397-08002B2CF9AE}" pid="6" name="TYPE">
    <vt:lpwstr>01</vt:lpwstr>
  </property>
  <property fmtid="{D5CDD505-2E9C-101B-9397-08002B2CF9AE}" pid="7" name="LINKK1">
    <vt:lpwstr>http://www.nevo.co.il/Law_word/law06/tak-6402.pdf;רשומות – תקנות כלליות#פורסמו ק"ת תשס"ה מס' 6402#מיום 25.7.2005#עמ' 818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מס הכנסה (תיאומים בשל אינפלציה)</vt:lpwstr>
  </property>
  <property fmtid="{D5CDD505-2E9C-101B-9397-08002B2CF9AE}" pid="23" name="MEKOR_SAIF1">
    <vt:lpwstr>6XטX3X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אינפלציה</vt:lpwstr>
  </property>
  <property fmtid="{D5CDD505-2E9C-101B-9397-08002B2CF9AE}" pid="27" name="NOSE41">
    <vt:lpwstr>תיאומים בשל אינפלציה</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ניירות ערך</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