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7F33B" w14:textId="77777777" w:rsidR="006511DD" w:rsidRDefault="006511DD" w:rsidP="009E01B6">
      <w:pPr>
        <w:pStyle w:val="big-header"/>
        <w:ind w:left="0" w:right="1134"/>
        <w:rPr>
          <w:rFonts w:cs="FrankRuehl" w:hint="cs"/>
          <w:sz w:val="32"/>
          <w:rtl/>
        </w:rPr>
      </w:pPr>
      <w:r>
        <w:rPr>
          <w:rFonts w:cs="FrankRuehl" w:hint="cs"/>
          <w:sz w:val="32"/>
          <w:rtl/>
        </w:rPr>
        <w:t>תקנות מס הכנסה (תכנון מס החייב בדיווח), תשס"ז-2006</w:t>
      </w:r>
    </w:p>
    <w:p w14:paraId="338ACCF7" w14:textId="77777777" w:rsidR="00082E86" w:rsidRDefault="00082E86" w:rsidP="00082E86">
      <w:pPr>
        <w:spacing w:line="320" w:lineRule="auto"/>
        <w:rPr>
          <w:rFonts w:hint="cs"/>
          <w:rtl/>
        </w:rPr>
      </w:pPr>
    </w:p>
    <w:p w14:paraId="6EE5F1D9" w14:textId="77777777" w:rsidR="007D4B99" w:rsidRDefault="007D4B99" w:rsidP="00082E86">
      <w:pPr>
        <w:spacing w:line="320" w:lineRule="auto"/>
        <w:rPr>
          <w:rFonts w:hint="cs"/>
          <w:rtl/>
        </w:rPr>
      </w:pPr>
    </w:p>
    <w:p w14:paraId="067C1509" w14:textId="77777777" w:rsidR="00082E86" w:rsidRPr="00082E86" w:rsidRDefault="00082E86" w:rsidP="00082E86">
      <w:pPr>
        <w:spacing w:line="320" w:lineRule="auto"/>
        <w:rPr>
          <w:rFonts w:cs="Miriam"/>
          <w:szCs w:val="22"/>
          <w:rtl/>
        </w:rPr>
      </w:pPr>
      <w:r w:rsidRPr="00082E86">
        <w:rPr>
          <w:rFonts w:cs="Miriam"/>
          <w:szCs w:val="22"/>
          <w:rtl/>
        </w:rPr>
        <w:t>מסים</w:t>
      </w:r>
      <w:r w:rsidRPr="00082E86">
        <w:rPr>
          <w:rFonts w:cs="FrankRuehl"/>
          <w:szCs w:val="26"/>
          <w:rtl/>
        </w:rPr>
        <w:t xml:space="preserve"> – מס הכנסה – תכנון – מס החייב בדיווח</w:t>
      </w:r>
    </w:p>
    <w:p w14:paraId="613FAFD7" w14:textId="77777777" w:rsidR="006511DD" w:rsidRDefault="006511DD">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511DD" w14:paraId="2AE96436" w14:textId="77777777">
        <w:tblPrEx>
          <w:tblCellMar>
            <w:top w:w="0" w:type="dxa"/>
            <w:bottom w:w="0" w:type="dxa"/>
          </w:tblCellMar>
        </w:tblPrEx>
        <w:trPr>
          <w:jc w:val="right"/>
        </w:trPr>
        <w:tc>
          <w:tcPr>
            <w:tcW w:w="850" w:type="dxa"/>
          </w:tcPr>
          <w:p w14:paraId="6349C670" w14:textId="77777777" w:rsidR="006511DD" w:rsidRDefault="006511DD">
            <w:pPr>
              <w:rPr>
                <w:rFonts w:hint="cs"/>
              </w:rPr>
            </w:pPr>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14:paraId="204E8FC8" w14:textId="77777777" w:rsidR="006511DD" w:rsidRDefault="006511DD">
            <w:pPr>
              <w:rPr>
                <w:rFonts w:hint="cs"/>
              </w:rPr>
            </w:pPr>
            <w:hyperlink w:anchor="Seif0" w:tooltip="הגדרות" w:history="1">
              <w:r>
                <w:rPr>
                  <w:rStyle w:val="Hyperlink"/>
                </w:rPr>
                <w:t>Go</w:t>
              </w:r>
            </w:hyperlink>
          </w:p>
        </w:tc>
        <w:tc>
          <w:tcPr>
            <w:tcW w:w="5669" w:type="dxa"/>
          </w:tcPr>
          <w:p w14:paraId="00EE9E03" w14:textId="77777777" w:rsidR="006511DD" w:rsidRDefault="006511DD">
            <w:pPr>
              <w:rPr>
                <w:rtl/>
              </w:rPr>
            </w:pPr>
            <w:r>
              <w:rPr>
                <w:rtl/>
              </w:rPr>
              <w:t>הגדרות</w:t>
            </w:r>
          </w:p>
        </w:tc>
        <w:tc>
          <w:tcPr>
            <w:tcW w:w="1247" w:type="dxa"/>
          </w:tcPr>
          <w:p w14:paraId="5D308EF6" w14:textId="77777777" w:rsidR="006511DD" w:rsidRDefault="006511DD">
            <w:pPr>
              <w:rPr>
                <w:rFonts w:hint="cs"/>
              </w:rPr>
            </w:pPr>
            <w:r>
              <w:rPr>
                <w:rtl/>
              </w:rPr>
              <w:t xml:space="preserve">סעיף 1 </w:t>
            </w:r>
          </w:p>
        </w:tc>
      </w:tr>
      <w:tr w:rsidR="006511DD" w14:paraId="23D44EE2" w14:textId="77777777">
        <w:tblPrEx>
          <w:tblCellMar>
            <w:top w:w="0" w:type="dxa"/>
            <w:bottom w:w="0" w:type="dxa"/>
          </w:tblCellMar>
        </w:tblPrEx>
        <w:trPr>
          <w:jc w:val="right"/>
        </w:trPr>
        <w:tc>
          <w:tcPr>
            <w:tcW w:w="850" w:type="dxa"/>
          </w:tcPr>
          <w:p w14:paraId="56B63FB0" w14:textId="77777777" w:rsidR="006511DD" w:rsidRDefault="006511DD">
            <w:pPr>
              <w:rPr>
                <w:rFonts w:hint="cs"/>
              </w:rPr>
            </w:pPr>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2</w:t>
            </w:r>
            <w:r>
              <w:rPr>
                <w:rtl/>
              </w:rPr>
              <w:fldChar w:fldCharType="end"/>
            </w:r>
          </w:p>
        </w:tc>
        <w:tc>
          <w:tcPr>
            <w:tcW w:w="567" w:type="dxa"/>
          </w:tcPr>
          <w:p w14:paraId="28B61523" w14:textId="77777777" w:rsidR="006511DD" w:rsidRDefault="006511DD">
            <w:pPr>
              <w:rPr>
                <w:rFonts w:hint="cs"/>
              </w:rPr>
            </w:pPr>
            <w:hyperlink w:anchor="Seif1" w:tooltip="פעולות שהן תכנון מס החייב בדיווח" w:history="1">
              <w:r>
                <w:rPr>
                  <w:rStyle w:val="Hyperlink"/>
                </w:rPr>
                <w:t>Go</w:t>
              </w:r>
            </w:hyperlink>
          </w:p>
        </w:tc>
        <w:tc>
          <w:tcPr>
            <w:tcW w:w="5669" w:type="dxa"/>
          </w:tcPr>
          <w:p w14:paraId="6C559D27" w14:textId="77777777" w:rsidR="006511DD" w:rsidRDefault="006511DD">
            <w:pPr>
              <w:rPr>
                <w:rtl/>
              </w:rPr>
            </w:pPr>
            <w:r>
              <w:rPr>
                <w:rtl/>
              </w:rPr>
              <w:t>פעולות שהן תכנון מס החייב בדיווח</w:t>
            </w:r>
          </w:p>
        </w:tc>
        <w:tc>
          <w:tcPr>
            <w:tcW w:w="1247" w:type="dxa"/>
          </w:tcPr>
          <w:p w14:paraId="2B7ADF46" w14:textId="77777777" w:rsidR="006511DD" w:rsidRDefault="006511DD">
            <w:pPr>
              <w:rPr>
                <w:rFonts w:hint="cs"/>
              </w:rPr>
            </w:pPr>
            <w:r>
              <w:rPr>
                <w:rtl/>
              </w:rPr>
              <w:t xml:space="preserve">סעיף 2 </w:t>
            </w:r>
          </w:p>
        </w:tc>
      </w:tr>
      <w:tr w:rsidR="006511DD" w14:paraId="5E6C791A" w14:textId="77777777">
        <w:tblPrEx>
          <w:tblCellMar>
            <w:top w:w="0" w:type="dxa"/>
            <w:bottom w:w="0" w:type="dxa"/>
          </w:tblCellMar>
        </w:tblPrEx>
        <w:trPr>
          <w:jc w:val="right"/>
        </w:trPr>
        <w:tc>
          <w:tcPr>
            <w:tcW w:w="850" w:type="dxa"/>
          </w:tcPr>
          <w:p w14:paraId="22E2EE66" w14:textId="77777777" w:rsidR="006511DD" w:rsidRDefault="006511DD">
            <w:pPr>
              <w:rPr>
                <w:rFonts w:hint="cs"/>
              </w:rPr>
            </w:pPr>
            <w:r>
              <w:rPr>
                <w:rtl/>
              </w:rPr>
              <w:fldChar w:fldCharType="begin"/>
            </w:r>
            <w:r>
              <w:rPr>
                <w:rtl/>
              </w:rPr>
              <w:instrText xml:space="preserve"> </w:instrText>
            </w:r>
            <w:r>
              <w:instrText>PAGEREF Seif2</w:instrText>
            </w:r>
            <w:r>
              <w:rPr>
                <w:rtl/>
              </w:rPr>
              <w:instrText xml:space="preserve"> </w:instrText>
            </w:r>
            <w:r>
              <w:rPr>
                <w:rtl/>
              </w:rPr>
              <w:fldChar w:fldCharType="separate"/>
            </w:r>
            <w:r>
              <w:rPr>
                <w:rtl/>
              </w:rPr>
              <w:t>5</w:t>
            </w:r>
            <w:r>
              <w:rPr>
                <w:rtl/>
              </w:rPr>
              <w:fldChar w:fldCharType="end"/>
            </w:r>
          </w:p>
        </w:tc>
        <w:tc>
          <w:tcPr>
            <w:tcW w:w="567" w:type="dxa"/>
          </w:tcPr>
          <w:p w14:paraId="76E07EAA" w14:textId="77777777" w:rsidR="006511DD" w:rsidRDefault="006511DD">
            <w:pPr>
              <w:rPr>
                <w:rFonts w:hint="cs"/>
              </w:rPr>
            </w:pPr>
            <w:hyperlink w:anchor="Seif2" w:tooltip="אופן הדיווח והיקפו" w:history="1">
              <w:r>
                <w:rPr>
                  <w:rStyle w:val="Hyperlink"/>
                </w:rPr>
                <w:t>Go</w:t>
              </w:r>
            </w:hyperlink>
          </w:p>
        </w:tc>
        <w:tc>
          <w:tcPr>
            <w:tcW w:w="5669" w:type="dxa"/>
          </w:tcPr>
          <w:p w14:paraId="1D684821" w14:textId="77777777" w:rsidR="006511DD" w:rsidRDefault="006511DD">
            <w:pPr>
              <w:rPr>
                <w:rtl/>
              </w:rPr>
            </w:pPr>
            <w:r>
              <w:rPr>
                <w:rtl/>
              </w:rPr>
              <w:t>אופן הדיווח והיקפו</w:t>
            </w:r>
          </w:p>
        </w:tc>
        <w:tc>
          <w:tcPr>
            <w:tcW w:w="1247" w:type="dxa"/>
          </w:tcPr>
          <w:p w14:paraId="44A3E3F1" w14:textId="77777777" w:rsidR="006511DD" w:rsidRDefault="006511DD">
            <w:pPr>
              <w:rPr>
                <w:rFonts w:hint="cs"/>
              </w:rPr>
            </w:pPr>
            <w:r>
              <w:rPr>
                <w:rtl/>
              </w:rPr>
              <w:t xml:space="preserve">סעיף 3 </w:t>
            </w:r>
          </w:p>
        </w:tc>
      </w:tr>
      <w:tr w:rsidR="006511DD" w14:paraId="49596F80" w14:textId="77777777">
        <w:tblPrEx>
          <w:tblCellMar>
            <w:top w:w="0" w:type="dxa"/>
            <w:bottom w:w="0" w:type="dxa"/>
          </w:tblCellMar>
        </w:tblPrEx>
        <w:trPr>
          <w:jc w:val="right"/>
        </w:trPr>
        <w:tc>
          <w:tcPr>
            <w:tcW w:w="850" w:type="dxa"/>
          </w:tcPr>
          <w:p w14:paraId="026ED183" w14:textId="77777777" w:rsidR="006511DD" w:rsidRDefault="006511DD">
            <w:pPr>
              <w:rPr>
                <w:rFonts w:hint="cs"/>
              </w:rPr>
            </w:pPr>
            <w:r>
              <w:rPr>
                <w:rtl/>
              </w:rPr>
              <w:fldChar w:fldCharType="begin"/>
            </w:r>
            <w:r>
              <w:rPr>
                <w:rtl/>
              </w:rPr>
              <w:instrText xml:space="preserve"> </w:instrText>
            </w:r>
            <w:r>
              <w:instrText>PAGEREF Seif3</w:instrText>
            </w:r>
            <w:r>
              <w:rPr>
                <w:rtl/>
              </w:rPr>
              <w:instrText xml:space="preserve"> </w:instrText>
            </w:r>
            <w:r>
              <w:rPr>
                <w:rtl/>
              </w:rPr>
              <w:fldChar w:fldCharType="separate"/>
            </w:r>
            <w:r>
              <w:rPr>
                <w:rtl/>
              </w:rPr>
              <w:t>5</w:t>
            </w:r>
            <w:r>
              <w:rPr>
                <w:rtl/>
              </w:rPr>
              <w:fldChar w:fldCharType="end"/>
            </w:r>
          </w:p>
        </w:tc>
        <w:tc>
          <w:tcPr>
            <w:tcW w:w="567" w:type="dxa"/>
          </w:tcPr>
          <w:p w14:paraId="706833C0" w14:textId="77777777" w:rsidR="006511DD" w:rsidRDefault="006511DD">
            <w:pPr>
              <w:rPr>
                <w:rFonts w:hint="cs"/>
              </w:rPr>
            </w:pPr>
            <w:hyperlink w:anchor="Seif3" w:tooltip="אי תחולה" w:history="1">
              <w:r>
                <w:rPr>
                  <w:rStyle w:val="Hyperlink"/>
                </w:rPr>
                <w:t>Go</w:t>
              </w:r>
            </w:hyperlink>
          </w:p>
        </w:tc>
        <w:tc>
          <w:tcPr>
            <w:tcW w:w="5669" w:type="dxa"/>
          </w:tcPr>
          <w:p w14:paraId="6896508D" w14:textId="77777777" w:rsidR="006511DD" w:rsidRDefault="006511DD">
            <w:pPr>
              <w:rPr>
                <w:rtl/>
              </w:rPr>
            </w:pPr>
            <w:r>
              <w:rPr>
                <w:rtl/>
              </w:rPr>
              <w:t>אי תחולה</w:t>
            </w:r>
          </w:p>
        </w:tc>
        <w:tc>
          <w:tcPr>
            <w:tcW w:w="1247" w:type="dxa"/>
          </w:tcPr>
          <w:p w14:paraId="699D0F1B" w14:textId="77777777" w:rsidR="006511DD" w:rsidRDefault="006511DD">
            <w:pPr>
              <w:rPr>
                <w:rFonts w:hint="cs"/>
              </w:rPr>
            </w:pPr>
            <w:r>
              <w:rPr>
                <w:rtl/>
              </w:rPr>
              <w:t xml:space="preserve">סעיף 4 </w:t>
            </w:r>
          </w:p>
        </w:tc>
      </w:tr>
      <w:tr w:rsidR="006511DD" w14:paraId="0AD6A527" w14:textId="77777777">
        <w:tblPrEx>
          <w:tblCellMar>
            <w:top w:w="0" w:type="dxa"/>
            <w:bottom w:w="0" w:type="dxa"/>
          </w:tblCellMar>
        </w:tblPrEx>
        <w:trPr>
          <w:jc w:val="right"/>
        </w:trPr>
        <w:tc>
          <w:tcPr>
            <w:tcW w:w="850" w:type="dxa"/>
          </w:tcPr>
          <w:p w14:paraId="07176289" w14:textId="77777777" w:rsidR="006511DD" w:rsidRDefault="006511DD">
            <w:pPr>
              <w:rPr>
                <w:rFonts w:hint="cs"/>
              </w:rPr>
            </w:pPr>
            <w:r>
              <w:rPr>
                <w:rtl/>
              </w:rPr>
              <w:fldChar w:fldCharType="begin"/>
            </w:r>
            <w:r>
              <w:rPr>
                <w:rtl/>
              </w:rPr>
              <w:instrText xml:space="preserve"> </w:instrText>
            </w:r>
            <w:r>
              <w:instrText>PAGEREF Seif4</w:instrText>
            </w:r>
            <w:r>
              <w:rPr>
                <w:rtl/>
              </w:rPr>
              <w:instrText xml:space="preserve"> </w:instrText>
            </w:r>
            <w:r>
              <w:rPr>
                <w:rtl/>
              </w:rPr>
              <w:fldChar w:fldCharType="separate"/>
            </w:r>
            <w:r>
              <w:rPr>
                <w:rtl/>
              </w:rPr>
              <w:t>5</w:t>
            </w:r>
            <w:r>
              <w:rPr>
                <w:rtl/>
              </w:rPr>
              <w:fldChar w:fldCharType="end"/>
            </w:r>
          </w:p>
        </w:tc>
        <w:tc>
          <w:tcPr>
            <w:tcW w:w="567" w:type="dxa"/>
          </w:tcPr>
          <w:p w14:paraId="272BDDDD" w14:textId="77777777" w:rsidR="006511DD" w:rsidRDefault="006511DD">
            <w:pPr>
              <w:rPr>
                <w:rFonts w:hint="cs"/>
              </w:rPr>
            </w:pPr>
            <w:hyperlink w:anchor="Seif4" w:tooltip="תחולה" w:history="1">
              <w:r>
                <w:rPr>
                  <w:rStyle w:val="Hyperlink"/>
                </w:rPr>
                <w:t>Go</w:t>
              </w:r>
            </w:hyperlink>
          </w:p>
        </w:tc>
        <w:tc>
          <w:tcPr>
            <w:tcW w:w="5669" w:type="dxa"/>
          </w:tcPr>
          <w:p w14:paraId="58EB34AF" w14:textId="77777777" w:rsidR="006511DD" w:rsidRDefault="006511DD">
            <w:pPr>
              <w:rPr>
                <w:rtl/>
              </w:rPr>
            </w:pPr>
            <w:r>
              <w:rPr>
                <w:rtl/>
              </w:rPr>
              <w:t>תחולה</w:t>
            </w:r>
          </w:p>
        </w:tc>
        <w:tc>
          <w:tcPr>
            <w:tcW w:w="1247" w:type="dxa"/>
          </w:tcPr>
          <w:p w14:paraId="52510FC4" w14:textId="77777777" w:rsidR="006511DD" w:rsidRDefault="006511DD">
            <w:pPr>
              <w:rPr>
                <w:rFonts w:hint="cs"/>
              </w:rPr>
            </w:pPr>
            <w:r>
              <w:rPr>
                <w:rtl/>
              </w:rPr>
              <w:t xml:space="preserve">סעיף 5 </w:t>
            </w:r>
          </w:p>
        </w:tc>
      </w:tr>
    </w:tbl>
    <w:p w14:paraId="678A7F90" w14:textId="77777777" w:rsidR="006511DD" w:rsidRDefault="006511DD">
      <w:pPr>
        <w:pStyle w:val="big-header"/>
        <w:ind w:left="0" w:right="1134"/>
        <w:rPr>
          <w:rFonts w:cs="FrankRuehl" w:hint="cs"/>
          <w:sz w:val="32"/>
          <w:rtl/>
        </w:rPr>
      </w:pPr>
    </w:p>
    <w:p w14:paraId="474CB292" w14:textId="77777777" w:rsidR="006511DD" w:rsidRDefault="006511DD" w:rsidP="00082E86">
      <w:pPr>
        <w:pStyle w:val="big-header"/>
        <w:ind w:left="0" w:right="1134"/>
        <w:rPr>
          <w:rStyle w:val="default"/>
          <w:rFonts w:hint="cs"/>
          <w:sz w:val="22"/>
          <w:szCs w:val="22"/>
          <w:rtl/>
        </w:rPr>
      </w:pPr>
      <w:r>
        <w:rPr>
          <w:rFonts w:cs="FrankRuehl"/>
          <w:sz w:val="32"/>
          <w:rtl/>
        </w:rPr>
        <w:br w:type="page"/>
      </w:r>
      <w:r w:rsidR="009E01B6">
        <w:rPr>
          <w:rFonts w:cs="FrankRuehl" w:hint="cs"/>
          <w:sz w:val="32"/>
          <w:rtl/>
          <w:lang w:eastAsia="en-US"/>
        </w:rPr>
        <w:lastRenderedPageBreak/>
        <w:pict w14:anchorId="353419E5">
          <v:shapetype id="_x0000_t202" coordsize="21600,21600" o:spt="202" path="m,l,21600r21600,l21600,xe">
            <v:stroke joinstyle="miter"/>
            <v:path gradientshapeok="t" o:connecttype="rect"/>
          </v:shapetype>
          <v:shape id="_x0000_s1213" type="#_x0000_t202" style="position:absolute;left:0;text-align:left;margin-left:470.35pt;margin-top:19.85pt;width:1in;height:9pt;z-index:251660288" filled="f" stroked="f">
            <v:textbox inset="1mm,0,1mm,0">
              <w:txbxContent>
                <w:p w14:paraId="30FB354F" w14:textId="77777777" w:rsidR="009E01B6" w:rsidRDefault="009E01B6" w:rsidP="009E01B6">
                  <w:pPr>
                    <w:spacing w:line="160" w:lineRule="exact"/>
                    <w:rPr>
                      <w:rFonts w:cs="Miriam" w:hint="cs"/>
                      <w:noProof/>
                      <w:sz w:val="18"/>
                      <w:szCs w:val="18"/>
                      <w:rtl/>
                    </w:rPr>
                  </w:pPr>
                  <w:r>
                    <w:rPr>
                      <w:rFonts w:cs="Miriam" w:hint="cs"/>
                      <w:sz w:val="18"/>
                      <w:szCs w:val="18"/>
                      <w:rtl/>
                    </w:rPr>
                    <w:t>תק' תש"ע-2009</w:t>
                  </w:r>
                </w:p>
              </w:txbxContent>
            </v:textbox>
            <w10:anchorlock/>
          </v:shape>
        </w:pict>
      </w:r>
      <w:r>
        <w:rPr>
          <w:rFonts w:cs="FrankRuehl" w:hint="cs"/>
          <w:sz w:val="32"/>
          <w:rtl/>
        </w:rPr>
        <w:t>תקנות מס הכנסה (תכנון מס החייב בדיווח), תשס"ז-2006</w:t>
      </w:r>
      <w:r>
        <w:rPr>
          <w:rStyle w:val="default"/>
          <w:sz w:val="22"/>
          <w:szCs w:val="22"/>
          <w:rtl/>
        </w:rPr>
        <w:footnoteReference w:customMarkFollows="1" w:id="1"/>
        <w:t>*</w:t>
      </w:r>
    </w:p>
    <w:p w14:paraId="646B5D29" w14:textId="77777777" w:rsidR="009E01B6" w:rsidRPr="007D4B99" w:rsidRDefault="009E01B6" w:rsidP="009E01B6">
      <w:pPr>
        <w:pStyle w:val="P00"/>
        <w:spacing w:before="0"/>
        <w:ind w:left="0" w:right="1134"/>
        <w:rPr>
          <w:rStyle w:val="default"/>
          <w:rFonts w:cs="FrankRuehl" w:hint="cs"/>
          <w:vanish/>
          <w:color w:val="FF0000"/>
          <w:sz w:val="20"/>
          <w:szCs w:val="20"/>
          <w:shd w:val="clear" w:color="auto" w:fill="FFFF99"/>
          <w:rtl/>
        </w:rPr>
      </w:pPr>
      <w:bookmarkStart w:id="0" w:name="Rov6"/>
      <w:r w:rsidRPr="007D4B99">
        <w:rPr>
          <w:rStyle w:val="default"/>
          <w:rFonts w:cs="FrankRuehl" w:hint="cs"/>
          <w:vanish/>
          <w:color w:val="FF0000"/>
          <w:sz w:val="20"/>
          <w:szCs w:val="20"/>
          <w:shd w:val="clear" w:color="auto" w:fill="FFFF99"/>
          <w:rtl/>
        </w:rPr>
        <w:t>מיום 31.12.2009</w:t>
      </w:r>
    </w:p>
    <w:p w14:paraId="05E1CABC" w14:textId="77777777" w:rsidR="009E01B6" w:rsidRPr="007D4B99" w:rsidRDefault="009E01B6" w:rsidP="009E01B6">
      <w:pPr>
        <w:pStyle w:val="P00"/>
        <w:spacing w:before="0"/>
        <w:ind w:left="0" w:right="1134"/>
        <w:rPr>
          <w:rStyle w:val="default"/>
          <w:rFonts w:cs="FrankRuehl" w:hint="cs"/>
          <w:vanish/>
          <w:sz w:val="20"/>
          <w:szCs w:val="20"/>
          <w:shd w:val="clear" w:color="auto" w:fill="FFFF99"/>
          <w:rtl/>
        </w:rPr>
      </w:pPr>
      <w:r w:rsidRPr="007D4B99">
        <w:rPr>
          <w:rStyle w:val="default"/>
          <w:rFonts w:cs="FrankRuehl" w:hint="cs"/>
          <w:b/>
          <w:bCs/>
          <w:vanish/>
          <w:sz w:val="20"/>
          <w:szCs w:val="20"/>
          <w:shd w:val="clear" w:color="auto" w:fill="FFFF99"/>
          <w:rtl/>
        </w:rPr>
        <w:t>תק' תש"ע-2009</w:t>
      </w:r>
    </w:p>
    <w:p w14:paraId="422B43CC" w14:textId="77777777" w:rsidR="009E01B6" w:rsidRPr="007D4B99" w:rsidRDefault="009E01B6" w:rsidP="009E01B6">
      <w:pPr>
        <w:pStyle w:val="P00"/>
        <w:spacing w:before="0"/>
        <w:ind w:left="0" w:right="1134"/>
        <w:rPr>
          <w:rStyle w:val="default"/>
          <w:rFonts w:cs="FrankRuehl" w:hint="cs"/>
          <w:vanish/>
          <w:sz w:val="20"/>
          <w:szCs w:val="20"/>
          <w:shd w:val="clear" w:color="auto" w:fill="FFFF99"/>
          <w:rtl/>
        </w:rPr>
      </w:pPr>
      <w:hyperlink r:id="rId7" w:history="1">
        <w:r w:rsidRPr="007D4B99">
          <w:rPr>
            <w:rStyle w:val="Hyperlink"/>
            <w:rFonts w:cs="FrankRuehl" w:hint="cs"/>
            <w:vanish/>
            <w:szCs w:val="20"/>
            <w:shd w:val="clear" w:color="auto" w:fill="FFFF99"/>
            <w:rtl/>
          </w:rPr>
          <w:t>ק"ת תש"ע מס' 6846</w:t>
        </w:r>
      </w:hyperlink>
      <w:r w:rsidRPr="007D4B99">
        <w:rPr>
          <w:rStyle w:val="default"/>
          <w:rFonts w:cs="FrankRuehl" w:hint="cs"/>
          <w:vanish/>
          <w:sz w:val="20"/>
          <w:szCs w:val="20"/>
          <w:shd w:val="clear" w:color="auto" w:fill="FFFF99"/>
          <w:rtl/>
        </w:rPr>
        <w:t xml:space="preserve"> מיום 31.12.2009 עמ' 402</w:t>
      </w:r>
    </w:p>
    <w:p w14:paraId="10D4B71D" w14:textId="77777777" w:rsidR="009E01B6" w:rsidRPr="009E01B6" w:rsidRDefault="009E01B6" w:rsidP="009E01B6">
      <w:pPr>
        <w:pStyle w:val="P00"/>
        <w:ind w:left="0" w:right="1134"/>
        <w:rPr>
          <w:rStyle w:val="default"/>
          <w:rFonts w:cs="FrankRuehl" w:hint="cs"/>
          <w:sz w:val="2"/>
          <w:szCs w:val="2"/>
          <w:rtl/>
        </w:rPr>
      </w:pPr>
      <w:r w:rsidRPr="007D4B99">
        <w:rPr>
          <w:rStyle w:val="default"/>
          <w:rFonts w:cs="FrankRuehl" w:hint="cs"/>
          <w:vanish/>
          <w:sz w:val="22"/>
          <w:szCs w:val="22"/>
          <w:shd w:val="clear" w:color="auto" w:fill="FFFF99"/>
          <w:rtl/>
        </w:rPr>
        <w:t xml:space="preserve">תקנות מס הכנסה (תכנון מס החייב בדיווח) </w:t>
      </w:r>
      <w:r w:rsidRPr="007D4B99">
        <w:rPr>
          <w:rStyle w:val="default"/>
          <w:rFonts w:cs="FrankRuehl" w:hint="cs"/>
          <w:strike/>
          <w:vanish/>
          <w:sz w:val="22"/>
          <w:szCs w:val="22"/>
          <w:shd w:val="clear" w:color="auto" w:fill="FFFF99"/>
          <w:rtl/>
        </w:rPr>
        <w:t>(הוראת שעה)</w:t>
      </w:r>
      <w:r w:rsidRPr="007D4B99">
        <w:rPr>
          <w:rStyle w:val="default"/>
          <w:rFonts w:cs="FrankRuehl" w:hint="cs"/>
          <w:vanish/>
          <w:sz w:val="22"/>
          <w:szCs w:val="22"/>
          <w:shd w:val="clear" w:color="auto" w:fill="FFFF99"/>
          <w:rtl/>
        </w:rPr>
        <w:t>, תשס"ז-2006</w:t>
      </w:r>
      <w:bookmarkEnd w:id="0"/>
    </w:p>
    <w:p w14:paraId="4B818A62" w14:textId="77777777" w:rsidR="006511DD" w:rsidRDefault="006511DD">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סעיפים 131(ז) ו</w:t>
      </w:r>
      <w:r>
        <w:rPr>
          <w:rStyle w:val="default"/>
          <w:rFonts w:cs="FrankRuehl" w:hint="cs"/>
          <w:rtl/>
        </w:rPr>
        <w:t>-</w:t>
      </w:r>
      <w:r>
        <w:rPr>
          <w:rStyle w:val="default"/>
          <w:rFonts w:cs="FrankRuehl"/>
          <w:rtl/>
        </w:rPr>
        <w:t>243 לפקודת מס הכנסה (להלן – הפקודה), ובאישור ועדת הכספים של הכנסת, אני מתקין תקנות אלה:</w:t>
      </w:r>
    </w:p>
    <w:p w14:paraId="43A6A9F1" w14:textId="77777777" w:rsidR="006511DD" w:rsidRDefault="006511DD">
      <w:pPr>
        <w:pStyle w:val="P00"/>
        <w:spacing w:before="72"/>
        <w:ind w:left="0" w:right="1134"/>
        <w:rPr>
          <w:rStyle w:val="default"/>
          <w:rFonts w:cs="FrankRuehl" w:hint="cs"/>
          <w:rtl/>
        </w:rPr>
      </w:pPr>
      <w:bookmarkStart w:id="1" w:name="Seif0"/>
      <w:bookmarkEnd w:id="1"/>
      <w:r>
        <w:rPr>
          <w:rFonts w:cs="Miriam"/>
          <w:lang w:val="he-IL"/>
        </w:rPr>
        <w:pict w14:anchorId="2AD23C23">
          <v:rect id="_x0000_s1026" style="position:absolute;left:0;text-align:left;margin-left:464.35pt;margin-top:7.1pt;width:75.05pt;height:12.95pt;z-index:251655168" o:allowincell="f" filled="f" stroked="f" strokecolor="lime" strokeweight=".25pt">
            <v:textbox style="mso-next-textbox:#_x0000_s1026" inset="0,0,0,0">
              <w:txbxContent>
                <w:p w14:paraId="67DE75B8" w14:textId="77777777" w:rsidR="006511DD" w:rsidRDefault="006511DD">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14:paraId="6BD2624F" w14:textId="77777777" w:rsidR="006511DD" w:rsidRDefault="006511DD">
      <w:pPr>
        <w:pStyle w:val="P00"/>
        <w:spacing w:before="72"/>
        <w:ind w:left="0" w:right="1134"/>
        <w:rPr>
          <w:rStyle w:val="default"/>
          <w:rFonts w:cs="FrankRuehl" w:hint="cs"/>
          <w:rtl/>
        </w:rPr>
      </w:pPr>
      <w:r>
        <w:rPr>
          <w:rStyle w:val="default"/>
          <w:rFonts w:cs="FrankRuehl" w:hint="cs"/>
          <w:rtl/>
        </w:rPr>
        <w:tab/>
      </w:r>
      <w:r>
        <w:rPr>
          <w:rStyle w:val="default"/>
          <w:rFonts w:cs="FrankRuehl"/>
          <w:rtl/>
        </w:rPr>
        <w:t>"אמצעי שליטה" – כהגדרתם בסעיף 88 לפקודה;</w:t>
      </w:r>
    </w:p>
    <w:p w14:paraId="01124FCA" w14:textId="77777777" w:rsidR="006511DD" w:rsidRDefault="006511DD">
      <w:pPr>
        <w:pStyle w:val="P00"/>
        <w:spacing w:before="72"/>
        <w:ind w:left="0" w:right="1134"/>
        <w:rPr>
          <w:rStyle w:val="default"/>
          <w:rFonts w:cs="FrankRuehl" w:hint="cs"/>
          <w:rtl/>
        </w:rPr>
      </w:pPr>
      <w:r>
        <w:rPr>
          <w:rStyle w:val="default"/>
          <w:rFonts w:cs="FrankRuehl" w:hint="cs"/>
          <w:rtl/>
        </w:rPr>
        <w:tab/>
      </w:r>
      <w:r>
        <w:rPr>
          <w:rStyle w:val="default"/>
          <w:rFonts w:cs="FrankRuehl"/>
          <w:rtl/>
        </w:rPr>
        <w:t>"בעל מניות מהותי" – כהגדרתו בסעיף 88 לפקודה, שהוא תושב ישראל, למעט בעל מניות כאמור שהחזקתו היא באמצעות מניות הרשומות למסחר בבורסה, ובלבד שבמקום "10%" יקראו "25%";</w:t>
      </w:r>
    </w:p>
    <w:p w14:paraId="368B98D4" w14:textId="77777777" w:rsidR="006511DD" w:rsidRDefault="006511DD">
      <w:pPr>
        <w:pStyle w:val="P00"/>
        <w:spacing w:before="72"/>
        <w:ind w:left="0" w:right="1134"/>
        <w:rPr>
          <w:rStyle w:val="default"/>
          <w:rFonts w:cs="FrankRuehl" w:hint="cs"/>
          <w:rtl/>
        </w:rPr>
      </w:pPr>
      <w:r>
        <w:rPr>
          <w:rStyle w:val="default"/>
          <w:rFonts w:cs="FrankRuehl" w:hint="cs"/>
          <w:rtl/>
        </w:rPr>
        <w:tab/>
      </w:r>
      <w:r>
        <w:rPr>
          <w:rStyle w:val="default"/>
          <w:rFonts w:cs="FrankRuehl"/>
          <w:rtl/>
        </w:rPr>
        <w:t>"הכנסה" – לרבות שבח כמשמעותו בחוק מיסוי מקרקעין;</w:t>
      </w:r>
    </w:p>
    <w:p w14:paraId="2472C972" w14:textId="77777777" w:rsidR="006511DD" w:rsidRDefault="006511DD">
      <w:pPr>
        <w:pStyle w:val="P00"/>
        <w:spacing w:before="72"/>
        <w:ind w:left="0" w:right="1134"/>
        <w:rPr>
          <w:rStyle w:val="default"/>
          <w:rFonts w:cs="FrankRuehl" w:hint="cs"/>
          <w:rtl/>
        </w:rPr>
      </w:pPr>
      <w:r>
        <w:rPr>
          <w:rStyle w:val="default"/>
          <w:rFonts w:cs="FrankRuehl" w:hint="cs"/>
          <w:rtl/>
        </w:rPr>
        <w:tab/>
      </w:r>
      <w:r>
        <w:rPr>
          <w:rStyle w:val="default"/>
          <w:rFonts w:cs="FrankRuehl"/>
          <w:rtl/>
        </w:rPr>
        <w:t>"מיוחד" –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תושב מדינה שאינה מדינה גומלת;</w:t>
      </w:r>
    </w:p>
    <w:p w14:paraId="62A6E3D8" w14:textId="77777777" w:rsidR="006511DD" w:rsidRDefault="006511DD">
      <w:pPr>
        <w:pStyle w:val="P00"/>
        <w:spacing w:before="72"/>
        <w:ind w:left="0" w:right="1134"/>
        <w:rPr>
          <w:rStyle w:val="default"/>
          <w:rFonts w:cs="FrankRuehl" w:hint="cs"/>
          <w:rtl/>
        </w:rPr>
      </w:pPr>
      <w:r>
        <w:rPr>
          <w:rStyle w:val="default"/>
          <w:rFonts w:cs="FrankRuehl" w:hint="cs"/>
          <w:rtl/>
        </w:rPr>
        <w:tab/>
      </w:r>
      <w:r>
        <w:rPr>
          <w:rStyle w:val="default"/>
          <w:rFonts w:cs="FrankRuehl"/>
          <w:rtl/>
        </w:rPr>
        <w:t>"מס" – לרבות כהגדרתו בסעיף 6 לחוק מיסוי מקרקעין;</w:t>
      </w:r>
    </w:p>
    <w:p w14:paraId="377FAF9C" w14:textId="77777777" w:rsidR="006511DD" w:rsidRDefault="006511DD">
      <w:pPr>
        <w:pStyle w:val="P00"/>
        <w:spacing w:before="72"/>
        <w:ind w:left="0" w:right="1134"/>
        <w:rPr>
          <w:rStyle w:val="default"/>
          <w:rFonts w:cs="FrankRuehl" w:hint="cs"/>
          <w:rtl/>
        </w:rPr>
      </w:pPr>
      <w:r>
        <w:rPr>
          <w:rStyle w:val="default"/>
          <w:rFonts w:cs="FrankRuehl" w:hint="cs"/>
          <w:rtl/>
        </w:rPr>
        <w:tab/>
      </w:r>
      <w:r>
        <w:rPr>
          <w:rStyle w:val="default"/>
          <w:rFonts w:cs="FrankRuehl"/>
          <w:rtl/>
        </w:rPr>
        <w:t>"נכס" – כל רכוש, בין מקרקעין ובין מיטלטלין, וכן כל זכות או טובת הנאה ראויות או מוחזקות, והכל בין שהם בישראל ובין שהם מחוץ לישראל;</w:t>
      </w:r>
    </w:p>
    <w:p w14:paraId="3880BADB" w14:textId="77777777" w:rsidR="006511DD" w:rsidRDefault="006511DD">
      <w:pPr>
        <w:pStyle w:val="P00"/>
        <w:spacing w:before="72"/>
        <w:ind w:left="0" w:right="1134"/>
        <w:rPr>
          <w:rStyle w:val="default"/>
          <w:rFonts w:cs="FrankRuehl" w:hint="cs"/>
          <w:rtl/>
        </w:rPr>
      </w:pPr>
      <w:r>
        <w:rPr>
          <w:rStyle w:val="default"/>
          <w:rFonts w:cs="FrankRuehl" w:hint="cs"/>
          <w:rtl/>
        </w:rPr>
        <w:tab/>
      </w:r>
      <w:r>
        <w:rPr>
          <w:rStyle w:val="default"/>
          <w:rFonts w:cs="FrankRuehl"/>
          <w:rtl/>
        </w:rPr>
        <w:t>"קרוב" – כהגדרתו בסעיף 76(ד)(1) לפקודה, ובפסקה (3) להגדרה "קרוב" שבסעיף 88 לפקודה.</w:t>
      </w:r>
    </w:p>
    <w:p w14:paraId="3D8D2C77" w14:textId="77777777" w:rsidR="006511DD" w:rsidRDefault="006511DD">
      <w:pPr>
        <w:pStyle w:val="P00"/>
        <w:spacing w:before="72"/>
        <w:ind w:left="0" w:right="1134"/>
        <w:rPr>
          <w:rStyle w:val="default"/>
          <w:rFonts w:cs="FrankRuehl" w:hint="cs"/>
          <w:rtl/>
        </w:rPr>
      </w:pPr>
      <w:bookmarkStart w:id="2" w:name="Seif1"/>
      <w:bookmarkEnd w:id="2"/>
      <w:r>
        <w:rPr>
          <w:rFonts w:cs="Miriam"/>
          <w:lang w:val="he-IL"/>
        </w:rPr>
        <w:pict w14:anchorId="5E59CB4D">
          <v:rect id="_x0000_s1179" style="position:absolute;left:0;text-align:left;margin-left:464.35pt;margin-top:7.1pt;width:75.05pt;height:17.85pt;z-index:251656192" o:allowincell="f" filled="f" stroked="f" strokecolor="lime" strokeweight=".25pt">
            <v:textbox style="mso-next-textbox:#_x0000_s1179" inset="0,0,0,0">
              <w:txbxContent>
                <w:p w14:paraId="5CA2C8A5" w14:textId="77777777" w:rsidR="006511DD" w:rsidRDefault="006511DD">
                  <w:pPr>
                    <w:spacing w:line="160" w:lineRule="exact"/>
                    <w:rPr>
                      <w:rFonts w:cs="Miriam" w:hint="cs"/>
                      <w:noProof/>
                      <w:sz w:val="18"/>
                      <w:szCs w:val="18"/>
                      <w:rtl/>
                    </w:rPr>
                  </w:pPr>
                  <w:r>
                    <w:rPr>
                      <w:rFonts w:cs="Miriam" w:hint="cs"/>
                      <w:sz w:val="18"/>
                      <w:szCs w:val="18"/>
                      <w:rtl/>
                    </w:rPr>
                    <w:t>פעולות שהן תכנון מס החייב בדיווח</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הפעולות המפורטות להלן הן תכנון מס החייב בדיווח:</w:t>
      </w:r>
    </w:p>
    <w:p w14:paraId="6BEFA0F4" w14:textId="77777777" w:rsidR="006511DD" w:rsidRDefault="006511DD">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תשלום מאדם לקרובו בסכום כולל של 2 מיליון שקלים חדשים לפחות בשנת מס בשל ניהול, אם בעקבות התשלום פחת סכום המס שהיה משתלם על התשלום האמור אלמלא הועבר לקרוב בשל אחד מאלה:</w:t>
      </w:r>
    </w:p>
    <w:p w14:paraId="62FE94AB" w14:textId="77777777" w:rsidR="006511DD" w:rsidRDefault="006511DD">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לקרוב הפסד הניתן לקיזוז לפי הוראות הפקודה;</w:t>
      </w:r>
    </w:p>
    <w:p w14:paraId="5B9A50D7" w14:textId="77777777" w:rsidR="006511DD" w:rsidRDefault="006511DD">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שיעורי המס החלים על ההכנסה של הקרוב נמוכים מאלה שחלים על הכנסתו של האדם;</w:t>
      </w:r>
    </w:p>
    <w:p w14:paraId="4A1C3773" w14:textId="77777777" w:rsidR="006511DD" w:rsidRDefault="006511DD">
      <w:pPr>
        <w:pStyle w:val="P00"/>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ההכנסה בידי הקרוב פטורה ממס;</w:t>
      </w:r>
    </w:p>
    <w:p w14:paraId="37880D78" w14:textId="77777777" w:rsidR="006511DD" w:rsidRDefault="006511DD">
      <w:pPr>
        <w:pStyle w:val="P00"/>
        <w:spacing w:before="72"/>
        <w:ind w:left="1021"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ההכנסה בידי הקרוב איננה חייבת במס בישראל;</w:t>
      </w:r>
    </w:p>
    <w:p w14:paraId="79799480" w14:textId="77777777" w:rsidR="006511DD" w:rsidRDefault="006511DD">
      <w:pPr>
        <w:pStyle w:val="P00"/>
        <w:spacing w:before="72"/>
        <w:ind w:left="1021" w:right="1134"/>
        <w:rPr>
          <w:rStyle w:val="default"/>
          <w:rFonts w:cs="FrankRuehl" w:hint="cs"/>
          <w:rtl/>
        </w:rPr>
      </w:pPr>
      <w:r>
        <w:rPr>
          <w:rStyle w:val="default"/>
          <w:rFonts w:cs="FrankRuehl"/>
          <w:rtl/>
        </w:rPr>
        <w:t>(ה)</w:t>
      </w:r>
      <w:r>
        <w:rPr>
          <w:rStyle w:val="default"/>
          <w:rFonts w:cs="FrankRuehl" w:hint="cs"/>
          <w:rtl/>
        </w:rPr>
        <w:tab/>
      </w:r>
      <w:r>
        <w:rPr>
          <w:rStyle w:val="default"/>
          <w:rFonts w:cs="FrankRuehl"/>
          <w:rtl/>
        </w:rPr>
        <w:t>התשלום אינו מהווה הכנסה בידי הקרוב;</w:t>
      </w:r>
    </w:p>
    <w:p w14:paraId="4842DF85" w14:textId="77777777" w:rsidR="006511DD" w:rsidRDefault="006511DD">
      <w:pPr>
        <w:pStyle w:val="P00"/>
        <w:spacing w:before="72"/>
        <w:ind w:left="1021" w:right="1134"/>
        <w:rPr>
          <w:rStyle w:val="default"/>
          <w:rFonts w:cs="FrankRuehl" w:hint="cs"/>
          <w:rtl/>
        </w:rPr>
      </w:pPr>
      <w:r>
        <w:rPr>
          <w:rStyle w:val="default"/>
          <w:rFonts w:cs="FrankRuehl"/>
          <w:rtl/>
        </w:rPr>
        <w:t>לענין פסקה זו –</w:t>
      </w:r>
    </w:p>
    <w:p w14:paraId="4885D63F" w14:textId="77777777" w:rsidR="006511DD" w:rsidRDefault="006511DD">
      <w:pPr>
        <w:pStyle w:val="P00"/>
        <w:spacing w:before="72"/>
        <w:ind w:left="1021" w:right="1134"/>
        <w:rPr>
          <w:rStyle w:val="default"/>
          <w:rFonts w:cs="FrankRuehl" w:hint="cs"/>
          <w:rtl/>
        </w:rPr>
      </w:pPr>
      <w:r>
        <w:rPr>
          <w:rStyle w:val="default"/>
          <w:rFonts w:cs="FrankRuehl"/>
          <w:rtl/>
        </w:rPr>
        <w:t>"ניהול" – לרבות ייעוץ או פעילות אחרת הדומה במהותה לניהול או ייעוץ גם אם כונתה אחרת בידי הצדדים לה;</w:t>
      </w:r>
    </w:p>
    <w:p w14:paraId="5178FC10" w14:textId="77777777" w:rsidR="006511DD" w:rsidRDefault="006511DD">
      <w:pPr>
        <w:pStyle w:val="P00"/>
        <w:spacing w:before="72"/>
        <w:ind w:left="1021" w:right="1134"/>
        <w:rPr>
          <w:rStyle w:val="default"/>
          <w:rFonts w:cs="FrankRuehl" w:hint="cs"/>
          <w:rtl/>
        </w:rPr>
      </w:pPr>
      <w:r>
        <w:rPr>
          <w:rStyle w:val="default"/>
          <w:rFonts w:cs="FrankRuehl"/>
          <w:rtl/>
        </w:rPr>
        <w:t>"תשלום" – לרבות אם לא שולם בפועל אך נדרש בניכוי בחישוב הכנסתו החייבת של האדם;</w:t>
      </w:r>
    </w:p>
    <w:p w14:paraId="296ACF1A" w14:textId="77777777" w:rsidR="006511DD" w:rsidRDefault="006511DD">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מכירת נכס לקרוב שנוצר בה הפסד בסכום של 2 מיליון שקלים חדשים לפחות, שקוזז, כולו או חלקו, בשנת המכירה או בתוך 24 חודשים שלאחר תום שנת המכירה;</w:t>
      </w:r>
    </w:p>
    <w:p w14:paraId="0197D165" w14:textId="77777777" w:rsidR="006511DD" w:rsidRDefault="006511DD">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מכירת נכס לאחר, אם התקיימו כל אלה:</w:t>
      </w:r>
    </w:p>
    <w:p w14:paraId="3848C4F7" w14:textId="77777777" w:rsidR="006511DD" w:rsidRDefault="006511DD">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הנכס הגיע לידי המוכר במכירה פטורה ממס, מאת קרוב;</w:t>
      </w:r>
    </w:p>
    <w:p w14:paraId="5AB91730" w14:textId="77777777" w:rsidR="006511DD" w:rsidRDefault="006511DD">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המוכר מכר את הנכס לאחר בתוך שלוש שנים מיום שהגיע לידיו או מיום שנעשה זכאי לו, לפי המוקדם;</w:t>
      </w:r>
    </w:p>
    <w:p w14:paraId="09BB817B" w14:textId="77777777" w:rsidR="006511DD" w:rsidRDefault="006511DD">
      <w:pPr>
        <w:pStyle w:val="P00"/>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במכירה לאחר נוצר הפסד בסכום של 2 מיליון שקלים חדשים לפחות, הניתן לקיזוז לפי הוראות הפקודה;</w:t>
      </w:r>
    </w:p>
    <w:p w14:paraId="7962F484" w14:textId="77777777" w:rsidR="006511DD" w:rsidRDefault="006511DD">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מכירת נכס לאחר, אם התקיימו כל אלה:</w:t>
      </w:r>
    </w:p>
    <w:p w14:paraId="644B6BEE" w14:textId="77777777" w:rsidR="006511DD" w:rsidRDefault="006511DD">
      <w:pPr>
        <w:pStyle w:val="P00"/>
        <w:spacing w:before="72"/>
        <w:ind w:left="1021" w:right="1134"/>
        <w:rPr>
          <w:rStyle w:val="default"/>
          <w:rFonts w:cs="FrankRuehl" w:hint="cs"/>
          <w:rtl/>
        </w:rPr>
      </w:pPr>
      <w:r>
        <w:rPr>
          <w:rStyle w:val="default"/>
          <w:rFonts w:cs="FrankRuehl"/>
          <w:rtl/>
        </w:rPr>
        <w:lastRenderedPageBreak/>
        <w:t>(א)</w:t>
      </w:r>
      <w:r>
        <w:rPr>
          <w:rStyle w:val="default"/>
          <w:rFonts w:cs="FrankRuehl" w:hint="cs"/>
          <w:rtl/>
        </w:rPr>
        <w:tab/>
      </w:r>
      <w:r>
        <w:rPr>
          <w:rStyle w:val="default"/>
          <w:rFonts w:cs="FrankRuehl"/>
          <w:rtl/>
        </w:rPr>
        <w:t>הנכס הגיע לידי המוכר במכירה פטורה ממס, מאת קרוב;</w:t>
      </w:r>
    </w:p>
    <w:p w14:paraId="3C786C97" w14:textId="77777777" w:rsidR="006511DD" w:rsidRDefault="006511DD">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המוכר מכר את הנכס לאחר בתוך שלוש שנים מיום שהגיע לידיו או מיום שנעשה זכאי לו, לפי המוקדם;</w:t>
      </w:r>
    </w:p>
    <w:p w14:paraId="72EAC29B" w14:textId="77777777" w:rsidR="006511DD" w:rsidRDefault="006511DD">
      <w:pPr>
        <w:pStyle w:val="P00"/>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כנגד רווח או הכנסה שהיו במכירת הנכס לאחר, קוזז הפסד בסכום שלא פחת מ</w:t>
      </w:r>
      <w:r>
        <w:rPr>
          <w:rStyle w:val="default"/>
          <w:rFonts w:cs="FrankRuehl" w:hint="cs"/>
          <w:rtl/>
        </w:rPr>
        <w:t>-</w:t>
      </w:r>
      <w:r>
        <w:rPr>
          <w:rStyle w:val="default"/>
          <w:rFonts w:cs="FrankRuehl"/>
          <w:rtl/>
        </w:rPr>
        <w:t>2 מיליון שקלים חדשים, שהיה למוכר;</w:t>
      </w:r>
    </w:p>
    <w:p w14:paraId="3338A7C6" w14:textId="77777777" w:rsidR="006511DD" w:rsidRDefault="006511DD">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מחילת חוב לקרוב, אם התקיימו כל אלה:</w:t>
      </w:r>
    </w:p>
    <w:p w14:paraId="1F892D53" w14:textId="77777777" w:rsidR="006511DD" w:rsidRDefault="006511DD">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המוחל הוא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w:t>
      </w:r>
    </w:p>
    <w:p w14:paraId="6C9C8D2F" w14:textId="77777777" w:rsidR="006511DD" w:rsidRDefault="006511DD">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המחילה היא בסכום של 1 מיליון שקלים חדשים לפחות;</w:t>
      </w:r>
    </w:p>
    <w:p w14:paraId="4CE14194" w14:textId="77777777" w:rsidR="006511DD" w:rsidRDefault="006511DD">
      <w:pPr>
        <w:pStyle w:val="P00"/>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בשל המחילה פחת סכום המס שהיה משתלם על סכום המחילה, אלמלא היתה מחילה כאמור, בשל אחד מאלה:</w:t>
      </w:r>
    </w:p>
    <w:p w14:paraId="789DAE31" w14:textId="77777777" w:rsidR="006511DD" w:rsidRDefault="006511DD">
      <w:pPr>
        <w:pStyle w:val="P00"/>
        <w:spacing w:before="72"/>
        <w:ind w:left="147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לקרוב הפסד הניתן לקיזוז לפי הוראות הפקודה;</w:t>
      </w:r>
    </w:p>
    <w:p w14:paraId="54308F6D" w14:textId="77777777" w:rsidR="006511DD" w:rsidRDefault="006511DD">
      <w:pPr>
        <w:pStyle w:val="P00"/>
        <w:spacing w:before="72"/>
        <w:ind w:left="147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שיעורי המס החלים על ההכנסה של הקרוב נמוכים מאלה שחלים על הכנסתו של המוחל;</w:t>
      </w:r>
    </w:p>
    <w:p w14:paraId="65FB2BBA" w14:textId="77777777" w:rsidR="006511DD" w:rsidRDefault="006511DD">
      <w:pPr>
        <w:pStyle w:val="P00"/>
        <w:spacing w:before="72"/>
        <w:ind w:left="147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ההכנסה בידי הקרוב פטורה ממס;</w:t>
      </w:r>
    </w:p>
    <w:p w14:paraId="6FC96452" w14:textId="77777777" w:rsidR="006511DD" w:rsidRDefault="006511DD">
      <w:pPr>
        <w:pStyle w:val="P00"/>
        <w:spacing w:before="72"/>
        <w:ind w:left="147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ההכנסה בידי הקרוב איננה חייבת במס בישראל;</w:t>
      </w:r>
    </w:p>
    <w:p w14:paraId="1C1A9142" w14:textId="77777777" w:rsidR="006511DD" w:rsidRDefault="006511DD">
      <w:pPr>
        <w:pStyle w:val="P00"/>
        <w:spacing w:before="72"/>
        <w:ind w:left="147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המחילה אינה מהווה הכנסה בידי הקרוב;</w:t>
      </w:r>
    </w:p>
    <w:p w14:paraId="42434101" w14:textId="77777777" w:rsidR="006511DD" w:rsidRDefault="006511DD">
      <w:pPr>
        <w:pStyle w:val="P00"/>
        <w:spacing w:before="72"/>
        <w:ind w:left="624" w:right="1134"/>
        <w:rPr>
          <w:rStyle w:val="default"/>
          <w:rFonts w:cs="FrankRuehl" w:hint="cs"/>
          <w:rtl/>
        </w:rPr>
      </w:pPr>
      <w:r>
        <w:rPr>
          <w:rStyle w:val="default"/>
          <w:rFonts w:cs="FrankRuehl"/>
          <w:rtl/>
        </w:rPr>
        <w:t>לענין פסקה זו –</w:t>
      </w:r>
    </w:p>
    <w:p w14:paraId="2921ADC3" w14:textId="77777777" w:rsidR="006511DD" w:rsidRDefault="006511DD">
      <w:pPr>
        <w:pStyle w:val="P00"/>
        <w:spacing w:before="72"/>
        <w:ind w:left="624" w:right="1134"/>
        <w:rPr>
          <w:rStyle w:val="default"/>
          <w:rFonts w:cs="FrankRuehl" w:hint="cs"/>
          <w:rtl/>
        </w:rPr>
      </w:pPr>
      <w:r>
        <w:rPr>
          <w:rStyle w:val="default"/>
          <w:rFonts w:cs="FrankRuehl"/>
          <w:rtl/>
        </w:rPr>
        <w:t>"מחילה" – ובלבד שהמוחל שמט את החוב או מחל עליו לצורכי מס</w:t>
      </w:r>
      <w:r>
        <w:rPr>
          <w:rStyle w:val="default"/>
          <w:rFonts w:cs="FrankRuehl" w:hint="cs"/>
          <w:rtl/>
        </w:rPr>
        <w:t>;</w:t>
      </w:r>
    </w:p>
    <w:p w14:paraId="0C13E8FC" w14:textId="77777777" w:rsidR="006511DD" w:rsidRDefault="006511DD">
      <w:pPr>
        <w:pStyle w:val="P00"/>
        <w:spacing w:before="72"/>
        <w:ind w:left="624" w:right="1134"/>
        <w:rPr>
          <w:rStyle w:val="default"/>
          <w:rFonts w:cs="FrankRuehl" w:hint="cs"/>
          <w:rtl/>
        </w:rPr>
      </w:pPr>
      <w:r>
        <w:rPr>
          <w:rStyle w:val="default"/>
          <w:rFonts w:cs="FrankRuehl"/>
          <w:rtl/>
        </w:rPr>
        <w:t>"קרוב" –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שבהחזקת המוחל או קרובו וחבר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המוחזק בידי אדם</w:t>
      </w:r>
      <w:r>
        <w:rPr>
          <w:rStyle w:val="default"/>
          <w:rFonts w:cs="FrankRuehl" w:hint="cs"/>
          <w:rtl/>
        </w:rPr>
        <w:t xml:space="preserve"> </w:t>
      </w:r>
      <w:r>
        <w:rPr>
          <w:rStyle w:val="default"/>
          <w:rFonts w:cs="FrankRuehl"/>
          <w:rtl/>
        </w:rPr>
        <w:t>המחזיק במוחל; לענין הגדרה זו, "החזקה" – במישרין או בעקיפין, לבד או יחד עם אחר, ב</w:t>
      </w:r>
      <w:r>
        <w:rPr>
          <w:rStyle w:val="default"/>
          <w:rFonts w:cs="FrankRuehl" w:hint="cs"/>
          <w:rtl/>
        </w:rPr>
        <w:t>-</w:t>
      </w:r>
      <w:r>
        <w:rPr>
          <w:rStyle w:val="default"/>
          <w:rFonts w:cs="FrankRuehl"/>
          <w:rtl/>
        </w:rPr>
        <w:t>25% לפחות באחד או יותר מסוג כלשהו של אמצעי השליטה;</w:t>
      </w:r>
    </w:p>
    <w:p w14:paraId="72DDC889" w14:textId="77777777" w:rsidR="006511DD" w:rsidRDefault="006511DD">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פירעון חוב של יחיד בעל מניות מהותי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לחבר, כולו או חלקו, בסכום של 1 מיליון שקלים חדשים לפחות, ברבעון האחרון של שנת מס, ובלבד שברבעון הראשון של שנת המס העוקבת, גדל סכום החוב של בעל המניות המהותי בחבר או של קרובו, לחבר, בשיעור שלא יפחת מ</w:t>
      </w:r>
      <w:r>
        <w:rPr>
          <w:rStyle w:val="default"/>
          <w:rFonts w:cs="FrankRuehl" w:hint="cs"/>
          <w:rtl/>
        </w:rPr>
        <w:t>-</w:t>
      </w:r>
      <w:r>
        <w:rPr>
          <w:rStyle w:val="default"/>
          <w:rFonts w:cs="FrankRuehl"/>
          <w:rtl/>
        </w:rPr>
        <w:t>25% מסכום החוב שנפרע כאמור; לענין פסקה זו, "קרוב" – כהגדרתו בסעיף 76(ד)(1) לפקודה;</w:t>
      </w:r>
    </w:p>
    <w:p w14:paraId="41632A6D" w14:textId="77777777" w:rsidR="006511DD" w:rsidRDefault="006511DD">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רכישת אמצעי שליטה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אם התקיימו כל אלה במשך תקופה של 12 חודשים:</w:t>
      </w:r>
    </w:p>
    <w:p w14:paraId="145F7EC7" w14:textId="77777777" w:rsidR="006511DD" w:rsidRDefault="006511DD">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נרכשו אמצעי שליטה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w:t>
      </w:r>
    </w:p>
    <w:p w14:paraId="2E8F5057" w14:textId="77777777" w:rsidR="006511DD" w:rsidRDefault="006511DD">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לרוכש או לקרובו הומחתה זכותו של אחר כלפי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האדם;</w:t>
      </w:r>
    </w:p>
    <w:p w14:paraId="4B09EE59" w14:textId="77777777" w:rsidR="006511DD" w:rsidRDefault="006511DD">
      <w:pPr>
        <w:pStyle w:val="P00"/>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ההתחייבות של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האדם לאחר, שולמה, שלא במלואה, על ידי רוכש אמצעי השליטה, במישרין או בעקיפין או על ידי מוכר אמצעי השליטה;</w:t>
      </w:r>
    </w:p>
    <w:p w14:paraId="5709B6E1" w14:textId="77777777" w:rsidR="006511DD" w:rsidRDefault="006511DD">
      <w:pPr>
        <w:pStyle w:val="P00"/>
        <w:spacing w:before="72"/>
        <w:ind w:left="1021"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לחבר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האדם נוצר חוב כלפי רוכש אמצעי השליטה בחבר, במישרין או</w:t>
      </w:r>
      <w:r>
        <w:rPr>
          <w:rStyle w:val="default"/>
          <w:rFonts w:cs="FrankRuehl" w:hint="cs"/>
          <w:rtl/>
        </w:rPr>
        <w:t xml:space="preserve"> </w:t>
      </w:r>
      <w:r>
        <w:rPr>
          <w:rStyle w:val="default"/>
          <w:rFonts w:cs="FrankRuehl"/>
          <w:rtl/>
        </w:rPr>
        <w:t>בעקיפין, הנובע מהזכות שהומחתה לפי פסקת משנה (ב), בסכום העולה על סכום ההתחייבות ששולם כאמור בפסקת משנה (ג);</w:t>
      </w:r>
    </w:p>
    <w:p w14:paraId="2AB9BAD1" w14:textId="77777777" w:rsidR="006511DD" w:rsidRDefault="006511DD">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רכישת אמצעי שליטה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לרבות רכישה בשיעורין, של 50% לפחות מאמצעי השליטה בחבר, במהלך תקופה של 24 חודשים רצופים (להלן – תקופת הרכישה), ובלבד שלחבר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האדם שבו נרכשו אמצעי השליטה הפסד בסכום של 3 מיליון שקלים חדשים לפחות, הניתן לקיזוז לפי הוראות הפקודה, וזאת עד לתום תקופת הרכישה; לענין פסקה זו ותקנה 3(7), ייחשב לרוכש אחד כל אחד מאלה:</w:t>
      </w:r>
    </w:p>
    <w:p w14:paraId="3240BF0A" w14:textId="77777777" w:rsidR="006511DD" w:rsidRDefault="006511DD">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יחיד, קרובו, מי שאינו קרובו ויש ביניהם שיתוף פעולה דרך קבע על פי הסכם בענינים מהותיים של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האדם, במישרין או בעקיפין;</w:t>
      </w:r>
    </w:p>
    <w:p w14:paraId="78EDB7AC" w14:textId="77777777" w:rsidR="006511DD" w:rsidRDefault="006511D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בעל שליטה בו,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שבשליטתו,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w:t>
      </w:r>
      <w:r>
        <w:rPr>
          <w:rStyle w:val="default"/>
          <w:rFonts w:cs="FrankRuehl" w:hint="cs"/>
          <w:rtl/>
        </w:rPr>
        <w:t xml:space="preserve"> </w:t>
      </w:r>
      <w:r>
        <w:rPr>
          <w:rStyle w:val="default"/>
          <w:rFonts w:cs="FrankRuehl"/>
          <w:rtl/>
        </w:rPr>
        <w:t>שלהם אותו בעל שליטה; לענין זה, "בעל שליטה" – כהגדרתו בסעיף 32(9) לפקודה;</w:t>
      </w:r>
    </w:p>
    <w:p w14:paraId="52AC47E8" w14:textId="77777777" w:rsidR="006511DD" w:rsidRDefault="006511DD">
      <w:pPr>
        <w:pStyle w:val="P00"/>
        <w:spacing w:before="72"/>
        <w:ind w:left="1021" w:right="1134" w:hanging="397"/>
        <w:rPr>
          <w:rStyle w:val="default"/>
          <w:rFonts w:cs="FrankRuehl" w:hint="cs"/>
          <w:rtl/>
        </w:rPr>
      </w:pPr>
      <w:r>
        <w:rPr>
          <w:rStyle w:val="default"/>
          <w:rFonts w:cs="FrankRuehl"/>
          <w:rtl/>
        </w:rPr>
        <w:t>(9)</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רכישה, במישרין או בעקיפין, לרבות רכישה בשיעורין, על ידי רוכש תושב ישראל, של 25% לפחות של אחד או יותר מסוג כלשהו של אמצעי השליטה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מיוחד, ובלבד ששיעור המס שיוטל על החבר במדינת תושבותו, אם תהיה לו הכנסה כלשהי נמוך מ</w:t>
      </w:r>
      <w:r>
        <w:rPr>
          <w:rStyle w:val="default"/>
          <w:rFonts w:cs="FrankRuehl" w:hint="cs"/>
          <w:rtl/>
        </w:rPr>
        <w:t>-</w:t>
      </w:r>
      <w:r>
        <w:rPr>
          <w:rStyle w:val="default"/>
          <w:rFonts w:cs="FrankRuehl"/>
          <w:rtl/>
        </w:rPr>
        <w:t>20%.</w:t>
      </w:r>
    </w:p>
    <w:p w14:paraId="364F6407" w14:textId="77777777" w:rsidR="006511DD" w:rsidRDefault="006511DD">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החזקה, במישרין או בעקיפין, של תושב ישראל, באחד או יותר מסוג כלשהו של אמצעי השליטה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מיוחד, בשיעור של 25% לפחות, ובלבד ששיעור המס שיוטל על החבר במדינת תושבותו, אם תהיה לו הכנסה כלשהי, נמוך מ</w:t>
      </w:r>
      <w:r>
        <w:rPr>
          <w:rStyle w:val="default"/>
          <w:rFonts w:cs="FrankRuehl" w:hint="cs"/>
          <w:rtl/>
        </w:rPr>
        <w:t>-</w:t>
      </w:r>
      <w:r>
        <w:rPr>
          <w:rStyle w:val="default"/>
          <w:rFonts w:cs="FrankRuehl"/>
          <w:rtl/>
        </w:rPr>
        <w:t>20%.</w:t>
      </w:r>
    </w:p>
    <w:p w14:paraId="1EBD24BB" w14:textId="77777777" w:rsidR="006511DD" w:rsidRDefault="006511DD">
      <w:pPr>
        <w:pStyle w:val="P00"/>
        <w:spacing w:before="72"/>
        <w:ind w:left="1021" w:right="1134"/>
        <w:rPr>
          <w:rStyle w:val="default"/>
          <w:rFonts w:cs="FrankRuehl"/>
          <w:rtl/>
        </w:rPr>
      </w:pPr>
      <w:r>
        <w:rPr>
          <w:rStyle w:val="default"/>
          <w:rFonts w:cs="FrankRuehl"/>
          <w:rtl/>
        </w:rPr>
        <w:t>(ג)</w:t>
      </w:r>
      <w:r>
        <w:rPr>
          <w:rStyle w:val="default"/>
          <w:rFonts w:cs="FrankRuehl" w:hint="cs"/>
          <w:rtl/>
        </w:rPr>
        <w:tab/>
      </w:r>
      <w:r>
        <w:rPr>
          <w:rStyle w:val="default"/>
          <w:rFonts w:cs="FrankRuehl"/>
          <w:rtl/>
        </w:rPr>
        <w:t>קבלת תקבולים, במישרין או בעקיפין, בכסף או בשווה כסף, בשווי כולל של 1 מיליון שקלים חדשים לפחות בשנת מס, בידי בעל מניות מהותי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מיוחד, מאת החבר.</w:t>
      </w:r>
    </w:p>
    <w:p w14:paraId="5936D8A6" w14:textId="77777777" w:rsidR="006511DD" w:rsidRDefault="006511DD">
      <w:pPr>
        <w:pStyle w:val="P00"/>
        <w:spacing w:before="72"/>
        <w:ind w:left="1021"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לענין פסקה זו, פסקה (10) ותקנה 3(8) עד (10), ייחשב לרוכש אחד או למחזיק אחד, לפי הענין, כל אחד מאלה:</w:t>
      </w:r>
    </w:p>
    <w:p w14:paraId="2822336B" w14:textId="77777777" w:rsidR="006511DD" w:rsidRDefault="006511DD">
      <w:pPr>
        <w:pStyle w:val="P00"/>
        <w:spacing w:before="72"/>
        <w:ind w:left="147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יחיד, קרובו, מי שאינו קרובו ויש ביניהם שיתוף פעולה דרך קבע על פי הסכם בענינים מהותיים של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האדם, במישרין או בעקיפין;</w:t>
      </w:r>
    </w:p>
    <w:p w14:paraId="431B64EA" w14:textId="77777777" w:rsidR="006511DD" w:rsidRDefault="006511DD">
      <w:pPr>
        <w:pStyle w:val="P00"/>
        <w:spacing w:before="72"/>
        <w:ind w:left="147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בעל שליטה בו,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שבשליטתו,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שלהם אותו בעל שליטה; לענין זה, "בעל שליטה" – כהגדרתו בסעיף 32(9) לפקודה;</w:t>
      </w:r>
    </w:p>
    <w:p w14:paraId="0CFB4512" w14:textId="77777777" w:rsidR="006511DD" w:rsidRDefault="006511DD">
      <w:pPr>
        <w:pStyle w:val="P00"/>
        <w:spacing w:before="72"/>
        <w:ind w:left="1021" w:right="1134"/>
        <w:rPr>
          <w:rStyle w:val="default"/>
          <w:rFonts w:cs="FrankRuehl" w:hint="cs"/>
          <w:rtl/>
        </w:rPr>
      </w:pPr>
      <w:r>
        <w:rPr>
          <w:rStyle w:val="default"/>
          <w:rFonts w:cs="FrankRuehl"/>
          <w:rtl/>
        </w:rPr>
        <w:t>והכל ובלבד שהרכישה או ההחזקה, לפי הענין, אינה של מניות הרשומות למסחר בבורסה;</w:t>
      </w:r>
    </w:p>
    <w:p w14:paraId="1E9571C6" w14:textId="77777777" w:rsidR="006511DD" w:rsidRDefault="006511DD">
      <w:pPr>
        <w:pStyle w:val="P00"/>
        <w:spacing w:before="72"/>
        <w:ind w:left="1021" w:right="1134" w:hanging="397"/>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רכישה, במישרין או בעקיפין, לרבות רכישה בשיעורין, על ידי תושב ישראל, של 25% לפחות של אחד או יותר מסוג כלשהו של אמצעי השליטה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תושב מדינה גומלת שמרבית נכסיו בישראל, לרבות זכות, במישרין או בעקיפין, לנכס בישראל או שמרבית הכנסותיו נובעות משימוש בנכסי החבר בישראל.</w:t>
      </w:r>
    </w:p>
    <w:p w14:paraId="663A6F2D" w14:textId="77777777" w:rsidR="006511DD" w:rsidRDefault="006511DD">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החזקה, במישרין או בעקיפין, של תושב ישראל, בשיעור של 25% לפחות באחד או יותר מסוג כלשהו של אמצעי השליטה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תושב מדינה</w:t>
      </w:r>
      <w:r>
        <w:rPr>
          <w:rStyle w:val="default"/>
          <w:rFonts w:cs="FrankRuehl" w:hint="cs"/>
          <w:rtl/>
        </w:rPr>
        <w:t xml:space="preserve"> </w:t>
      </w:r>
      <w:r>
        <w:rPr>
          <w:rStyle w:val="default"/>
          <w:rFonts w:cs="FrankRuehl"/>
          <w:rtl/>
        </w:rPr>
        <w:t>גומלת שמרבית נכסיו בישראל, לרבות זכות, במישרין או בעקיפין, לנכס בישראל או שמרבית הכנסותיו נובעות משימוש בנכסי החבר בישראל.</w:t>
      </w:r>
    </w:p>
    <w:p w14:paraId="6AC7FEAA" w14:textId="77777777" w:rsidR="006511DD" w:rsidRDefault="006511DD">
      <w:pPr>
        <w:pStyle w:val="P00"/>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קבלת תקבולים, במישרין או בעקיפין, בכסף או בשווה כסף, בשווי כולל של 1 מיליון שקלים חדשים לפחות בשנת מס, בידי בעל מניות מהותי בחבר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תושב מדינה גומלת שמרבית נכסיו בישראל, לרבות זכות, במישרין או בעקיפין,</w:t>
      </w:r>
      <w:r>
        <w:rPr>
          <w:rStyle w:val="default"/>
          <w:rFonts w:cs="FrankRuehl" w:hint="cs"/>
          <w:rtl/>
        </w:rPr>
        <w:t xml:space="preserve"> </w:t>
      </w:r>
      <w:r>
        <w:rPr>
          <w:rStyle w:val="default"/>
          <w:rFonts w:cs="FrankRuehl"/>
          <w:rtl/>
        </w:rPr>
        <w:t>לנכס בישראל, או שמרבית הכנסותיו נובעות משימוש בנכסי החבר בישראל, מאת החבר;</w:t>
      </w:r>
    </w:p>
    <w:p w14:paraId="1581C07D" w14:textId="77777777" w:rsidR="006511DD" w:rsidRDefault="006511DD">
      <w:pPr>
        <w:pStyle w:val="P00"/>
        <w:spacing w:before="72"/>
        <w:ind w:left="624" w:right="1134"/>
        <w:rPr>
          <w:rStyle w:val="default"/>
          <w:rFonts w:cs="FrankRuehl" w:hint="cs"/>
          <w:rtl/>
        </w:rPr>
      </w:pPr>
      <w:r>
        <w:rPr>
          <w:rStyle w:val="default"/>
          <w:rFonts w:cs="FrankRuehl"/>
          <w:rtl/>
        </w:rPr>
        <w:t>לענין פסקה זו –</w:t>
      </w:r>
    </w:p>
    <w:p w14:paraId="2DC23149" w14:textId="77777777" w:rsidR="006511DD" w:rsidRDefault="006511DD">
      <w:pPr>
        <w:pStyle w:val="P00"/>
        <w:spacing w:before="72"/>
        <w:ind w:left="624" w:right="1134"/>
        <w:rPr>
          <w:rStyle w:val="default"/>
          <w:rFonts w:cs="FrankRuehl" w:hint="cs"/>
          <w:rtl/>
        </w:rPr>
      </w:pPr>
      <w:r>
        <w:rPr>
          <w:rStyle w:val="default"/>
          <w:rFonts w:cs="FrankRuehl"/>
          <w:rtl/>
        </w:rPr>
        <w:t>"מרבית הכנסותיו"</w:t>
      </w:r>
      <w:r>
        <w:rPr>
          <w:rStyle w:val="default"/>
          <w:rFonts w:cs="FrankRuehl" w:hint="cs"/>
          <w:rtl/>
        </w:rPr>
        <w:t xml:space="preserve"> </w:t>
      </w:r>
      <w:r>
        <w:rPr>
          <w:rStyle w:val="default"/>
          <w:rFonts w:cs="FrankRuehl"/>
          <w:rtl/>
        </w:rPr>
        <w:t>– 50% או יותר מסך כל הכנסות החבר כפי שנקבעו בדוח רווח והפסד הערוך לפי כללי חשבונאות מקובלים במדינת התושבות של החבר, שנערך לתום שנת המס שבה נעשתה הפעולה;</w:t>
      </w:r>
    </w:p>
    <w:p w14:paraId="0DE98800" w14:textId="77777777" w:rsidR="006511DD" w:rsidRDefault="006511DD">
      <w:pPr>
        <w:pStyle w:val="P00"/>
        <w:spacing w:before="72"/>
        <w:ind w:left="624" w:right="1134"/>
        <w:rPr>
          <w:rStyle w:val="default"/>
          <w:rFonts w:cs="FrankRuehl" w:hint="cs"/>
          <w:rtl/>
        </w:rPr>
      </w:pPr>
      <w:r>
        <w:rPr>
          <w:rStyle w:val="default"/>
          <w:rFonts w:cs="FrankRuehl"/>
          <w:rtl/>
        </w:rPr>
        <w:t>"מרבית נכסיו" –</w:t>
      </w:r>
      <w:r>
        <w:rPr>
          <w:rStyle w:val="default"/>
          <w:rFonts w:cs="FrankRuehl" w:hint="cs"/>
          <w:rtl/>
        </w:rPr>
        <w:t xml:space="preserve"> </w:t>
      </w:r>
      <w:r>
        <w:rPr>
          <w:rStyle w:val="default"/>
          <w:rFonts w:cs="FrankRuehl"/>
          <w:rtl/>
        </w:rPr>
        <w:t>50% או יותר משווי נכסי החבר;</w:t>
      </w:r>
    </w:p>
    <w:p w14:paraId="5313309B" w14:textId="77777777" w:rsidR="006511DD" w:rsidRDefault="006511DD">
      <w:pPr>
        <w:pStyle w:val="P00"/>
        <w:spacing w:before="72"/>
        <w:ind w:left="624" w:right="1134"/>
        <w:rPr>
          <w:rStyle w:val="default"/>
          <w:rFonts w:cs="FrankRuehl" w:hint="cs"/>
          <w:rtl/>
        </w:rPr>
      </w:pPr>
      <w:r>
        <w:rPr>
          <w:rStyle w:val="default"/>
          <w:rFonts w:cs="FrankRuehl"/>
          <w:rtl/>
        </w:rPr>
        <w:t>"שימוש בנכסי החבר בישראל" – השכרה או מכירה של נכסי החבר לתושב ישראל, במישרין או בעקיפין;</w:t>
      </w:r>
    </w:p>
    <w:p w14:paraId="223C8486" w14:textId="77777777" w:rsidR="006511DD" w:rsidRDefault="006511DD">
      <w:pPr>
        <w:pStyle w:val="P00"/>
        <w:spacing w:before="72"/>
        <w:ind w:left="624" w:right="1134"/>
        <w:rPr>
          <w:rStyle w:val="default"/>
          <w:rFonts w:cs="FrankRuehl" w:hint="cs"/>
          <w:rtl/>
        </w:rPr>
      </w:pPr>
      <w:r>
        <w:rPr>
          <w:rStyle w:val="default"/>
          <w:rFonts w:cs="FrankRuehl"/>
          <w:rtl/>
        </w:rPr>
        <w:t>"שווי נכסי החבר" – הסכום שנקבע במאזן הערוך לפי כללי חשבונאות מקובלים</w:t>
      </w:r>
      <w:r>
        <w:rPr>
          <w:rStyle w:val="default"/>
          <w:rFonts w:cs="FrankRuehl" w:hint="cs"/>
          <w:rtl/>
        </w:rPr>
        <w:t xml:space="preserve"> </w:t>
      </w:r>
      <w:r>
        <w:rPr>
          <w:rStyle w:val="default"/>
          <w:rFonts w:cs="FrankRuehl"/>
          <w:rtl/>
        </w:rPr>
        <w:t>במדינת התושבות של החבר, שנערך לתום שנת המס שבה נעשתה הפעולה, לנכסי החבר;</w:t>
      </w:r>
    </w:p>
    <w:p w14:paraId="06B4D6D5" w14:textId="77777777" w:rsidR="006511DD" w:rsidRDefault="006511DD">
      <w:pPr>
        <w:pStyle w:val="P00"/>
        <w:spacing w:before="72"/>
        <w:ind w:left="624" w:right="1134"/>
        <w:rPr>
          <w:rStyle w:val="default"/>
          <w:rFonts w:cs="FrankRuehl" w:hint="cs"/>
          <w:rtl/>
        </w:rPr>
      </w:pPr>
      <w:r>
        <w:rPr>
          <w:rStyle w:val="default"/>
          <w:rFonts w:cs="FrankRuehl"/>
          <w:rtl/>
        </w:rPr>
        <w:t>(11)</w:t>
      </w:r>
      <w:r>
        <w:rPr>
          <w:rStyle w:val="default"/>
          <w:rFonts w:cs="FrankRuehl" w:hint="cs"/>
          <w:rtl/>
        </w:rPr>
        <w:tab/>
      </w:r>
      <w:r>
        <w:rPr>
          <w:rStyle w:val="default"/>
          <w:rFonts w:cs="FrankRuehl"/>
          <w:rtl/>
        </w:rPr>
        <w:t>תשלום מחברה משפחתית לנישום, שנדרש על ידה כהוצאה בשנת מס, ושיצר</w:t>
      </w:r>
      <w:r>
        <w:rPr>
          <w:rStyle w:val="default"/>
          <w:rFonts w:cs="FrankRuehl" w:hint="cs"/>
          <w:rtl/>
        </w:rPr>
        <w:t xml:space="preserve"> </w:t>
      </w:r>
      <w:r>
        <w:rPr>
          <w:rStyle w:val="default"/>
          <w:rFonts w:cs="FrankRuehl"/>
          <w:rtl/>
        </w:rPr>
        <w:t>באותה שנת מס הפסד לחברה, הנחשב כהפסדו של הנישום, בסכום שלא פחת מ</w:t>
      </w:r>
      <w:r>
        <w:rPr>
          <w:rStyle w:val="default"/>
          <w:rFonts w:cs="FrankRuehl" w:hint="cs"/>
          <w:rtl/>
        </w:rPr>
        <w:t>-</w:t>
      </w:r>
      <w:r>
        <w:rPr>
          <w:rStyle w:val="default"/>
          <w:rFonts w:cs="FrankRuehl"/>
          <w:rtl/>
        </w:rPr>
        <w:t>500,000 שקלים חדשים; לענין פסקה זו, "חברה משפחתית" ו"נישום" – כמשמעותם בסעיף 64א לפקודה;</w:t>
      </w:r>
    </w:p>
    <w:p w14:paraId="62A26E29" w14:textId="77777777" w:rsidR="006511DD" w:rsidRDefault="006511DD">
      <w:pPr>
        <w:pStyle w:val="P00"/>
        <w:spacing w:before="72"/>
        <w:ind w:left="624" w:right="1134"/>
        <w:rPr>
          <w:rStyle w:val="default"/>
          <w:rFonts w:cs="FrankRuehl"/>
          <w:rtl/>
        </w:rPr>
      </w:pPr>
      <w:r>
        <w:rPr>
          <w:rStyle w:val="default"/>
          <w:rFonts w:cs="FrankRuehl"/>
          <w:rtl/>
        </w:rPr>
        <w:t>(12)</w:t>
      </w:r>
      <w:r>
        <w:rPr>
          <w:rStyle w:val="default"/>
          <w:rFonts w:cs="FrankRuehl" w:hint="cs"/>
          <w:rtl/>
        </w:rPr>
        <w:tab/>
      </w:r>
      <w:r>
        <w:rPr>
          <w:rStyle w:val="default"/>
          <w:rFonts w:cs="FrankRuehl"/>
          <w:rtl/>
        </w:rPr>
        <w:t>התקשרות עם בעל זכות במקרקעין למתן שירותי בניה על המקרקעין או למתן</w:t>
      </w:r>
      <w:r>
        <w:rPr>
          <w:rStyle w:val="default"/>
          <w:rFonts w:cs="FrankRuehl" w:hint="cs"/>
          <w:rtl/>
        </w:rPr>
        <w:t xml:space="preserve"> </w:t>
      </w:r>
      <w:r>
        <w:rPr>
          <w:rStyle w:val="default"/>
          <w:rFonts w:cs="FrankRuehl"/>
          <w:rtl/>
        </w:rPr>
        <w:t>שירותי מימון לבניה כאמור, שהתמורה להם, כולה או חלקה, מחושבת לפי התמורה ממכירת הזכות במקרקעין;</w:t>
      </w:r>
    </w:p>
    <w:p w14:paraId="0C69115C" w14:textId="77777777" w:rsidR="006511DD" w:rsidRDefault="006511DD">
      <w:pPr>
        <w:pStyle w:val="P00"/>
        <w:spacing w:before="72"/>
        <w:ind w:left="624" w:right="1134"/>
        <w:rPr>
          <w:rStyle w:val="default"/>
          <w:rFonts w:cs="FrankRuehl" w:hint="cs"/>
          <w:rtl/>
        </w:rPr>
      </w:pPr>
      <w:r>
        <w:rPr>
          <w:rStyle w:val="default"/>
          <w:rFonts w:cs="FrankRuehl"/>
          <w:rtl/>
        </w:rPr>
        <w:t>(13)</w:t>
      </w:r>
      <w:r>
        <w:rPr>
          <w:rStyle w:val="default"/>
          <w:rFonts w:cs="FrankRuehl" w:hint="cs"/>
          <w:rtl/>
        </w:rPr>
        <w:tab/>
      </w:r>
      <w:r>
        <w:rPr>
          <w:rStyle w:val="default"/>
          <w:rFonts w:cs="FrankRuehl"/>
          <w:rtl/>
        </w:rPr>
        <w:t>התקשרות עם בעל זכות במקרקעין למכירת זכות במקרקעין לקבוצת רוכשים</w:t>
      </w:r>
      <w:r>
        <w:rPr>
          <w:rStyle w:val="default"/>
          <w:rFonts w:cs="FrankRuehl" w:hint="cs"/>
          <w:rtl/>
        </w:rPr>
        <w:t xml:space="preserve"> </w:t>
      </w:r>
      <w:r>
        <w:rPr>
          <w:rStyle w:val="default"/>
          <w:rFonts w:cs="FrankRuehl"/>
          <w:rtl/>
        </w:rPr>
        <w:t>המתארגנת כקבוצה לרכישת הזכות ולבניה על המקרקעין באמצעות גורם מארגן;</w:t>
      </w:r>
      <w:r>
        <w:rPr>
          <w:rStyle w:val="default"/>
          <w:rFonts w:cs="FrankRuehl" w:hint="cs"/>
          <w:rtl/>
        </w:rPr>
        <w:t xml:space="preserve"> </w:t>
      </w:r>
      <w:r>
        <w:rPr>
          <w:rStyle w:val="default"/>
          <w:rFonts w:cs="FrankRuehl"/>
          <w:rtl/>
        </w:rPr>
        <w:t>בפסקה זו, "גורם מארגן" – בין אם הוא פועל לארגון הקבוצה רק לצורך רכישת הזכות במקרקעין ובין אם הוא פועל לארגונה גם לצורך רכישת שירותי בניה על המקרקעין.</w:t>
      </w:r>
    </w:p>
    <w:p w14:paraId="35CBB091" w14:textId="77777777" w:rsidR="006511DD" w:rsidRDefault="006511DD">
      <w:pPr>
        <w:pStyle w:val="P00"/>
        <w:spacing w:before="72"/>
        <w:ind w:left="0" w:right="1134"/>
        <w:rPr>
          <w:rStyle w:val="default"/>
          <w:rFonts w:cs="FrankRuehl" w:hint="cs"/>
          <w:rtl/>
        </w:rPr>
      </w:pPr>
      <w:bookmarkStart w:id="3" w:name="Seif2"/>
      <w:bookmarkEnd w:id="3"/>
      <w:r>
        <w:rPr>
          <w:rFonts w:cs="Miriam"/>
          <w:lang w:val="he-IL"/>
        </w:rPr>
        <w:pict w14:anchorId="35D938D7">
          <v:rect id="_x0000_s1184" style="position:absolute;left:0;text-align:left;margin-left:464.35pt;margin-top:7.1pt;width:75.05pt;height:8.95pt;z-index:251657216" o:allowincell="f" filled="f" stroked="f" strokecolor="lime" strokeweight=".25pt">
            <v:textbox style="mso-next-textbox:#_x0000_s1184" inset="0,0,0,0">
              <w:txbxContent>
                <w:p w14:paraId="154D6430" w14:textId="77777777" w:rsidR="006511DD" w:rsidRDefault="006511DD">
                  <w:pPr>
                    <w:spacing w:line="160" w:lineRule="exact"/>
                    <w:rPr>
                      <w:rFonts w:cs="Miriam" w:hint="cs"/>
                      <w:noProof/>
                      <w:sz w:val="18"/>
                      <w:szCs w:val="18"/>
                      <w:rtl/>
                    </w:rPr>
                  </w:pPr>
                  <w:r>
                    <w:rPr>
                      <w:rFonts w:cs="Miriam" w:hint="cs"/>
                      <w:sz w:val="18"/>
                      <w:szCs w:val="18"/>
                      <w:rtl/>
                    </w:rPr>
                    <w:t>אופן הדיווח והיקפו</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פעולה שהיא תכנון מס החייב בדיווח כאמור בתקנה 2, תפורט בדוח לפי סעיף 131 לפקודה, לרבות הצדדים לפעולה, במישרין או בעקיפין, סכומים ששולמו בשלה בכסף או בשווה כסף ולמי שולמו, כמפורט להלן לגבי כל פעולה:</w:t>
      </w:r>
    </w:p>
    <w:p w14:paraId="624182B7" w14:textId="77777777" w:rsidR="006511DD" w:rsidRDefault="006511DD">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פעולה כאמור בתקנה 2(1) תפורט בדוח לשנת התשלום, על ידי האדם;</w:t>
      </w:r>
    </w:p>
    <w:p w14:paraId="064090BC" w14:textId="77777777" w:rsidR="006511DD" w:rsidRDefault="006511DD">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פעולה כאמור בתקנה 2(2) ו</w:t>
      </w:r>
      <w:r>
        <w:rPr>
          <w:rStyle w:val="default"/>
          <w:rFonts w:cs="FrankRuehl" w:hint="cs"/>
          <w:rtl/>
        </w:rPr>
        <w:t>-</w:t>
      </w:r>
      <w:r>
        <w:rPr>
          <w:rStyle w:val="default"/>
          <w:rFonts w:cs="FrankRuehl"/>
          <w:rtl/>
        </w:rPr>
        <w:t>(4) תפורט בדוח לשנת המס שבה קוזז ההפסד, כולו או חלקו, על ידי המוכר;</w:t>
      </w:r>
    </w:p>
    <w:p w14:paraId="75FD1F23" w14:textId="77777777" w:rsidR="006511DD" w:rsidRDefault="006511DD">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פעולה כאמור בתקנה 2(3) תפורט בדוח לשנת המכירה, על ידי המוכר;</w:t>
      </w:r>
    </w:p>
    <w:p w14:paraId="0AA06D51" w14:textId="77777777" w:rsidR="006511DD" w:rsidRDefault="006511DD">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פעולה כאמור בתקנה 2(5) תפורט בדוח לשנת המחילה, על ידי המוחל;</w:t>
      </w:r>
    </w:p>
    <w:p w14:paraId="478E699B" w14:textId="77777777" w:rsidR="006511DD" w:rsidRDefault="006511DD">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פעולה כאמור בתקנה 2(6) תפורט בדוח לשנת המס העוקבת לשנת הפירעון, על ידי היחיד ועל ידי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האדם;</w:t>
      </w:r>
    </w:p>
    <w:p w14:paraId="3D764D74" w14:textId="77777777" w:rsidR="006511DD" w:rsidRDefault="006511DD">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פעולה כאמור בתקנה 2(7) תפורט בדוחות לשנת המס שבה נרכשו אמצעי השליטה</w:t>
      </w:r>
      <w:r>
        <w:rPr>
          <w:rStyle w:val="default"/>
          <w:rFonts w:cs="FrankRuehl" w:hint="cs"/>
          <w:rtl/>
        </w:rPr>
        <w:t xml:space="preserve"> </w:t>
      </w:r>
      <w:r>
        <w:rPr>
          <w:rStyle w:val="default"/>
          <w:rFonts w:cs="FrankRuehl"/>
          <w:rtl/>
        </w:rPr>
        <w:t>ולשנת המס שבה פרע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האדם את החוב, כולו או חלקו, כלפי רוכש אמצעי השליטה, על ידי הרוכש ועל ידי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האדם;</w:t>
      </w:r>
    </w:p>
    <w:p w14:paraId="7E86356D" w14:textId="77777777" w:rsidR="006511DD" w:rsidRDefault="006511DD">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פעולה כאמור בתקנה 2(8) תפורט בדוח לשנת המס שבה הושלמה רכישה של 50% לפחות מאמצעי השליטה בחבר, על ידי הרוכש ועל ידי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האדם שבו נרכשו אמצעי השליטה;</w:t>
      </w:r>
    </w:p>
    <w:p w14:paraId="7DBC9213" w14:textId="77777777" w:rsidR="006511DD" w:rsidRDefault="006511DD">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פעולות כאמור בתקנה 2(9)(א) ו</w:t>
      </w:r>
      <w:r>
        <w:rPr>
          <w:rStyle w:val="default"/>
          <w:rFonts w:cs="FrankRuehl" w:hint="cs"/>
          <w:rtl/>
        </w:rPr>
        <w:t>-</w:t>
      </w:r>
      <w:r>
        <w:rPr>
          <w:rStyle w:val="default"/>
          <w:rFonts w:cs="FrankRuehl"/>
          <w:rtl/>
        </w:rPr>
        <w:t>(10)(א) יפורטו בדוח לשנת המס הראשונה שבה הגיע שיעור ההחזקה באמצעי שליטה על ידי הרוכש וקרובו ל</w:t>
      </w:r>
      <w:r>
        <w:rPr>
          <w:rStyle w:val="default"/>
          <w:rFonts w:cs="FrankRuehl" w:hint="cs"/>
          <w:rtl/>
        </w:rPr>
        <w:t>-</w:t>
      </w:r>
      <w:r>
        <w:rPr>
          <w:rStyle w:val="default"/>
          <w:rFonts w:cs="FrankRuehl"/>
          <w:rtl/>
        </w:rPr>
        <w:t>25% לפחות, על ידי הרוכש;</w:t>
      </w:r>
    </w:p>
    <w:p w14:paraId="463CF04B" w14:textId="77777777" w:rsidR="006511DD" w:rsidRDefault="006511DD">
      <w:pPr>
        <w:pStyle w:val="P00"/>
        <w:spacing w:before="72"/>
        <w:ind w:left="62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פעולות כאמור בתקנה 2(9)(ב) ו</w:t>
      </w:r>
      <w:r>
        <w:rPr>
          <w:rStyle w:val="default"/>
          <w:rFonts w:cs="FrankRuehl" w:hint="cs"/>
          <w:rtl/>
        </w:rPr>
        <w:t>-</w:t>
      </w:r>
      <w:r>
        <w:rPr>
          <w:rStyle w:val="default"/>
          <w:rFonts w:cs="FrankRuehl"/>
          <w:rtl/>
        </w:rPr>
        <w:t>(10)(ב) יפורטו בדוח לשנת המס שבה היה שיעור ההחזקה של תושב ישראל באמצעי שליטה 25% או יותר, על ידי המחזיק;</w:t>
      </w:r>
    </w:p>
    <w:p w14:paraId="2ADB3DCC" w14:textId="77777777" w:rsidR="006511DD" w:rsidRDefault="006511DD">
      <w:pPr>
        <w:pStyle w:val="P00"/>
        <w:spacing w:before="72"/>
        <w:ind w:left="624"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פעולות כאמור בתקנה 2(9)(ג) ו</w:t>
      </w:r>
      <w:r>
        <w:rPr>
          <w:rStyle w:val="default"/>
          <w:rFonts w:cs="FrankRuehl" w:hint="cs"/>
          <w:rtl/>
        </w:rPr>
        <w:t>-</w:t>
      </w:r>
      <w:r>
        <w:rPr>
          <w:rStyle w:val="default"/>
          <w:rFonts w:cs="FrankRuehl"/>
          <w:rtl/>
        </w:rPr>
        <w:t>(10)(ג) יפורטו בדוח לשנת המס שבה התקבל התקבול, על ידי בעל המניות המהותי;</w:t>
      </w:r>
    </w:p>
    <w:p w14:paraId="37DE78B4" w14:textId="77777777" w:rsidR="006511DD" w:rsidRDefault="006511DD">
      <w:pPr>
        <w:pStyle w:val="P00"/>
        <w:spacing w:before="72"/>
        <w:ind w:left="624" w:right="1134"/>
        <w:rPr>
          <w:rStyle w:val="default"/>
          <w:rFonts w:cs="FrankRuehl" w:hint="cs"/>
          <w:rtl/>
        </w:rPr>
      </w:pPr>
      <w:r>
        <w:rPr>
          <w:rStyle w:val="default"/>
          <w:rFonts w:cs="FrankRuehl"/>
          <w:rtl/>
        </w:rPr>
        <w:t>(11)</w:t>
      </w:r>
      <w:r>
        <w:rPr>
          <w:rStyle w:val="default"/>
          <w:rFonts w:cs="FrankRuehl" w:hint="cs"/>
          <w:rtl/>
        </w:rPr>
        <w:tab/>
      </w:r>
      <w:r>
        <w:rPr>
          <w:rStyle w:val="default"/>
          <w:rFonts w:cs="FrankRuehl"/>
          <w:rtl/>
        </w:rPr>
        <w:t>פעולה כאמור בתקנה 2(11) תפורט בדוח לשנת המס שבה נוצר ההפסד, על ידי הנישום;</w:t>
      </w:r>
    </w:p>
    <w:p w14:paraId="6CC950B4" w14:textId="77777777" w:rsidR="006511DD" w:rsidRDefault="006511DD">
      <w:pPr>
        <w:pStyle w:val="P00"/>
        <w:spacing w:before="72"/>
        <w:ind w:left="624" w:right="1134"/>
        <w:rPr>
          <w:rStyle w:val="default"/>
          <w:rFonts w:cs="FrankRuehl" w:hint="cs"/>
          <w:rtl/>
        </w:rPr>
      </w:pPr>
      <w:r>
        <w:rPr>
          <w:rStyle w:val="default"/>
          <w:rFonts w:cs="FrankRuehl"/>
          <w:rtl/>
        </w:rPr>
        <w:t>(12)</w:t>
      </w:r>
      <w:r>
        <w:rPr>
          <w:rStyle w:val="default"/>
          <w:rFonts w:cs="FrankRuehl" w:hint="cs"/>
          <w:rtl/>
        </w:rPr>
        <w:tab/>
      </w:r>
      <w:r>
        <w:rPr>
          <w:rStyle w:val="default"/>
          <w:rFonts w:cs="FrankRuehl"/>
          <w:rtl/>
        </w:rPr>
        <w:t>פעולה כאמור בתקנה 2(12) תפורט בדוח לשנת המס שבה היתה ההתקשרות, על</w:t>
      </w:r>
      <w:r>
        <w:rPr>
          <w:rStyle w:val="default"/>
          <w:rFonts w:cs="FrankRuehl" w:hint="cs"/>
          <w:rtl/>
        </w:rPr>
        <w:t xml:space="preserve"> </w:t>
      </w:r>
      <w:r>
        <w:rPr>
          <w:rStyle w:val="default"/>
          <w:rFonts w:cs="FrankRuehl"/>
          <w:rtl/>
        </w:rPr>
        <w:t>ידי בעל הזכות במקרקעין, וכן על ידי נותן שירותי הבניה או נותן שירותי המימון, לפי הענין;</w:t>
      </w:r>
    </w:p>
    <w:p w14:paraId="0229F5E4" w14:textId="77777777" w:rsidR="006511DD" w:rsidRDefault="006511DD">
      <w:pPr>
        <w:pStyle w:val="P00"/>
        <w:spacing w:before="72"/>
        <w:ind w:left="624" w:right="1134"/>
        <w:rPr>
          <w:rStyle w:val="default"/>
          <w:rFonts w:cs="FrankRuehl" w:hint="cs"/>
          <w:rtl/>
        </w:rPr>
      </w:pPr>
      <w:r>
        <w:rPr>
          <w:rStyle w:val="default"/>
          <w:rFonts w:cs="FrankRuehl"/>
          <w:rtl/>
        </w:rPr>
        <w:t>(13)</w:t>
      </w:r>
      <w:r>
        <w:rPr>
          <w:rStyle w:val="default"/>
          <w:rFonts w:cs="FrankRuehl" w:hint="cs"/>
          <w:rtl/>
        </w:rPr>
        <w:tab/>
      </w:r>
      <w:r>
        <w:rPr>
          <w:rStyle w:val="default"/>
          <w:rFonts w:cs="FrankRuehl"/>
          <w:rtl/>
        </w:rPr>
        <w:t>פעולה כאמור בתקנה 2(13), תפורט בדוח לשנת המס שבה היתה ההתקשרות למכירת הזכות במקרקעין על ידי בעל הזכות במקרקעין ועל ידי הגורם המארגן.</w:t>
      </w:r>
    </w:p>
    <w:p w14:paraId="1ECADFE8" w14:textId="77777777" w:rsidR="006511DD" w:rsidRDefault="006511DD">
      <w:pPr>
        <w:pStyle w:val="P00"/>
        <w:spacing w:before="72"/>
        <w:ind w:left="0" w:right="1134"/>
        <w:rPr>
          <w:rStyle w:val="default"/>
          <w:rFonts w:cs="FrankRuehl" w:hint="cs"/>
          <w:rtl/>
        </w:rPr>
      </w:pPr>
      <w:bookmarkStart w:id="4" w:name="Seif3"/>
      <w:bookmarkEnd w:id="4"/>
      <w:r>
        <w:rPr>
          <w:rFonts w:cs="Miriam"/>
          <w:lang w:val="he-IL"/>
        </w:rPr>
        <w:pict w14:anchorId="69667136">
          <v:rect id="_x0000_s1196" style="position:absolute;left:0;text-align:left;margin-left:464.35pt;margin-top:7.1pt;width:75.05pt;height:9.25pt;z-index:251658240" o:allowincell="f" filled="f" stroked="f" strokecolor="lime" strokeweight=".25pt">
            <v:textbox style="mso-next-textbox:#_x0000_s1196" inset="0,0,0,0">
              <w:txbxContent>
                <w:p w14:paraId="27E7910C" w14:textId="77777777" w:rsidR="006511DD" w:rsidRDefault="006511DD">
                  <w:pPr>
                    <w:spacing w:line="160" w:lineRule="exact"/>
                    <w:rPr>
                      <w:rFonts w:cs="Miriam" w:hint="cs"/>
                      <w:noProof/>
                      <w:sz w:val="18"/>
                      <w:szCs w:val="18"/>
                      <w:rtl/>
                    </w:rPr>
                  </w:pPr>
                  <w:r>
                    <w:rPr>
                      <w:rFonts w:cs="Miriam" w:hint="cs"/>
                      <w:sz w:val="18"/>
                      <w:szCs w:val="18"/>
                      <w:rtl/>
                    </w:rPr>
                    <w:t>אי-תחולה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על אף האמור בתקנה 2, פעולה כמפורט בתקנה האמורה שניתנה לגביה החלטת</w:t>
      </w:r>
      <w:r>
        <w:rPr>
          <w:rStyle w:val="default"/>
          <w:rFonts w:cs="FrankRuehl" w:hint="cs"/>
          <w:rtl/>
        </w:rPr>
        <w:t xml:space="preserve"> </w:t>
      </w:r>
      <w:r>
        <w:rPr>
          <w:rStyle w:val="default"/>
          <w:rFonts w:cs="FrankRuehl"/>
          <w:rtl/>
        </w:rPr>
        <w:t>מיסוי או החלטת מיסוי בהסכם לפי הוראות פרק שני ב לחלק ט לפקודה או לפי הוראות</w:t>
      </w:r>
      <w:r>
        <w:rPr>
          <w:rStyle w:val="default"/>
          <w:rFonts w:cs="FrankRuehl" w:hint="cs"/>
          <w:rtl/>
        </w:rPr>
        <w:t xml:space="preserve"> </w:t>
      </w:r>
      <w:r>
        <w:rPr>
          <w:rStyle w:val="default"/>
          <w:rFonts w:cs="FrankRuehl"/>
          <w:rtl/>
        </w:rPr>
        <w:t>אחרות הקבועות בדיני המס בענין בקשה למתן החלטת מיסוי על ידי המנהל, לא יראו בה</w:t>
      </w:r>
      <w:r>
        <w:rPr>
          <w:rStyle w:val="default"/>
          <w:rFonts w:cs="FrankRuehl" w:hint="cs"/>
          <w:rtl/>
        </w:rPr>
        <w:t xml:space="preserve"> </w:t>
      </w:r>
      <w:r>
        <w:rPr>
          <w:rStyle w:val="default"/>
          <w:rFonts w:cs="FrankRuehl"/>
          <w:rtl/>
        </w:rPr>
        <w:t>תכנון מס החייב בדיווח; בתקנת משנה זו, "החלטת מיסוי", "החלטת מיסוי בהסכם" ו"דיני המס" – כהגדרתם בסעיף 158 ב לפקודה.</w:t>
      </w:r>
    </w:p>
    <w:p w14:paraId="67FC83F9" w14:textId="77777777" w:rsidR="006511DD" w:rsidRDefault="006511D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נוסף על האמור בתקנת משנה (א), לא יראו בפעולות שלהלן תכנון מס החייב בדיווח:</w:t>
      </w:r>
    </w:p>
    <w:p w14:paraId="5D5FDD3E" w14:textId="77777777" w:rsidR="006511DD" w:rsidRDefault="006511DD">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התקשרות כאמור בתקנה 2(12), אם דווחה למנהל מיסוי מקרקעין כמכירת</w:t>
      </w:r>
      <w:r>
        <w:rPr>
          <w:rStyle w:val="default"/>
          <w:rFonts w:cs="FrankRuehl" w:hint="cs"/>
          <w:rtl/>
        </w:rPr>
        <w:t xml:space="preserve"> </w:t>
      </w:r>
      <w:r>
        <w:rPr>
          <w:rStyle w:val="default"/>
          <w:rFonts w:cs="FrankRuehl"/>
          <w:rtl/>
        </w:rPr>
        <w:t>זכות במקרקעין, לפי הוראות חוק מיסוי מקרקעין, על ידי בעל הזכות במקרקעין וכן על ידי נותן שירותי הבניה או נותן שירותי המימון, לפי הענין;</w:t>
      </w:r>
    </w:p>
    <w:p w14:paraId="41B7820B" w14:textId="77777777" w:rsidR="006511DD" w:rsidRDefault="006511D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התקשרות כאמור בתקנה 2(13), אם דווחה למנהל מיסוי מקרקעין כמכירת</w:t>
      </w:r>
      <w:r>
        <w:rPr>
          <w:rStyle w:val="default"/>
          <w:rFonts w:cs="FrankRuehl" w:hint="cs"/>
          <w:rtl/>
        </w:rPr>
        <w:t xml:space="preserve"> </w:t>
      </w:r>
      <w:r>
        <w:rPr>
          <w:rStyle w:val="default"/>
          <w:rFonts w:cs="FrankRuehl"/>
          <w:rtl/>
        </w:rPr>
        <w:t>זכות במקרקעין, לפי הוראות חוק מיסוי מקרקעין, על ידי בעל הזכות במקרקעין לגורם המארגן ועל ידי הגורם המארגן לקבוצת הרוכשים.</w:t>
      </w:r>
    </w:p>
    <w:p w14:paraId="3804B6C4" w14:textId="77777777" w:rsidR="006511DD" w:rsidRDefault="006511DD" w:rsidP="009E01B6">
      <w:pPr>
        <w:pStyle w:val="P00"/>
        <w:spacing w:before="72"/>
        <w:ind w:left="0" w:right="1134"/>
        <w:rPr>
          <w:rStyle w:val="default"/>
          <w:rFonts w:cs="FrankRuehl" w:hint="cs"/>
          <w:rtl/>
        </w:rPr>
      </w:pPr>
      <w:bookmarkStart w:id="5" w:name="Seif4"/>
      <w:bookmarkEnd w:id="5"/>
      <w:r>
        <w:rPr>
          <w:rFonts w:cs="Miriam"/>
          <w:lang w:val="he-IL"/>
        </w:rPr>
        <w:pict w14:anchorId="1A120E0B">
          <v:rect id="_x0000_s1197" style="position:absolute;left:0;text-align:left;margin-left:464.35pt;margin-top:7.1pt;width:75.05pt;height:9.55pt;z-index:251659264" o:allowincell="f" filled="f" stroked="f" strokecolor="lime" strokeweight=".25pt">
            <v:textbox style="mso-next-textbox:#_x0000_s1197" inset="0,0,0,0">
              <w:txbxContent>
                <w:p w14:paraId="12945872" w14:textId="77777777" w:rsidR="006511DD" w:rsidRDefault="009E01B6">
                  <w:pPr>
                    <w:spacing w:line="160" w:lineRule="exact"/>
                    <w:rPr>
                      <w:rFonts w:cs="Miriam" w:hint="cs"/>
                      <w:noProof/>
                      <w:sz w:val="18"/>
                      <w:szCs w:val="18"/>
                      <w:rtl/>
                    </w:rPr>
                  </w:pPr>
                  <w:r>
                    <w:rPr>
                      <w:rFonts w:cs="Miriam" w:hint="cs"/>
                      <w:sz w:val="18"/>
                      <w:szCs w:val="18"/>
                      <w:rtl/>
                    </w:rPr>
                    <w:t>תק' תש"ע-2009</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9E01B6">
        <w:rPr>
          <w:rStyle w:val="default"/>
          <w:rFonts w:cs="FrankRuehl" w:hint="cs"/>
          <w:rtl/>
        </w:rPr>
        <w:t>(בוטלה)</w:t>
      </w:r>
      <w:r>
        <w:rPr>
          <w:rStyle w:val="default"/>
          <w:rFonts w:cs="FrankRuehl"/>
          <w:rtl/>
        </w:rPr>
        <w:t>.</w:t>
      </w:r>
    </w:p>
    <w:p w14:paraId="27E43DB8" w14:textId="77777777" w:rsidR="009E01B6" w:rsidRPr="007D4B99" w:rsidRDefault="009E01B6" w:rsidP="009E01B6">
      <w:pPr>
        <w:pStyle w:val="P00"/>
        <w:spacing w:before="0"/>
        <w:ind w:left="0" w:right="1134"/>
        <w:rPr>
          <w:rStyle w:val="default"/>
          <w:rFonts w:cs="FrankRuehl" w:hint="cs"/>
          <w:vanish/>
          <w:color w:val="FF0000"/>
          <w:sz w:val="20"/>
          <w:szCs w:val="20"/>
          <w:shd w:val="clear" w:color="auto" w:fill="FFFF99"/>
          <w:rtl/>
        </w:rPr>
      </w:pPr>
      <w:bookmarkStart w:id="6" w:name="Rov7"/>
      <w:r w:rsidRPr="007D4B99">
        <w:rPr>
          <w:rStyle w:val="default"/>
          <w:rFonts w:cs="FrankRuehl" w:hint="cs"/>
          <w:vanish/>
          <w:color w:val="FF0000"/>
          <w:sz w:val="20"/>
          <w:szCs w:val="20"/>
          <w:shd w:val="clear" w:color="auto" w:fill="FFFF99"/>
          <w:rtl/>
        </w:rPr>
        <w:t>מיום 31.12.2009</w:t>
      </w:r>
    </w:p>
    <w:p w14:paraId="7A207E60" w14:textId="77777777" w:rsidR="009E01B6" w:rsidRPr="007D4B99" w:rsidRDefault="009E01B6" w:rsidP="009E01B6">
      <w:pPr>
        <w:pStyle w:val="P00"/>
        <w:spacing w:before="0"/>
        <w:ind w:left="0" w:right="1134"/>
        <w:rPr>
          <w:rStyle w:val="default"/>
          <w:rFonts w:cs="FrankRuehl" w:hint="cs"/>
          <w:vanish/>
          <w:sz w:val="20"/>
          <w:szCs w:val="20"/>
          <w:shd w:val="clear" w:color="auto" w:fill="FFFF99"/>
          <w:rtl/>
        </w:rPr>
      </w:pPr>
      <w:r w:rsidRPr="007D4B99">
        <w:rPr>
          <w:rStyle w:val="default"/>
          <w:rFonts w:cs="FrankRuehl" w:hint="cs"/>
          <w:b/>
          <w:bCs/>
          <w:vanish/>
          <w:sz w:val="20"/>
          <w:szCs w:val="20"/>
          <w:shd w:val="clear" w:color="auto" w:fill="FFFF99"/>
          <w:rtl/>
        </w:rPr>
        <w:t>תק' תש"ע-2009</w:t>
      </w:r>
    </w:p>
    <w:p w14:paraId="4B9D3477" w14:textId="77777777" w:rsidR="009E01B6" w:rsidRPr="007D4B99" w:rsidRDefault="009E01B6" w:rsidP="009E01B6">
      <w:pPr>
        <w:pStyle w:val="P00"/>
        <w:spacing w:before="0"/>
        <w:ind w:left="0" w:right="1134"/>
        <w:rPr>
          <w:rStyle w:val="default"/>
          <w:rFonts w:cs="FrankRuehl" w:hint="cs"/>
          <w:vanish/>
          <w:sz w:val="20"/>
          <w:szCs w:val="20"/>
          <w:shd w:val="clear" w:color="auto" w:fill="FFFF99"/>
          <w:rtl/>
        </w:rPr>
      </w:pPr>
      <w:hyperlink r:id="rId8" w:history="1">
        <w:r w:rsidRPr="007D4B99">
          <w:rPr>
            <w:rStyle w:val="Hyperlink"/>
            <w:rFonts w:cs="FrankRuehl" w:hint="cs"/>
            <w:vanish/>
            <w:szCs w:val="20"/>
            <w:shd w:val="clear" w:color="auto" w:fill="FFFF99"/>
            <w:rtl/>
          </w:rPr>
          <w:t>ק"ת תש"ע מס' 6846</w:t>
        </w:r>
      </w:hyperlink>
      <w:r w:rsidRPr="007D4B99">
        <w:rPr>
          <w:rStyle w:val="default"/>
          <w:rFonts w:cs="FrankRuehl" w:hint="cs"/>
          <w:vanish/>
          <w:sz w:val="20"/>
          <w:szCs w:val="20"/>
          <w:shd w:val="clear" w:color="auto" w:fill="FFFF99"/>
          <w:rtl/>
        </w:rPr>
        <w:t xml:space="preserve"> מיום 31.12.2009 עמ' 402</w:t>
      </w:r>
    </w:p>
    <w:p w14:paraId="68F2A25A" w14:textId="77777777" w:rsidR="009E01B6" w:rsidRPr="007D4B99" w:rsidRDefault="009E01B6" w:rsidP="009E01B6">
      <w:pPr>
        <w:pStyle w:val="P00"/>
        <w:spacing w:before="0"/>
        <w:ind w:left="0" w:right="1134"/>
        <w:rPr>
          <w:rStyle w:val="default"/>
          <w:rFonts w:cs="FrankRuehl" w:hint="cs"/>
          <w:vanish/>
          <w:sz w:val="20"/>
          <w:szCs w:val="20"/>
          <w:shd w:val="clear" w:color="auto" w:fill="FFFF99"/>
          <w:rtl/>
        </w:rPr>
      </w:pPr>
      <w:r w:rsidRPr="007D4B99">
        <w:rPr>
          <w:rStyle w:val="default"/>
          <w:rFonts w:cs="FrankRuehl" w:hint="cs"/>
          <w:b/>
          <w:bCs/>
          <w:vanish/>
          <w:sz w:val="20"/>
          <w:szCs w:val="20"/>
          <w:shd w:val="clear" w:color="auto" w:fill="FFFF99"/>
          <w:rtl/>
        </w:rPr>
        <w:t>ביטול תקנה 5</w:t>
      </w:r>
    </w:p>
    <w:p w14:paraId="3F4B50D4" w14:textId="77777777" w:rsidR="009E01B6" w:rsidRPr="007D4B99" w:rsidRDefault="009E01B6" w:rsidP="009E01B6">
      <w:pPr>
        <w:pStyle w:val="P00"/>
        <w:ind w:left="0" w:right="1134"/>
        <w:rPr>
          <w:rStyle w:val="default"/>
          <w:rFonts w:cs="FrankRuehl" w:hint="cs"/>
          <w:vanish/>
          <w:sz w:val="20"/>
          <w:szCs w:val="20"/>
          <w:shd w:val="clear" w:color="auto" w:fill="FFFF99"/>
          <w:rtl/>
        </w:rPr>
      </w:pPr>
      <w:r w:rsidRPr="007D4B99">
        <w:rPr>
          <w:rStyle w:val="default"/>
          <w:rFonts w:cs="FrankRuehl" w:hint="cs"/>
          <w:vanish/>
          <w:sz w:val="20"/>
          <w:szCs w:val="20"/>
          <w:shd w:val="clear" w:color="auto" w:fill="FFFF99"/>
          <w:rtl/>
        </w:rPr>
        <w:t>הנוסח הקודם:</w:t>
      </w:r>
    </w:p>
    <w:p w14:paraId="4768B1B4" w14:textId="77777777" w:rsidR="009E01B6" w:rsidRPr="007D4B99" w:rsidRDefault="009E01B6" w:rsidP="009E01B6">
      <w:pPr>
        <w:pStyle w:val="P00"/>
        <w:spacing w:before="0"/>
        <w:ind w:left="0" w:right="1134"/>
        <w:rPr>
          <w:rStyle w:val="big-number"/>
          <w:rFonts w:cs="Miriam" w:hint="cs"/>
          <w:strike/>
          <w:vanish/>
          <w:sz w:val="16"/>
          <w:szCs w:val="16"/>
          <w:shd w:val="clear" w:color="auto" w:fill="FFFF99"/>
          <w:rtl/>
        </w:rPr>
      </w:pPr>
      <w:r w:rsidRPr="007D4B99">
        <w:rPr>
          <w:rStyle w:val="big-number"/>
          <w:rFonts w:cs="Miriam" w:hint="cs"/>
          <w:strike/>
          <w:vanish/>
          <w:sz w:val="16"/>
          <w:szCs w:val="16"/>
          <w:shd w:val="clear" w:color="auto" w:fill="FFFF99"/>
          <w:rtl/>
        </w:rPr>
        <w:t>תחולה</w:t>
      </w:r>
    </w:p>
    <w:p w14:paraId="16761452" w14:textId="77777777" w:rsidR="009E01B6" w:rsidRPr="009E01B6" w:rsidRDefault="009E01B6" w:rsidP="009E01B6">
      <w:pPr>
        <w:pStyle w:val="P00"/>
        <w:spacing w:before="0"/>
        <w:ind w:left="0" w:right="1134"/>
        <w:rPr>
          <w:rStyle w:val="default"/>
          <w:rFonts w:cs="FrankRuehl" w:hint="cs"/>
          <w:strike/>
          <w:sz w:val="2"/>
          <w:szCs w:val="2"/>
          <w:rtl/>
        </w:rPr>
      </w:pPr>
      <w:r w:rsidRPr="007D4B99">
        <w:rPr>
          <w:rStyle w:val="big-number"/>
          <w:rFonts w:cs="FrankRuehl" w:hint="cs"/>
          <w:strike/>
          <w:vanish/>
          <w:sz w:val="22"/>
          <w:szCs w:val="22"/>
          <w:shd w:val="clear" w:color="auto" w:fill="FFFF99"/>
          <w:rtl/>
        </w:rPr>
        <w:t>5</w:t>
      </w:r>
      <w:r w:rsidRPr="007D4B99">
        <w:rPr>
          <w:rStyle w:val="big-number"/>
          <w:rFonts w:cs="FrankRuehl"/>
          <w:strike/>
          <w:vanish/>
          <w:sz w:val="22"/>
          <w:szCs w:val="22"/>
          <w:shd w:val="clear" w:color="auto" w:fill="FFFF99"/>
          <w:rtl/>
        </w:rPr>
        <w:t>.</w:t>
      </w:r>
      <w:r w:rsidRPr="007D4B99">
        <w:rPr>
          <w:rStyle w:val="big-number"/>
          <w:rFonts w:cs="FrankRuehl"/>
          <w:strike/>
          <w:vanish/>
          <w:sz w:val="22"/>
          <w:szCs w:val="22"/>
          <w:shd w:val="clear" w:color="auto" w:fill="FFFF99"/>
          <w:rtl/>
        </w:rPr>
        <w:tab/>
      </w:r>
      <w:r w:rsidRPr="007D4B99">
        <w:rPr>
          <w:rStyle w:val="default"/>
          <w:rFonts w:cs="FrankRuehl"/>
          <w:strike/>
          <w:vanish/>
          <w:sz w:val="22"/>
          <w:szCs w:val="22"/>
          <w:shd w:val="clear" w:color="auto" w:fill="FFFF99"/>
          <w:rtl/>
        </w:rPr>
        <w:t>תקנות אלה יחולו לגבי פעולות שיתבצעו בשנות המס 2007 עד 2009.</w:t>
      </w:r>
      <w:bookmarkEnd w:id="6"/>
    </w:p>
    <w:p w14:paraId="4AF63DAB" w14:textId="77777777" w:rsidR="006511DD" w:rsidRDefault="006511DD">
      <w:pPr>
        <w:pStyle w:val="P00"/>
        <w:spacing w:before="72"/>
        <w:ind w:left="0" w:right="1134"/>
        <w:rPr>
          <w:rStyle w:val="default"/>
          <w:rFonts w:cs="FrankRuehl" w:hint="cs"/>
          <w:rtl/>
        </w:rPr>
      </w:pPr>
    </w:p>
    <w:p w14:paraId="63A8A595" w14:textId="77777777" w:rsidR="006511DD" w:rsidRDefault="006511DD">
      <w:pPr>
        <w:pStyle w:val="P00"/>
        <w:spacing w:before="72"/>
        <w:ind w:left="0" w:right="1134"/>
        <w:rPr>
          <w:rStyle w:val="default"/>
          <w:rFonts w:cs="FrankRuehl" w:hint="cs"/>
          <w:rtl/>
        </w:rPr>
      </w:pPr>
    </w:p>
    <w:p w14:paraId="57E52483" w14:textId="77777777" w:rsidR="006511DD" w:rsidRDefault="006511DD">
      <w:pPr>
        <w:pStyle w:val="P00"/>
        <w:spacing w:before="72"/>
        <w:ind w:left="0" w:right="1134"/>
        <w:rPr>
          <w:rStyle w:val="default"/>
          <w:rFonts w:cs="FrankRuehl" w:hint="cs"/>
          <w:rtl/>
        </w:rPr>
      </w:pPr>
      <w:r>
        <w:rPr>
          <w:rStyle w:val="default"/>
          <w:rFonts w:cs="FrankRuehl" w:hint="cs"/>
          <w:rtl/>
        </w:rPr>
        <w:t>י"ב בכסלו התשס"ז (3 בדצמבר 2006)</w:t>
      </w:r>
    </w:p>
    <w:p w14:paraId="0CB69833" w14:textId="77777777" w:rsidR="006511DD" w:rsidRDefault="006511DD">
      <w:pPr>
        <w:pStyle w:val="sig-0"/>
        <w:tabs>
          <w:tab w:val="clear" w:pos="4820"/>
          <w:tab w:val="center" w:pos="5103"/>
        </w:tabs>
        <w:ind w:left="0" w:right="1134"/>
        <w:rPr>
          <w:rFonts w:cs="FrankRuehl" w:hint="cs"/>
          <w:sz w:val="26"/>
          <w:rtl/>
        </w:rPr>
      </w:pPr>
      <w:r>
        <w:rPr>
          <w:rFonts w:cs="FrankRuehl" w:hint="cs"/>
          <w:sz w:val="26"/>
          <w:rtl/>
        </w:rPr>
        <w:tab/>
        <w:t>אברהם הירשזון</w:t>
      </w:r>
    </w:p>
    <w:p w14:paraId="53F99180" w14:textId="77777777" w:rsidR="006511DD" w:rsidRDefault="006511DD">
      <w:pPr>
        <w:pStyle w:val="sig-0"/>
        <w:tabs>
          <w:tab w:val="clear" w:pos="4820"/>
          <w:tab w:val="center" w:pos="5103"/>
        </w:tabs>
        <w:ind w:left="0" w:right="1134"/>
        <w:rPr>
          <w:rFonts w:cs="FrankRuehl" w:hint="cs"/>
          <w:sz w:val="22"/>
          <w:szCs w:val="22"/>
          <w:rtl/>
        </w:rPr>
      </w:pPr>
      <w:r>
        <w:rPr>
          <w:rFonts w:cs="FrankRuehl" w:hint="cs"/>
          <w:sz w:val="22"/>
          <w:szCs w:val="22"/>
          <w:rtl/>
        </w:rPr>
        <w:tab/>
        <w:t>שר האוצר</w:t>
      </w:r>
    </w:p>
    <w:p w14:paraId="284FC573" w14:textId="77777777" w:rsidR="006511DD" w:rsidRDefault="006511DD">
      <w:pPr>
        <w:pStyle w:val="sig-0"/>
        <w:tabs>
          <w:tab w:val="clear" w:pos="4820"/>
          <w:tab w:val="center" w:pos="5670"/>
        </w:tabs>
        <w:ind w:left="0" w:right="1134"/>
        <w:rPr>
          <w:rFonts w:cs="FrankRuehl" w:hint="cs"/>
          <w:sz w:val="26"/>
          <w:rtl/>
        </w:rPr>
      </w:pPr>
    </w:p>
    <w:p w14:paraId="1756A07A" w14:textId="77777777" w:rsidR="006511DD" w:rsidRDefault="006511DD">
      <w:pPr>
        <w:pStyle w:val="sig-0"/>
        <w:tabs>
          <w:tab w:val="clear" w:pos="4820"/>
          <w:tab w:val="center" w:pos="5670"/>
        </w:tabs>
        <w:ind w:left="0" w:right="1134"/>
        <w:rPr>
          <w:rFonts w:cs="FrankRuehl" w:hint="cs"/>
          <w:sz w:val="26"/>
          <w:rtl/>
        </w:rPr>
      </w:pPr>
    </w:p>
    <w:p w14:paraId="715717AC" w14:textId="77777777" w:rsidR="006511DD" w:rsidRDefault="006511DD">
      <w:pPr>
        <w:pStyle w:val="sig-0"/>
        <w:ind w:left="0" w:right="1134"/>
        <w:rPr>
          <w:rFonts w:cs="FrankRuehl"/>
          <w:sz w:val="26"/>
          <w:rtl/>
        </w:rPr>
      </w:pPr>
    </w:p>
    <w:sectPr w:rsidR="006511DD">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ECFDD" w14:textId="77777777" w:rsidR="00E722F6" w:rsidRDefault="00E722F6">
      <w:r>
        <w:separator/>
      </w:r>
    </w:p>
  </w:endnote>
  <w:endnote w:type="continuationSeparator" w:id="0">
    <w:p w14:paraId="7F2CA801" w14:textId="77777777" w:rsidR="00E722F6" w:rsidRDefault="00E72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2477" w14:textId="77777777" w:rsidR="006511DD" w:rsidRDefault="006511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7DD9284" w14:textId="77777777" w:rsidR="006511DD" w:rsidRDefault="006511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A4AAF04" w14:textId="77777777" w:rsidR="006511DD" w:rsidRDefault="006511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Z:\000000000000-law\yael\06-12-27\999_703.doc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178E" w14:textId="77777777" w:rsidR="006511DD" w:rsidRDefault="006511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D4B99">
      <w:rPr>
        <w:rFonts w:hAnsi="FrankRuehl" w:cs="FrankRuehl"/>
        <w:noProof/>
        <w:sz w:val="24"/>
        <w:szCs w:val="24"/>
        <w:rtl/>
      </w:rPr>
      <w:t>2</w:t>
    </w:r>
    <w:r>
      <w:rPr>
        <w:rFonts w:hAnsi="FrankRuehl" w:cs="FrankRuehl"/>
        <w:sz w:val="24"/>
        <w:szCs w:val="24"/>
        <w:rtl/>
      </w:rPr>
      <w:fldChar w:fldCharType="end"/>
    </w:r>
  </w:p>
  <w:p w14:paraId="49FBA749" w14:textId="77777777" w:rsidR="006511DD" w:rsidRDefault="006511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64D695E" w14:textId="77777777" w:rsidR="006511DD" w:rsidRDefault="006511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Z:\000000000000-law\yael\06-12-27\999_703.doc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18547" w14:textId="77777777" w:rsidR="00E722F6" w:rsidRDefault="00E722F6">
      <w:r>
        <w:separator/>
      </w:r>
    </w:p>
  </w:footnote>
  <w:footnote w:type="continuationSeparator" w:id="0">
    <w:p w14:paraId="4BC2C60F" w14:textId="77777777" w:rsidR="00E722F6" w:rsidRDefault="00E722F6">
      <w:r>
        <w:continuationSeparator/>
      </w:r>
    </w:p>
  </w:footnote>
  <w:footnote w:id="1">
    <w:p w14:paraId="04824609" w14:textId="77777777" w:rsidR="006511DD" w:rsidRDefault="00651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תשס"ז מס' 6545</w:t>
        </w:r>
      </w:hyperlink>
      <w:r>
        <w:rPr>
          <w:rFonts w:cs="FrankRuehl" w:hint="cs"/>
          <w:rtl/>
        </w:rPr>
        <w:t xml:space="preserve"> מיום 25.12.2006 עמ' 389.</w:t>
      </w:r>
    </w:p>
    <w:p w14:paraId="14C567A4" w14:textId="77777777" w:rsidR="00A93272" w:rsidRDefault="009E01B6" w:rsidP="00A932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A93272">
          <w:rPr>
            <w:rStyle w:val="Hyperlink"/>
            <w:rFonts w:cs="FrankRuehl" w:hint="cs"/>
            <w:rtl/>
          </w:rPr>
          <w:t>ק"ת תש"ע מס' 6846</w:t>
        </w:r>
      </w:hyperlink>
      <w:r>
        <w:rPr>
          <w:rFonts w:cs="FrankRuehl" w:hint="cs"/>
          <w:rtl/>
        </w:rPr>
        <w:t xml:space="preserve"> מיום 31.12.2009 עמ' 402 </w:t>
      </w:r>
      <w:r>
        <w:rPr>
          <w:rFonts w:cs="FrankRuehl"/>
          <w:rtl/>
        </w:rPr>
        <w:t>–</w:t>
      </w:r>
      <w:r>
        <w:rPr>
          <w:rFonts w:cs="FrankRuehl" w:hint="cs"/>
          <w:rtl/>
        </w:rPr>
        <w:t xml:space="preserve"> תק' תש"ע-2009.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A2EC5" w14:textId="77777777" w:rsidR="006511DD" w:rsidRDefault="006511D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4C0E90D" w14:textId="77777777" w:rsidR="006511DD" w:rsidRDefault="006511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7B95503" w14:textId="77777777" w:rsidR="006511DD" w:rsidRDefault="006511D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A6E99" w14:textId="77777777" w:rsidR="006511DD" w:rsidRDefault="006511DD" w:rsidP="009E01B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מס הכנסה (תכנון מס החייב בדיווח), תשס"ז-2006</w:t>
    </w:r>
  </w:p>
  <w:p w14:paraId="2EA19629" w14:textId="77777777" w:rsidR="006511DD" w:rsidRDefault="006511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80A6DAD" w14:textId="77777777" w:rsidR="006511DD" w:rsidRDefault="006511D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74778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11DD"/>
    <w:rsid w:val="00082E86"/>
    <w:rsid w:val="001F510A"/>
    <w:rsid w:val="002F4327"/>
    <w:rsid w:val="006511DD"/>
    <w:rsid w:val="007D4B99"/>
    <w:rsid w:val="008A5C25"/>
    <w:rsid w:val="009E01B6"/>
    <w:rsid w:val="00A438DC"/>
    <w:rsid w:val="00A93272"/>
    <w:rsid w:val="00C55A55"/>
    <w:rsid w:val="00E625C7"/>
    <w:rsid w:val="00E722F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A9943BD"/>
  <w15:chartTrackingRefBased/>
  <w15:docId w15:val="{B53BFA78-97FA-4C04-9306-57BE65CA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846.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06/tak-6846.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846.pdf" TargetMode="External"/><Relationship Id="rId1" Type="http://schemas.openxmlformats.org/officeDocument/2006/relationships/hyperlink" Target="http://www.nevo.co.il/Law_word/law06/tak-65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10892</CharactersWithSpaces>
  <SharedDoc>false</SharedDoc>
  <HLinks>
    <vt:vector size="54" baseType="variant">
      <vt:variant>
        <vt:i4>8060934</vt:i4>
      </vt:variant>
      <vt:variant>
        <vt:i4>33</vt:i4>
      </vt:variant>
      <vt:variant>
        <vt:i4>0</vt:i4>
      </vt:variant>
      <vt:variant>
        <vt:i4>5</vt:i4>
      </vt:variant>
      <vt:variant>
        <vt:lpwstr>http://www.nevo.co.il/Law_word/law06/tak-6846.pdf</vt:lpwstr>
      </vt:variant>
      <vt:variant>
        <vt:lpwstr/>
      </vt:variant>
      <vt:variant>
        <vt:i4>8060934</vt:i4>
      </vt:variant>
      <vt:variant>
        <vt:i4>30</vt:i4>
      </vt:variant>
      <vt:variant>
        <vt:i4>0</vt:i4>
      </vt:variant>
      <vt:variant>
        <vt:i4>5</vt:i4>
      </vt:variant>
      <vt:variant>
        <vt:lpwstr>http://www.nevo.co.il/Law_word/law06/tak-6846.pdf</vt:lpwstr>
      </vt:variant>
      <vt:variant>
        <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8060934</vt:i4>
      </vt:variant>
      <vt:variant>
        <vt:i4>3</vt:i4>
      </vt:variant>
      <vt:variant>
        <vt:i4>0</vt:i4>
      </vt:variant>
      <vt:variant>
        <vt:i4>5</vt:i4>
      </vt:variant>
      <vt:variant>
        <vt:lpwstr>http://www.nevo.co.il/Law_word/law06/tak-6846.pdf</vt:lpwstr>
      </vt:variant>
      <vt:variant>
        <vt:lpwstr/>
      </vt:variant>
      <vt:variant>
        <vt:i4>8060936</vt:i4>
      </vt:variant>
      <vt:variant>
        <vt:i4>0</vt:i4>
      </vt:variant>
      <vt:variant>
        <vt:i4>0</vt:i4>
      </vt:variant>
      <vt:variant>
        <vt:i4>5</vt:i4>
      </vt:variant>
      <vt:variant>
        <vt:lpwstr>http://www.nevo.co.il/Law_word/law06/tak-6545.pdf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מס הכנסה (תכנון מס החייב בדיווח), תשס"ז-2006;תקנות מס הכנסה (תכנון מס החייב בדיווח) (הוראת שעה)</vt:lpwstr>
  </property>
  <property fmtid="{D5CDD505-2E9C-101B-9397-08002B2CF9AE}" pid="4" name="LAWNUMBER">
    <vt:lpwstr>0703</vt:lpwstr>
  </property>
  <property fmtid="{D5CDD505-2E9C-101B-9397-08002B2CF9AE}" pid="5" name="TYPE">
    <vt:lpwstr>01</vt:lpwstr>
  </property>
  <property fmtid="{D5CDD505-2E9C-101B-9397-08002B2CF9AE}" pid="6" name="CHNAME">
    <vt:lpwstr>מס הכנסה</vt:lpwstr>
  </property>
  <property fmtid="{D5CDD505-2E9C-101B-9397-08002B2CF9AE}" pid="7" name="LINKK2">
    <vt:lpwstr>http://www.nevo.co.il/Law_word/law06/tak-6846.pdf;‎רשומות - תקנות כלליות#תוקנו ק"ת תש"ע ‏מס' 6846 #מיום 31.12.2009 עמ' 402 – תק' תש"ע-2009‏</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http://www.nevo.co.il/Law_word/law06/tak-6545.pdf;רשומות - תקנות כלליות#פורסמו ק"ת תשס"ז מס' 6545 #מיום 25.12.2006 עמ' 389</vt:lpwstr>
  </property>
  <property fmtid="{D5CDD505-2E9C-101B-9397-08002B2CF9AE}" pid="22" name="MEKOR_NAME1">
    <vt:lpwstr>פקודת מס הכנסה </vt:lpwstr>
  </property>
  <property fmtid="{D5CDD505-2E9C-101B-9397-08002B2CF9AE}" pid="23" name="MEKOR_SAIF1">
    <vt:lpwstr>131XזX;243X</vt:lpwstr>
  </property>
  <property fmtid="{D5CDD505-2E9C-101B-9397-08002B2CF9AE}" pid="24" name="MEKORSAMCHUT">
    <vt:lpwstr/>
  </property>
  <property fmtid="{D5CDD505-2E9C-101B-9397-08002B2CF9AE}" pid="25" name="NOSE11">
    <vt:lpwstr>מסים</vt:lpwstr>
  </property>
  <property fmtid="{D5CDD505-2E9C-101B-9397-08002B2CF9AE}" pid="26" name="NOSE21">
    <vt:lpwstr>מס הכנסה</vt:lpwstr>
  </property>
  <property fmtid="{D5CDD505-2E9C-101B-9397-08002B2CF9AE}" pid="27" name="NOSE31">
    <vt:lpwstr>תכנון</vt:lpwstr>
  </property>
  <property fmtid="{D5CDD505-2E9C-101B-9397-08002B2CF9AE}" pid="28" name="NOSE41">
    <vt:lpwstr>מס החייב בדיווח</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