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C2C3" w14:textId="77777777" w:rsidR="000F5690" w:rsidRDefault="000F5690" w:rsidP="00A645A5">
      <w:pPr>
        <w:pStyle w:val="big-header"/>
        <w:ind w:left="0" w:right="1134"/>
        <w:rPr>
          <w:rFonts w:cs="FrankRuehl" w:hint="cs"/>
          <w:sz w:val="32"/>
          <w:rtl/>
        </w:rPr>
      </w:pPr>
      <w:r>
        <w:rPr>
          <w:rFonts w:cs="FrankRuehl"/>
          <w:sz w:val="32"/>
          <w:rtl/>
        </w:rPr>
        <w:t xml:space="preserve">תקנות מס הכנסה (תנאים להעברת נכס בפטור ממס בין חברות אחיות), </w:t>
      </w:r>
      <w:r w:rsidR="00A645A5">
        <w:rPr>
          <w:rFonts w:cs="FrankRuehl" w:hint="cs"/>
          <w:sz w:val="32"/>
          <w:rtl/>
        </w:rPr>
        <w:br/>
      </w:r>
      <w:r>
        <w:rPr>
          <w:rFonts w:cs="FrankRuehl"/>
          <w:sz w:val="32"/>
          <w:rtl/>
        </w:rPr>
        <w:t>תשנ"ד</w:t>
      </w:r>
      <w:r w:rsidR="00A645A5">
        <w:rPr>
          <w:rFonts w:cs="FrankRuehl" w:hint="cs"/>
          <w:sz w:val="32"/>
          <w:rtl/>
        </w:rPr>
        <w:t>-</w:t>
      </w:r>
      <w:r>
        <w:rPr>
          <w:rFonts w:cs="FrankRuehl"/>
          <w:sz w:val="32"/>
          <w:rtl/>
        </w:rPr>
        <w:t>1994</w:t>
      </w:r>
    </w:p>
    <w:p w14:paraId="05C86C9D" w14:textId="77777777" w:rsidR="004A5A56" w:rsidRDefault="004A5A56" w:rsidP="004A5A56">
      <w:pPr>
        <w:spacing w:line="320" w:lineRule="auto"/>
        <w:rPr>
          <w:rFonts w:hint="cs"/>
          <w:rtl/>
        </w:rPr>
      </w:pPr>
    </w:p>
    <w:p w14:paraId="74FB783B" w14:textId="77777777" w:rsidR="008E484D" w:rsidRDefault="008E484D" w:rsidP="004A5A56">
      <w:pPr>
        <w:spacing w:line="320" w:lineRule="auto"/>
        <w:rPr>
          <w:rFonts w:hint="cs"/>
          <w:rtl/>
        </w:rPr>
      </w:pPr>
    </w:p>
    <w:p w14:paraId="6E406E49" w14:textId="77777777" w:rsidR="004A5A56" w:rsidRDefault="004A5A56" w:rsidP="004A5A56">
      <w:pPr>
        <w:spacing w:line="320" w:lineRule="auto"/>
        <w:rPr>
          <w:rFonts w:cs="FrankRuehl"/>
          <w:szCs w:val="26"/>
          <w:rtl/>
        </w:rPr>
      </w:pPr>
      <w:r w:rsidRPr="004A5A56">
        <w:rPr>
          <w:rFonts w:cs="Miriam"/>
          <w:szCs w:val="22"/>
          <w:rtl/>
        </w:rPr>
        <w:t>מסים</w:t>
      </w:r>
      <w:r w:rsidRPr="004A5A56">
        <w:rPr>
          <w:rFonts w:cs="FrankRuehl"/>
          <w:szCs w:val="26"/>
          <w:rtl/>
        </w:rPr>
        <w:t xml:space="preserve"> – מס הכנסה – פטור ממס: כללי</w:t>
      </w:r>
    </w:p>
    <w:p w14:paraId="38D3D44A" w14:textId="77777777" w:rsidR="004A5A56" w:rsidRPr="004A5A56" w:rsidRDefault="004A5A56" w:rsidP="004A5A56">
      <w:pPr>
        <w:spacing w:line="320" w:lineRule="auto"/>
        <w:rPr>
          <w:rFonts w:cs="Miriam"/>
          <w:szCs w:val="22"/>
          <w:rtl/>
        </w:rPr>
      </w:pPr>
      <w:r w:rsidRPr="004A5A56">
        <w:rPr>
          <w:rFonts w:cs="Miriam"/>
          <w:szCs w:val="22"/>
          <w:rtl/>
        </w:rPr>
        <w:t>משפט פרטי וכלכלה</w:t>
      </w:r>
      <w:r w:rsidRPr="004A5A56">
        <w:rPr>
          <w:rFonts w:cs="FrankRuehl"/>
          <w:szCs w:val="26"/>
          <w:rtl/>
        </w:rPr>
        <w:t xml:space="preserve"> – תאגידים וניירות ערך – חברות</w:t>
      </w:r>
    </w:p>
    <w:p w14:paraId="3183F8C5" w14:textId="77777777" w:rsidR="000F5690" w:rsidRDefault="000F569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1440" w:rsidRPr="00ED1440" w14:paraId="308D7D4C" w14:textId="77777777">
        <w:tblPrEx>
          <w:tblCellMar>
            <w:top w:w="0" w:type="dxa"/>
            <w:bottom w:w="0" w:type="dxa"/>
          </w:tblCellMar>
        </w:tblPrEx>
        <w:tc>
          <w:tcPr>
            <w:tcW w:w="1247" w:type="dxa"/>
          </w:tcPr>
          <w:p w14:paraId="2EEB67E6" w14:textId="77777777" w:rsidR="00ED1440" w:rsidRPr="00ED1440" w:rsidRDefault="00ED1440" w:rsidP="00ED1440">
            <w:pPr>
              <w:rPr>
                <w:rFonts w:cs="Frankruhel"/>
                <w:rtl/>
              </w:rPr>
            </w:pPr>
            <w:r>
              <w:rPr>
                <w:rtl/>
              </w:rPr>
              <w:t xml:space="preserve">סעיף 1 </w:t>
            </w:r>
          </w:p>
        </w:tc>
        <w:tc>
          <w:tcPr>
            <w:tcW w:w="5669" w:type="dxa"/>
          </w:tcPr>
          <w:p w14:paraId="17FD9D3A" w14:textId="77777777" w:rsidR="00ED1440" w:rsidRPr="00ED1440" w:rsidRDefault="00ED1440" w:rsidP="00ED1440">
            <w:pPr>
              <w:rPr>
                <w:rFonts w:cs="Frankruhel"/>
                <w:rtl/>
              </w:rPr>
            </w:pPr>
            <w:r>
              <w:rPr>
                <w:rtl/>
              </w:rPr>
              <w:t>תנאים להעברת נכס בין חברות אחיות</w:t>
            </w:r>
          </w:p>
        </w:tc>
        <w:tc>
          <w:tcPr>
            <w:tcW w:w="567" w:type="dxa"/>
          </w:tcPr>
          <w:p w14:paraId="77857629" w14:textId="77777777" w:rsidR="00ED1440" w:rsidRPr="00ED1440" w:rsidRDefault="00ED1440" w:rsidP="00ED1440">
            <w:pPr>
              <w:rPr>
                <w:rStyle w:val="Hyperlink"/>
                <w:rtl/>
              </w:rPr>
            </w:pPr>
            <w:hyperlink w:anchor="Seif1" w:tooltip="תנאים להעברת נכס בין חברות אחיות" w:history="1">
              <w:r w:rsidRPr="00ED1440">
                <w:rPr>
                  <w:rStyle w:val="Hyperlink"/>
                </w:rPr>
                <w:t>Go</w:t>
              </w:r>
            </w:hyperlink>
          </w:p>
        </w:tc>
        <w:tc>
          <w:tcPr>
            <w:tcW w:w="850" w:type="dxa"/>
          </w:tcPr>
          <w:p w14:paraId="5612F6A8" w14:textId="77777777" w:rsidR="00ED1440" w:rsidRPr="00ED1440" w:rsidRDefault="00ED1440" w:rsidP="00ED14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D1440" w:rsidRPr="00ED1440" w14:paraId="07214EF5" w14:textId="77777777">
        <w:tblPrEx>
          <w:tblCellMar>
            <w:top w:w="0" w:type="dxa"/>
            <w:bottom w:w="0" w:type="dxa"/>
          </w:tblCellMar>
        </w:tblPrEx>
        <w:tc>
          <w:tcPr>
            <w:tcW w:w="1247" w:type="dxa"/>
          </w:tcPr>
          <w:p w14:paraId="3F0CA686" w14:textId="77777777" w:rsidR="00ED1440" w:rsidRPr="00ED1440" w:rsidRDefault="00ED1440" w:rsidP="00ED1440">
            <w:pPr>
              <w:rPr>
                <w:rFonts w:cs="Frankruhel"/>
                <w:rtl/>
              </w:rPr>
            </w:pPr>
            <w:r>
              <w:rPr>
                <w:rtl/>
              </w:rPr>
              <w:t xml:space="preserve">סעיף 2 </w:t>
            </w:r>
          </w:p>
        </w:tc>
        <w:tc>
          <w:tcPr>
            <w:tcW w:w="5669" w:type="dxa"/>
          </w:tcPr>
          <w:p w14:paraId="635D3B51" w14:textId="77777777" w:rsidR="00ED1440" w:rsidRPr="00ED1440" w:rsidRDefault="00ED1440" w:rsidP="00ED1440">
            <w:pPr>
              <w:rPr>
                <w:rFonts w:cs="Frankruhel"/>
                <w:rtl/>
              </w:rPr>
            </w:pPr>
            <w:r>
              <w:rPr>
                <w:rtl/>
              </w:rPr>
              <w:t>התנאים במכירת מניות</w:t>
            </w:r>
          </w:p>
        </w:tc>
        <w:tc>
          <w:tcPr>
            <w:tcW w:w="567" w:type="dxa"/>
          </w:tcPr>
          <w:p w14:paraId="0AB98E10" w14:textId="77777777" w:rsidR="00ED1440" w:rsidRPr="00ED1440" w:rsidRDefault="00ED1440" w:rsidP="00ED1440">
            <w:pPr>
              <w:rPr>
                <w:rStyle w:val="Hyperlink"/>
                <w:rtl/>
              </w:rPr>
            </w:pPr>
            <w:hyperlink w:anchor="Seif2" w:tooltip="התנאים במכירת מניות" w:history="1">
              <w:r w:rsidRPr="00ED1440">
                <w:rPr>
                  <w:rStyle w:val="Hyperlink"/>
                </w:rPr>
                <w:t>Go</w:t>
              </w:r>
            </w:hyperlink>
          </w:p>
        </w:tc>
        <w:tc>
          <w:tcPr>
            <w:tcW w:w="850" w:type="dxa"/>
          </w:tcPr>
          <w:p w14:paraId="0B8BA40D" w14:textId="77777777" w:rsidR="00ED1440" w:rsidRPr="00ED1440" w:rsidRDefault="00ED1440" w:rsidP="00ED14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D1440" w:rsidRPr="00ED1440" w14:paraId="362CAF4E" w14:textId="77777777">
        <w:tblPrEx>
          <w:tblCellMar>
            <w:top w:w="0" w:type="dxa"/>
            <w:bottom w:w="0" w:type="dxa"/>
          </w:tblCellMar>
        </w:tblPrEx>
        <w:tc>
          <w:tcPr>
            <w:tcW w:w="1247" w:type="dxa"/>
          </w:tcPr>
          <w:p w14:paraId="23DEC461" w14:textId="77777777" w:rsidR="00ED1440" w:rsidRPr="00ED1440" w:rsidRDefault="00ED1440" w:rsidP="00ED1440">
            <w:pPr>
              <w:rPr>
                <w:rFonts w:cs="Frankruhel"/>
                <w:rtl/>
              </w:rPr>
            </w:pPr>
            <w:r>
              <w:rPr>
                <w:rtl/>
              </w:rPr>
              <w:t xml:space="preserve">סעיף 3 </w:t>
            </w:r>
          </w:p>
        </w:tc>
        <w:tc>
          <w:tcPr>
            <w:tcW w:w="5669" w:type="dxa"/>
          </w:tcPr>
          <w:p w14:paraId="342079A2" w14:textId="77777777" w:rsidR="00ED1440" w:rsidRPr="00ED1440" w:rsidRDefault="00ED1440" w:rsidP="00ED1440">
            <w:pPr>
              <w:rPr>
                <w:rFonts w:cs="Frankruhel"/>
                <w:rtl/>
              </w:rPr>
            </w:pPr>
            <w:r>
              <w:rPr>
                <w:rtl/>
              </w:rPr>
              <w:t>העברת נכסים לחברה תעשייתית</w:t>
            </w:r>
          </w:p>
        </w:tc>
        <w:tc>
          <w:tcPr>
            <w:tcW w:w="567" w:type="dxa"/>
          </w:tcPr>
          <w:p w14:paraId="5CE6FEC3" w14:textId="77777777" w:rsidR="00ED1440" w:rsidRPr="00ED1440" w:rsidRDefault="00ED1440" w:rsidP="00ED1440">
            <w:pPr>
              <w:rPr>
                <w:rStyle w:val="Hyperlink"/>
                <w:rtl/>
              </w:rPr>
            </w:pPr>
            <w:hyperlink w:anchor="Seif3" w:tooltip="העברת נכסים לחברה תעשייתית" w:history="1">
              <w:r w:rsidRPr="00ED1440">
                <w:rPr>
                  <w:rStyle w:val="Hyperlink"/>
                </w:rPr>
                <w:t>Go</w:t>
              </w:r>
            </w:hyperlink>
          </w:p>
        </w:tc>
        <w:tc>
          <w:tcPr>
            <w:tcW w:w="850" w:type="dxa"/>
          </w:tcPr>
          <w:p w14:paraId="24C8608C" w14:textId="77777777" w:rsidR="00ED1440" w:rsidRPr="00ED1440" w:rsidRDefault="00ED1440" w:rsidP="00ED14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ED1440" w:rsidRPr="00ED1440" w14:paraId="2FA04B59" w14:textId="77777777">
        <w:tblPrEx>
          <w:tblCellMar>
            <w:top w:w="0" w:type="dxa"/>
            <w:bottom w:w="0" w:type="dxa"/>
          </w:tblCellMar>
        </w:tblPrEx>
        <w:tc>
          <w:tcPr>
            <w:tcW w:w="1247" w:type="dxa"/>
          </w:tcPr>
          <w:p w14:paraId="6B4E1202" w14:textId="77777777" w:rsidR="00ED1440" w:rsidRPr="00ED1440" w:rsidRDefault="00ED1440" w:rsidP="00ED1440">
            <w:pPr>
              <w:rPr>
                <w:rFonts w:cs="Frankruhel"/>
                <w:rtl/>
              </w:rPr>
            </w:pPr>
            <w:r>
              <w:rPr>
                <w:rtl/>
              </w:rPr>
              <w:t xml:space="preserve">סעיף 3א </w:t>
            </w:r>
          </w:p>
        </w:tc>
        <w:tc>
          <w:tcPr>
            <w:tcW w:w="5669" w:type="dxa"/>
          </w:tcPr>
          <w:p w14:paraId="2D15CC4A" w14:textId="77777777" w:rsidR="00ED1440" w:rsidRPr="00ED1440" w:rsidRDefault="00ED1440" w:rsidP="00ED1440">
            <w:pPr>
              <w:rPr>
                <w:rFonts w:cs="Frankruhel"/>
                <w:rtl/>
              </w:rPr>
            </w:pPr>
            <w:r>
              <w:rPr>
                <w:rtl/>
              </w:rPr>
              <w:t>בקשה לאישור הנציב להעברה</w:t>
            </w:r>
          </w:p>
        </w:tc>
        <w:tc>
          <w:tcPr>
            <w:tcW w:w="567" w:type="dxa"/>
          </w:tcPr>
          <w:p w14:paraId="384B0C93" w14:textId="77777777" w:rsidR="00ED1440" w:rsidRPr="00ED1440" w:rsidRDefault="00ED1440" w:rsidP="00ED1440">
            <w:pPr>
              <w:rPr>
                <w:rStyle w:val="Hyperlink"/>
                <w:rtl/>
              </w:rPr>
            </w:pPr>
            <w:hyperlink w:anchor="Seif4" w:tooltip="בקשה לאישור הנציב להעברה" w:history="1">
              <w:r w:rsidRPr="00ED1440">
                <w:rPr>
                  <w:rStyle w:val="Hyperlink"/>
                </w:rPr>
                <w:t>Go</w:t>
              </w:r>
            </w:hyperlink>
          </w:p>
        </w:tc>
        <w:tc>
          <w:tcPr>
            <w:tcW w:w="850" w:type="dxa"/>
          </w:tcPr>
          <w:p w14:paraId="322E2724" w14:textId="77777777" w:rsidR="00ED1440" w:rsidRPr="00ED1440" w:rsidRDefault="00ED1440" w:rsidP="00ED14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ED1440" w:rsidRPr="00ED1440" w14:paraId="0865F5BD" w14:textId="77777777">
        <w:tblPrEx>
          <w:tblCellMar>
            <w:top w:w="0" w:type="dxa"/>
            <w:bottom w:w="0" w:type="dxa"/>
          </w:tblCellMar>
        </w:tblPrEx>
        <w:tc>
          <w:tcPr>
            <w:tcW w:w="1247" w:type="dxa"/>
          </w:tcPr>
          <w:p w14:paraId="337762CF" w14:textId="77777777" w:rsidR="00ED1440" w:rsidRPr="00ED1440" w:rsidRDefault="00ED1440" w:rsidP="00ED1440">
            <w:pPr>
              <w:rPr>
                <w:rFonts w:cs="Frankruhel"/>
                <w:rtl/>
              </w:rPr>
            </w:pPr>
            <w:r>
              <w:rPr>
                <w:rtl/>
              </w:rPr>
              <w:t xml:space="preserve">סעיף 4 </w:t>
            </w:r>
          </w:p>
        </w:tc>
        <w:tc>
          <w:tcPr>
            <w:tcW w:w="5669" w:type="dxa"/>
          </w:tcPr>
          <w:p w14:paraId="06167200" w14:textId="77777777" w:rsidR="00ED1440" w:rsidRPr="00ED1440" w:rsidRDefault="00ED1440" w:rsidP="00ED1440">
            <w:pPr>
              <w:rPr>
                <w:rFonts w:cs="Frankruhel"/>
                <w:rtl/>
              </w:rPr>
            </w:pPr>
            <w:r>
              <w:rPr>
                <w:rtl/>
              </w:rPr>
              <w:t>תחולה ותחילה</w:t>
            </w:r>
          </w:p>
        </w:tc>
        <w:tc>
          <w:tcPr>
            <w:tcW w:w="567" w:type="dxa"/>
          </w:tcPr>
          <w:p w14:paraId="26201277" w14:textId="77777777" w:rsidR="00ED1440" w:rsidRPr="00ED1440" w:rsidRDefault="00ED1440" w:rsidP="00ED1440">
            <w:pPr>
              <w:rPr>
                <w:rStyle w:val="Hyperlink"/>
                <w:rtl/>
              </w:rPr>
            </w:pPr>
            <w:hyperlink w:anchor="Seif5" w:tooltip="תחולה ותחילה" w:history="1">
              <w:r w:rsidRPr="00ED1440">
                <w:rPr>
                  <w:rStyle w:val="Hyperlink"/>
                </w:rPr>
                <w:t>Go</w:t>
              </w:r>
            </w:hyperlink>
          </w:p>
        </w:tc>
        <w:tc>
          <w:tcPr>
            <w:tcW w:w="850" w:type="dxa"/>
          </w:tcPr>
          <w:p w14:paraId="37711601" w14:textId="77777777" w:rsidR="00ED1440" w:rsidRPr="00ED1440" w:rsidRDefault="00ED1440" w:rsidP="00ED144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A91112D" w14:textId="77777777" w:rsidR="000F5690" w:rsidRDefault="000F5690">
      <w:pPr>
        <w:pStyle w:val="big-header"/>
        <w:ind w:left="0" w:right="1134"/>
        <w:rPr>
          <w:rFonts w:cs="FrankRuehl"/>
          <w:sz w:val="32"/>
          <w:rtl/>
        </w:rPr>
      </w:pPr>
    </w:p>
    <w:p w14:paraId="3A4CCA0F" w14:textId="77777777" w:rsidR="000F5690" w:rsidRDefault="000F5690" w:rsidP="008E484D">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 xml:space="preserve">נות מס הכנסה (תנאים להעברת נכס בפטור ממס בין חברות אחיות), </w:t>
      </w:r>
      <w:r w:rsidR="008E484D">
        <w:rPr>
          <w:rFonts w:cs="FrankRuehl"/>
          <w:sz w:val="32"/>
          <w:rtl/>
        </w:rPr>
        <w:br/>
      </w:r>
      <w:r>
        <w:rPr>
          <w:rFonts w:cs="FrankRuehl" w:hint="cs"/>
          <w:sz w:val="32"/>
          <w:rtl/>
        </w:rPr>
        <w:t>תשנ"ד</w:t>
      </w:r>
      <w:r w:rsidR="00A645A5">
        <w:rPr>
          <w:rFonts w:cs="FrankRuehl" w:hint="cs"/>
          <w:sz w:val="32"/>
          <w:rtl/>
        </w:rPr>
        <w:t>-</w:t>
      </w:r>
      <w:r>
        <w:rPr>
          <w:rFonts w:cs="FrankRuehl"/>
          <w:sz w:val="32"/>
          <w:rtl/>
        </w:rPr>
        <w:t>1994</w:t>
      </w:r>
      <w:r w:rsidR="00A645A5">
        <w:rPr>
          <w:rStyle w:val="a6"/>
          <w:rFonts w:cs="FrankRuehl"/>
          <w:sz w:val="32"/>
          <w:rtl/>
        </w:rPr>
        <w:footnoteReference w:customMarkFollows="1" w:id="1"/>
        <w:t>*</w:t>
      </w:r>
    </w:p>
    <w:p w14:paraId="2EF06BB4" w14:textId="77777777" w:rsidR="000F5690" w:rsidRPr="00724A9B" w:rsidRDefault="000F5690" w:rsidP="00097807">
      <w:pPr>
        <w:pStyle w:val="P00"/>
        <w:spacing w:before="72"/>
        <w:ind w:left="0" w:right="1134"/>
        <w:rPr>
          <w:rStyle w:val="default"/>
          <w:rFonts w:cs="FrankRuehl"/>
          <w:rtl/>
        </w:rPr>
      </w:pPr>
      <w:r w:rsidRPr="00724A9B">
        <w:rPr>
          <w:rFonts w:cs="FrankRuehl"/>
          <w:sz w:val="26"/>
          <w:rtl/>
        </w:rPr>
        <w:tab/>
      </w:r>
      <w:r w:rsidRPr="00724A9B">
        <w:rPr>
          <w:rStyle w:val="default"/>
          <w:rFonts w:cs="FrankRuehl"/>
          <w:rtl/>
        </w:rPr>
        <w:t xml:space="preserve">בתוקף סמכותי לפי סעיף 104ב(ו) לפקודת מס הכנסה (להלן </w:t>
      </w:r>
      <w:r w:rsidR="008E484D">
        <w:rPr>
          <w:rStyle w:val="default"/>
          <w:rFonts w:cs="FrankRuehl"/>
          <w:rtl/>
        </w:rPr>
        <w:t>–</w:t>
      </w:r>
      <w:r w:rsidRPr="00724A9B">
        <w:rPr>
          <w:rStyle w:val="default"/>
          <w:rFonts w:cs="FrankRuehl"/>
          <w:rtl/>
        </w:rPr>
        <w:t xml:space="preserve"> הפקודה), ובאישור ועדת הכספים של הכנסת לפי סעיף 1(ב) לחוק-יסוד: משק המדינה, אני מתקין תקנות אלה:</w:t>
      </w:r>
    </w:p>
    <w:p w14:paraId="5860B274" w14:textId="77777777" w:rsidR="000F5690" w:rsidRPr="00724A9B" w:rsidRDefault="000F5690">
      <w:pPr>
        <w:pStyle w:val="P00"/>
        <w:spacing w:before="72"/>
        <w:ind w:left="0" w:right="1134"/>
        <w:rPr>
          <w:rStyle w:val="default"/>
          <w:rFonts w:cs="FrankRuehl"/>
          <w:rtl/>
        </w:rPr>
      </w:pPr>
      <w:bookmarkStart w:id="0" w:name="Seif1"/>
      <w:bookmarkEnd w:id="0"/>
      <w:r w:rsidRPr="00724A9B">
        <w:rPr>
          <w:rFonts w:cs="Miriam"/>
          <w:lang w:val="he-IL"/>
        </w:rPr>
        <w:pict w14:anchorId="2A5231F8">
          <v:rect id="_x0000_s1026" style="position:absolute;left:0;text-align:left;margin-left:464.5pt;margin-top:8.05pt;width:75.05pt;height:23.25pt;z-index:251655168" o:allowincell="f" filled="f" stroked="f" strokecolor="lime" strokeweight=".25pt">
            <v:textbox inset="0,0,0,0">
              <w:txbxContent>
                <w:p w14:paraId="1658B205" w14:textId="77777777" w:rsidR="000F5690" w:rsidRDefault="000F5690">
                  <w:pPr>
                    <w:spacing w:line="160" w:lineRule="exact"/>
                    <w:rPr>
                      <w:rFonts w:cs="Miriam"/>
                      <w:noProof/>
                      <w:sz w:val="18"/>
                      <w:szCs w:val="18"/>
                      <w:rtl/>
                    </w:rPr>
                  </w:pPr>
                  <w:r>
                    <w:rPr>
                      <w:rFonts w:cs="Miriam"/>
                      <w:sz w:val="18"/>
                      <w:szCs w:val="18"/>
                      <w:rtl/>
                    </w:rPr>
                    <w:t>תנא</w:t>
                  </w:r>
                  <w:r>
                    <w:rPr>
                      <w:rFonts w:cs="Miriam" w:hint="cs"/>
                      <w:sz w:val="18"/>
                      <w:szCs w:val="18"/>
                      <w:rtl/>
                    </w:rPr>
                    <w:t>ים להעברת נכס בין חברות אחיות</w:t>
                  </w:r>
                </w:p>
              </w:txbxContent>
            </v:textbox>
            <w10:anchorlock/>
          </v:rect>
        </w:pict>
      </w:r>
      <w:r w:rsidRPr="00724A9B">
        <w:rPr>
          <w:rStyle w:val="big-number"/>
          <w:rFonts w:cs="Miriam"/>
          <w:rtl/>
        </w:rPr>
        <w:t>1</w:t>
      </w:r>
      <w:r w:rsidRPr="00724A9B">
        <w:rPr>
          <w:rStyle w:val="big-number"/>
          <w:rFonts w:cs="FrankRuehl"/>
          <w:rtl/>
        </w:rPr>
        <w:t>.</w:t>
      </w:r>
      <w:r w:rsidRPr="00724A9B">
        <w:rPr>
          <w:rStyle w:val="big-number"/>
          <w:rFonts w:cs="FrankRuehl"/>
          <w:rtl/>
        </w:rPr>
        <w:tab/>
      </w:r>
      <w:r w:rsidRPr="00724A9B">
        <w:rPr>
          <w:rStyle w:val="default"/>
          <w:rFonts w:cs="FrankRuehl"/>
          <w:rtl/>
        </w:rPr>
        <w:t>הוראות סעיף 104ב(ו) לפקודה יחולו אם מתקיימים כל התנאים האלה:</w:t>
      </w:r>
    </w:p>
    <w:p w14:paraId="10AAF2B8" w14:textId="77777777" w:rsidR="000F5690" w:rsidRPr="00724A9B" w:rsidRDefault="000F5690" w:rsidP="008E484D">
      <w:pPr>
        <w:pStyle w:val="P11"/>
        <w:spacing w:before="72"/>
        <w:ind w:left="624" w:right="1134"/>
        <w:rPr>
          <w:rStyle w:val="default"/>
          <w:rFonts w:cs="FrankRuehl"/>
          <w:rtl/>
        </w:rPr>
      </w:pPr>
      <w:r w:rsidRPr="00724A9B">
        <w:rPr>
          <w:rStyle w:val="default"/>
          <w:rFonts w:cs="FrankRuehl"/>
          <w:rtl/>
        </w:rPr>
        <w:t>(1)</w:t>
      </w:r>
      <w:r w:rsidRPr="00724A9B">
        <w:rPr>
          <w:rStyle w:val="default"/>
          <w:rFonts w:cs="FrankRuehl"/>
          <w:rtl/>
        </w:rPr>
        <w:tab/>
        <w:t>העברת הנכס מהחברה האחת (</w:t>
      </w:r>
      <w:r w:rsidR="008E484D">
        <w:rPr>
          <w:rStyle w:val="default"/>
          <w:rFonts w:cs="FrankRuehl" w:hint="cs"/>
          <w:rtl/>
        </w:rPr>
        <w:t xml:space="preserve">להלן </w:t>
      </w:r>
      <w:r w:rsidR="008E484D">
        <w:rPr>
          <w:rStyle w:val="default"/>
          <w:rFonts w:cs="FrankRuehl"/>
          <w:rtl/>
        </w:rPr>
        <w:t>–</w:t>
      </w:r>
      <w:r w:rsidR="008E484D">
        <w:rPr>
          <w:rStyle w:val="default"/>
          <w:rFonts w:cs="FrankRuehl" w:hint="cs"/>
          <w:rtl/>
        </w:rPr>
        <w:t xml:space="preserve"> החברה</w:t>
      </w:r>
      <w:r w:rsidRPr="00724A9B">
        <w:rPr>
          <w:rStyle w:val="default"/>
          <w:rFonts w:cs="FrankRuehl"/>
          <w:rtl/>
        </w:rPr>
        <w:t xml:space="preserve"> המעבירה) לחברה האחרת (להלן </w:t>
      </w:r>
      <w:r w:rsidR="008E484D">
        <w:rPr>
          <w:rStyle w:val="default"/>
          <w:rFonts w:cs="FrankRuehl"/>
          <w:rtl/>
        </w:rPr>
        <w:t>–</w:t>
      </w:r>
      <w:r w:rsidRPr="00724A9B">
        <w:rPr>
          <w:rStyle w:val="default"/>
          <w:rFonts w:cs="FrankRuehl"/>
          <w:rtl/>
        </w:rPr>
        <w:t xml:space="preserve"> חברת האחות) נעשתה לתכלית עסקית וכלכלית, כשמטרתה העיקרית של ההעברה הינה הפעלת עיקר הנכס במסגרת העסקים הקיימים של החברה ולא הימנעות ממס או הפחתת מס בלתי נאותות;</w:t>
      </w:r>
    </w:p>
    <w:p w14:paraId="092E49E0" w14:textId="77777777" w:rsidR="000F5690" w:rsidRPr="00724A9B" w:rsidRDefault="000F5690">
      <w:pPr>
        <w:pStyle w:val="P11"/>
        <w:spacing w:before="72"/>
        <w:ind w:left="624" w:right="1134"/>
        <w:rPr>
          <w:rStyle w:val="default"/>
          <w:rFonts w:cs="FrankRuehl"/>
          <w:rtl/>
        </w:rPr>
      </w:pPr>
      <w:r w:rsidRPr="00724A9B">
        <w:rPr>
          <w:rStyle w:val="default"/>
          <w:rFonts w:cs="FrankRuehl"/>
          <w:rtl/>
        </w:rPr>
        <w:t>(2)</w:t>
      </w:r>
      <w:r w:rsidRPr="00724A9B">
        <w:rPr>
          <w:rStyle w:val="default"/>
          <w:rFonts w:cs="FrankRuehl"/>
          <w:rtl/>
        </w:rPr>
        <w:tab/>
        <w:t>הנכס המועבר יישאר בחברת האחות במשך שנתיים לפחות מיום ההעברה וייעשה בו שימוש מקובל, בנסיבות הענין, במהלך עסקי חברת האחות;</w:t>
      </w:r>
    </w:p>
    <w:p w14:paraId="4FD4BF5C" w14:textId="77777777" w:rsidR="000F5690" w:rsidRPr="00724A9B" w:rsidRDefault="000F5690">
      <w:pPr>
        <w:pStyle w:val="P11"/>
        <w:spacing w:before="72"/>
        <w:ind w:left="624" w:right="1134"/>
        <w:rPr>
          <w:rStyle w:val="default"/>
          <w:rFonts w:cs="FrankRuehl"/>
          <w:rtl/>
        </w:rPr>
      </w:pPr>
      <w:r w:rsidRPr="00724A9B">
        <w:rPr>
          <w:rStyle w:val="default"/>
          <w:rFonts w:cs="FrankRuehl"/>
          <w:rtl/>
        </w:rPr>
        <w:t>(3)</w:t>
      </w:r>
      <w:r w:rsidRPr="00724A9B">
        <w:rPr>
          <w:rStyle w:val="default"/>
          <w:rFonts w:cs="FrankRuehl"/>
          <w:rtl/>
        </w:rPr>
        <w:tab/>
        <w:t>לא ניתנה תמורה בשל הנכס המועבר בין במישרין ובין בעקיפין;</w:t>
      </w:r>
    </w:p>
    <w:p w14:paraId="2FBE13F9" w14:textId="77777777" w:rsidR="000F5690" w:rsidRPr="00724A9B" w:rsidRDefault="000F5690">
      <w:pPr>
        <w:pStyle w:val="P11"/>
        <w:spacing w:before="72"/>
        <w:ind w:left="624" w:right="1134"/>
        <w:rPr>
          <w:rStyle w:val="default"/>
          <w:rFonts w:cs="FrankRuehl"/>
          <w:rtl/>
        </w:rPr>
      </w:pPr>
      <w:r w:rsidRPr="00724A9B">
        <w:rPr>
          <w:rStyle w:val="default"/>
          <w:rFonts w:cs="FrankRuehl"/>
          <w:rtl/>
        </w:rPr>
        <w:t>(4)</w:t>
      </w:r>
      <w:r w:rsidRPr="00724A9B">
        <w:rPr>
          <w:rStyle w:val="default"/>
          <w:rFonts w:cs="FrankRuehl"/>
          <w:rtl/>
        </w:rPr>
        <w:tab/>
        <w:t>במשך שנתיים מיום ההעברה לא חל שינוי בזכויותיהם של בעלי המניות בחברה המעבירה ובחברת האחות, למעט שינוי כאמור בסעיף 104ד(1) לפקודה, שיכול שיחול גם לגבי זכויותיהם של בעלי המניות בחברה המעבירה;</w:t>
      </w:r>
    </w:p>
    <w:p w14:paraId="2A111259" w14:textId="77777777" w:rsidR="000F5690" w:rsidRPr="00724A9B" w:rsidRDefault="000F5690">
      <w:pPr>
        <w:pStyle w:val="P11"/>
        <w:spacing w:before="72"/>
        <w:ind w:left="624" w:right="1134"/>
        <w:rPr>
          <w:rStyle w:val="default"/>
          <w:rFonts w:cs="FrankRuehl"/>
          <w:rtl/>
        </w:rPr>
      </w:pPr>
      <w:r w:rsidRPr="00724A9B">
        <w:rPr>
          <w:rStyle w:val="default"/>
          <w:rFonts w:cs="FrankRuehl"/>
          <w:rtl/>
        </w:rPr>
        <w:t>(5)</w:t>
      </w:r>
      <w:r w:rsidRPr="00724A9B">
        <w:rPr>
          <w:rStyle w:val="default"/>
          <w:rFonts w:cs="FrankRuehl"/>
          <w:rtl/>
        </w:rPr>
        <w:tab/>
        <w:t>החברה המעבירה וחברת האחות לא היו איגודי מקרקעין במשך שנתיים לפחות לפני מועד ההעברה ובמשך שנתיים לפחות לאחריו;</w:t>
      </w:r>
    </w:p>
    <w:p w14:paraId="6BF9A078" w14:textId="77777777" w:rsidR="000F5690" w:rsidRPr="00724A9B" w:rsidRDefault="000F5690">
      <w:pPr>
        <w:pStyle w:val="P11"/>
        <w:spacing w:before="72"/>
        <w:ind w:left="624" w:right="1134"/>
        <w:rPr>
          <w:rStyle w:val="default"/>
          <w:rFonts w:cs="FrankRuehl"/>
          <w:rtl/>
        </w:rPr>
      </w:pPr>
      <w:r w:rsidRPr="00724A9B">
        <w:rPr>
          <w:rStyle w:val="default"/>
          <w:rFonts w:cs="FrankRuehl"/>
          <w:rtl/>
        </w:rPr>
        <w:t>(6)</w:t>
      </w:r>
      <w:r w:rsidRPr="00724A9B">
        <w:rPr>
          <w:rStyle w:val="default"/>
          <w:rFonts w:cs="FrankRuehl"/>
          <w:rtl/>
        </w:rPr>
        <w:tab/>
        <w:t>שווי השוק של הנכסים הנותרים בחברה המעבירה במועד ההעברה, לא יפחת משווי ההתחייבות בה;</w:t>
      </w:r>
    </w:p>
    <w:p w14:paraId="628E0803" w14:textId="77777777" w:rsidR="000F5690" w:rsidRPr="00724A9B" w:rsidRDefault="000F5690">
      <w:pPr>
        <w:pStyle w:val="P11"/>
        <w:spacing w:before="72"/>
        <w:ind w:left="624" w:right="1134"/>
        <w:rPr>
          <w:rStyle w:val="default"/>
          <w:rFonts w:cs="FrankRuehl"/>
          <w:rtl/>
        </w:rPr>
      </w:pPr>
      <w:r w:rsidRPr="00724A9B">
        <w:rPr>
          <w:rStyle w:val="default"/>
          <w:rFonts w:cs="FrankRuehl"/>
          <w:rtl/>
        </w:rPr>
        <w:t>(7)</w:t>
      </w:r>
      <w:r w:rsidRPr="00724A9B">
        <w:rPr>
          <w:rStyle w:val="default"/>
          <w:rFonts w:cs="FrankRuehl"/>
          <w:rtl/>
        </w:rPr>
        <w:tab/>
        <w:t>היתה העברת הנכס כרוכה בהפחתת הון של החברה המעבירה, ניתן צו של בית משפט מוסמך, לפי פקודת החברות, אם היה בו צורך;</w:t>
      </w:r>
    </w:p>
    <w:p w14:paraId="7DD654FF" w14:textId="77777777" w:rsidR="000F5690" w:rsidRPr="00724A9B" w:rsidRDefault="000F5690">
      <w:pPr>
        <w:pStyle w:val="P11"/>
        <w:spacing w:before="72"/>
        <w:ind w:left="624" w:right="1134"/>
        <w:rPr>
          <w:rStyle w:val="default"/>
          <w:rFonts w:cs="FrankRuehl"/>
          <w:rtl/>
        </w:rPr>
      </w:pPr>
      <w:r w:rsidRPr="00724A9B">
        <w:rPr>
          <w:rStyle w:val="default"/>
          <w:rFonts w:cs="FrankRuehl"/>
          <w:rtl/>
        </w:rPr>
        <w:t>(8)</w:t>
      </w:r>
      <w:r w:rsidRPr="00724A9B">
        <w:rPr>
          <w:rStyle w:val="default"/>
          <w:rFonts w:cs="FrankRuehl"/>
          <w:rtl/>
        </w:rPr>
        <w:tab/>
        <w:t>ניתן אישור הנציב מראש להעברה; אישור כאמור יכול שיותנה במתן ערבויות ובתנאים אחרים שיקבע הנציב;</w:t>
      </w:r>
    </w:p>
    <w:p w14:paraId="2287A8C9" w14:textId="77777777" w:rsidR="000F5690" w:rsidRPr="00724A9B" w:rsidRDefault="000F5690">
      <w:pPr>
        <w:pStyle w:val="P11"/>
        <w:spacing w:before="72"/>
        <w:ind w:left="624" w:right="1134"/>
        <w:rPr>
          <w:rStyle w:val="default"/>
          <w:rFonts w:cs="FrankRuehl"/>
          <w:rtl/>
        </w:rPr>
      </w:pPr>
      <w:r w:rsidRPr="00724A9B">
        <w:rPr>
          <w:rStyle w:val="default"/>
          <w:rFonts w:cs="FrankRuehl"/>
          <w:rtl/>
        </w:rPr>
        <w:t>(9)</w:t>
      </w:r>
      <w:r w:rsidRPr="00724A9B">
        <w:rPr>
          <w:rStyle w:val="default"/>
          <w:rFonts w:cs="FrankRuehl"/>
          <w:rtl/>
        </w:rPr>
        <w:tab/>
        <w:t>חלק יחסי של הרווחים הראויים לחלוקה כמשמעותם בסעיף 94ב לפקודה של החברה המעבירה, יועבר לחברת האחות בהתאם לשווי היחסי של הנכס המועבר כהגדרתו בתקנה 2(א)(1);</w:t>
      </w:r>
    </w:p>
    <w:p w14:paraId="4962DB18" w14:textId="77777777" w:rsidR="000F5690" w:rsidRPr="00724A9B" w:rsidRDefault="000F5690" w:rsidP="00097807">
      <w:pPr>
        <w:pStyle w:val="P11"/>
        <w:spacing w:before="72"/>
        <w:ind w:left="624" w:right="1134"/>
        <w:rPr>
          <w:rStyle w:val="default"/>
          <w:rFonts w:cs="FrankRuehl"/>
          <w:rtl/>
        </w:rPr>
      </w:pPr>
      <w:r w:rsidRPr="00724A9B">
        <w:rPr>
          <w:rStyle w:val="default"/>
          <w:rFonts w:cs="FrankRuehl"/>
          <w:rtl/>
        </w:rPr>
        <w:t>(10)</w:t>
      </w:r>
      <w:r w:rsidRPr="00724A9B">
        <w:rPr>
          <w:rStyle w:val="default"/>
          <w:rFonts w:cs="FrankRuehl"/>
          <w:rtl/>
        </w:rPr>
        <w:tab/>
        <w:t xml:space="preserve">החברה המעבירה וחברת האחות לא תהיינה רשאיות לקזז במשך שתי שנות מס, החל מתום שנת המס שבה הועבר הנכס (להלן </w:t>
      </w:r>
      <w:r w:rsidR="00097807">
        <w:rPr>
          <w:rStyle w:val="default"/>
          <w:rFonts w:cs="FrankRuehl" w:hint="cs"/>
          <w:rtl/>
        </w:rPr>
        <w:t>-</w:t>
      </w:r>
      <w:r w:rsidRPr="00724A9B">
        <w:rPr>
          <w:rStyle w:val="default"/>
          <w:rFonts w:cs="FrankRuehl"/>
          <w:rtl/>
        </w:rPr>
        <w:t xml:space="preserve"> תקופת איסור הקיזוז), הפסדים לפי סעיפים 28 או 92 לפקודה, שנוצרו בשנת ההעברה או בשנים שקדמו לה, עד לסכום שווי השוק של הנכס המועבר. תקופת איסור הקיזוז לא תבוא במנין ההגבלה הקבועה בסעיף 92 לפקודה לגבי תקופת הקיזוז לגבי הפסד כאמור.</w:t>
      </w:r>
    </w:p>
    <w:p w14:paraId="707C0AC5" w14:textId="77777777" w:rsidR="000F5690" w:rsidRPr="00724A9B" w:rsidRDefault="000F5690">
      <w:pPr>
        <w:pStyle w:val="P00"/>
        <w:spacing w:before="72"/>
        <w:ind w:left="0" w:right="1134"/>
        <w:rPr>
          <w:rStyle w:val="default"/>
          <w:rFonts w:cs="FrankRuehl"/>
          <w:rtl/>
        </w:rPr>
      </w:pPr>
      <w:bookmarkStart w:id="1" w:name="Seif2"/>
      <w:bookmarkEnd w:id="1"/>
      <w:r w:rsidRPr="00724A9B">
        <w:rPr>
          <w:rFonts w:cs="Miriam"/>
          <w:lang w:val="he-IL"/>
        </w:rPr>
        <w:pict w14:anchorId="2E53C6AB">
          <v:rect id="_x0000_s1027" style="position:absolute;left:0;text-align:left;margin-left:464.5pt;margin-top:8.05pt;width:75.05pt;height:21.2pt;z-index:251656192" o:allowincell="f" filled="f" stroked="f" strokecolor="lime" strokeweight=".25pt">
            <v:textbox inset="0,0,0,0">
              <w:txbxContent>
                <w:p w14:paraId="4633F439" w14:textId="77777777" w:rsidR="000F5690" w:rsidRDefault="000F5690">
                  <w:pPr>
                    <w:spacing w:line="160" w:lineRule="exact"/>
                    <w:rPr>
                      <w:rFonts w:cs="Miriam"/>
                      <w:noProof/>
                      <w:sz w:val="18"/>
                      <w:szCs w:val="18"/>
                      <w:rtl/>
                    </w:rPr>
                  </w:pPr>
                  <w:r>
                    <w:rPr>
                      <w:rFonts w:cs="Miriam"/>
                      <w:sz w:val="18"/>
                      <w:szCs w:val="18"/>
                      <w:rtl/>
                    </w:rPr>
                    <w:t>הת</w:t>
                  </w:r>
                  <w:r>
                    <w:rPr>
                      <w:rFonts w:cs="Miriam" w:hint="cs"/>
                      <w:sz w:val="18"/>
                      <w:szCs w:val="18"/>
                      <w:rtl/>
                    </w:rPr>
                    <w:t>נאים במכירת מניות</w:t>
                  </w:r>
                </w:p>
              </w:txbxContent>
            </v:textbox>
            <w10:anchorlock/>
          </v:rect>
        </w:pict>
      </w:r>
      <w:r w:rsidRPr="00724A9B">
        <w:rPr>
          <w:rStyle w:val="big-number"/>
          <w:rFonts w:cs="Miriam"/>
          <w:rtl/>
        </w:rPr>
        <w:t>2</w:t>
      </w:r>
      <w:r w:rsidRPr="00724A9B">
        <w:rPr>
          <w:rStyle w:val="big-number"/>
          <w:rFonts w:cs="FrankRuehl"/>
          <w:rtl/>
        </w:rPr>
        <w:t>.</w:t>
      </w:r>
      <w:r w:rsidRPr="00724A9B">
        <w:rPr>
          <w:rStyle w:val="big-number"/>
          <w:rFonts w:cs="FrankRuehl"/>
          <w:rtl/>
        </w:rPr>
        <w:tab/>
      </w:r>
      <w:r w:rsidRPr="00724A9B">
        <w:rPr>
          <w:rStyle w:val="default"/>
          <w:rFonts w:cs="FrankRuehl"/>
          <w:rtl/>
        </w:rPr>
        <w:t>(א)</w:t>
      </w:r>
      <w:r w:rsidRPr="00724A9B">
        <w:rPr>
          <w:rStyle w:val="default"/>
          <w:rFonts w:cs="FrankRuehl"/>
          <w:rtl/>
        </w:rPr>
        <w:tab/>
        <w:t>במכירה הראשונה שלא בפטור ממס של מניות החברה המעבירה שהיו קיימות במועד העברת הנכס יחולו תנאים אלה:</w:t>
      </w:r>
    </w:p>
    <w:p w14:paraId="61B62CB6" w14:textId="77777777" w:rsidR="000F5690" w:rsidRPr="00724A9B" w:rsidRDefault="000F5690" w:rsidP="00097807">
      <w:pPr>
        <w:pStyle w:val="P22"/>
        <w:spacing w:before="72"/>
        <w:ind w:left="1021" w:right="1134"/>
        <w:rPr>
          <w:rStyle w:val="default"/>
          <w:rFonts w:cs="FrankRuehl"/>
          <w:rtl/>
        </w:rPr>
      </w:pPr>
      <w:r w:rsidRPr="00724A9B">
        <w:rPr>
          <w:rStyle w:val="default"/>
          <w:rFonts w:cs="FrankRuehl"/>
          <w:rtl/>
        </w:rPr>
        <w:t>(1)</w:t>
      </w:r>
      <w:r w:rsidRPr="00724A9B">
        <w:rPr>
          <w:rStyle w:val="default"/>
          <w:rFonts w:cs="FrankRuehl"/>
          <w:rtl/>
        </w:rPr>
        <w:tab/>
        <w:t xml:space="preserve">יראו את המחיר המקורי של המניות כשהוא מוכפל בהפרש שבין 1 לשווי היחסי של הנכס המועבר (להלן </w:t>
      </w:r>
      <w:r w:rsidR="008E484D">
        <w:rPr>
          <w:rStyle w:val="default"/>
          <w:rFonts w:cs="FrankRuehl"/>
          <w:rtl/>
        </w:rPr>
        <w:t>–</w:t>
      </w:r>
      <w:r w:rsidRPr="00724A9B">
        <w:rPr>
          <w:rStyle w:val="default"/>
          <w:rFonts w:cs="FrankRuehl"/>
          <w:rtl/>
        </w:rPr>
        <w:t xml:space="preserve"> חלק המחיר המקורי), וכשהוא מתואם מיום רכישת המניות ועד ליום ההעברה של הנכס (להלן </w:t>
      </w:r>
      <w:r w:rsidR="008E484D">
        <w:rPr>
          <w:rStyle w:val="default"/>
          <w:rFonts w:cs="FrankRuehl"/>
          <w:rtl/>
        </w:rPr>
        <w:t>–</w:t>
      </w:r>
      <w:r w:rsidRPr="00724A9B">
        <w:rPr>
          <w:rStyle w:val="default"/>
          <w:rFonts w:cs="FrankRuehl"/>
          <w:rtl/>
        </w:rPr>
        <w:t xml:space="preserve"> חלק המחיר המקורי המתואם) כמחיר המקורי שלהן; לענין זה, "השווי היחסי" </w:t>
      </w:r>
      <w:r w:rsidR="008E484D">
        <w:rPr>
          <w:rStyle w:val="default"/>
          <w:rFonts w:cs="FrankRuehl"/>
          <w:rtl/>
        </w:rPr>
        <w:t>–</w:t>
      </w:r>
      <w:r w:rsidRPr="00724A9B">
        <w:rPr>
          <w:rStyle w:val="default"/>
          <w:rFonts w:cs="FrankRuehl"/>
          <w:rtl/>
        </w:rPr>
        <w:t xml:space="preserve"> שווי השוק של הנכס המועבר ביחס לשווי השוק של החברה המעבירה לפני ההעברה;</w:t>
      </w:r>
    </w:p>
    <w:p w14:paraId="24DE39C8" w14:textId="77777777" w:rsidR="000F5690" w:rsidRPr="00724A9B" w:rsidRDefault="000F5690">
      <w:pPr>
        <w:pStyle w:val="P22"/>
        <w:spacing w:before="72"/>
        <w:ind w:left="1021" w:right="1134"/>
        <w:rPr>
          <w:rStyle w:val="default"/>
          <w:rFonts w:cs="FrankRuehl"/>
          <w:rtl/>
        </w:rPr>
      </w:pPr>
      <w:r w:rsidRPr="00724A9B">
        <w:rPr>
          <w:rStyle w:val="default"/>
          <w:rFonts w:cs="FrankRuehl"/>
          <w:rtl/>
        </w:rPr>
        <w:t>(2)</w:t>
      </w:r>
      <w:r w:rsidRPr="00724A9B">
        <w:rPr>
          <w:rStyle w:val="default"/>
          <w:rFonts w:cs="FrankRuehl"/>
          <w:rtl/>
        </w:rPr>
        <w:tab/>
        <w:t>ההפרש בין חלק המחיר המקורי המתואם של המניות לבין חלק המחיר המקורי שלהן, יווסף לתמורה ממכירת המניות ויראו בו סכום אינפלציוני נוסף;</w:t>
      </w:r>
    </w:p>
    <w:p w14:paraId="7C5B6433" w14:textId="77777777" w:rsidR="000F5690" w:rsidRPr="00724A9B" w:rsidRDefault="000F5690">
      <w:pPr>
        <w:pStyle w:val="P22"/>
        <w:spacing w:before="72"/>
        <w:ind w:left="1021" w:right="1134"/>
        <w:rPr>
          <w:rStyle w:val="default"/>
          <w:rFonts w:cs="FrankRuehl"/>
          <w:rtl/>
        </w:rPr>
      </w:pPr>
      <w:r w:rsidRPr="00724A9B">
        <w:rPr>
          <w:rStyle w:val="default"/>
          <w:rFonts w:cs="FrankRuehl"/>
          <w:rtl/>
        </w:rPr>
        <w:t>(3)</w:t>
      </w:r>
      <w:r w:rsidRPr="00724A9B">
        <w:rPr>
          <w:rStyle w:val="default"/>
          <w:rFonts w:cs="FrankRuehl"/>
          <w:rtl/>
        </w:rPr>
        <w:tab/>
        <w:t>כמועד הרכישה של המניות יראו את מועד ההעברה של הנכס.</w:t>
      </w:r>
    </w:p>
    <w:p w14:paraId="592001B8" w14:textId="77777777" w:rsidR="000F5690" w:rsidRPr="00724A9B" w:rsidRDefault="000F5690">
      <w:pPr>
        <w:pStyle w:val="P00"/>
        <w:spacing w:before="72"/>
        <w:ind w:left="0" w:right="1134"/>
        <w:rPr>
          <w:rStyle w:val="default"/>
          <w:rFonts w:cs="FrankRuehl"/>
          <w:rtl/>
        </w:rPr>
      </w:pPr>
      <w:r w:rsidRPr="00724A9B">
        <w:rPr>
          <w:rFonts w:cs="FrankRuehl"/>
          <w:sz w:val="26"/>
          <w:rtl/>
        </w:rPr>
        <w:tab/>
      </w:r>
      <w:r w:rsidRPr="00724A9B">
        <w:rPr>
          <w:rStyle w:val="default"/>
          <w:rFonts w:cs="FrankRuehl"/>
          <w:rtl/>
        </w:rPr>
        <w:t>(ב)</w:t>
      </w:r>
      <w:r w:rsidRPr="00724A9B">
        <w:rPr>
          <w:rStyle w:val="default"/>
          <w:rFonts w:cs="FrankRuehl"/>
          <w:rtl/>
        </w:rPr>
        <w:tab/>
        <w:t xml:space="preserve">במכירה הראשונה שלא בפטור ממס של מניות חברת האחות שהיו קיימות במועד </w:t>
      </w:r>
      <w:r w:rsidRPr="00724A9B">
        <w:rPr>
          <w:rStyle w:val="default"/>
          <w:rFonts w:cs="FrankRuehl"/>
          <w:rtl/>
        </w:rPr>
        <w:lastRenderedPageBreak/>
        <w:t>העברת הנכס יחולו תנאים אלה:</w:t>
      </w:r>
    </w:p>
    <w:p w14:paraId="3BEEE029" w14:textId="77777777" w:rsidR="000F5690" w:rsidRPr="00724A9B" w:rsidRDefault="000F5690" w:rsidP="00097807">
      <w:pPr>
        <w:pStyle w:val="P22"/>
        <w:spacing w:before="72"/>
        <w:ind w:left="1021" w:right="1134"/>
        <w:rPr>
          <w:rStyle w:val="default"/>
          <w:rFonts w:cs="FrankRuehl"/>
          <w:rtl/>
        </w:rPr>
      </w:pPr>
      <w:r w:rsidRPr="00724A9B">
        <w:rPr>
          <w:rStyle w:val="default"/>
          <w:rFonts w:cs="FrankRuehl"/>
          <w:rtl/>
        </w:rPr>
        <w:t>(1)</w:t>
      </w:r>
      <w:r w:rsidRPr="00724A9B">
        <w:rPr>
          <w:rStyle w:val="default"/>
          <w:rFonts w:cs="FrankRuehl"/>
          <w:rtl/>
        </w:rPr>
        <w:tab/>
        <w:t xml:space="preserve">יראו את המחיר המקורי של המניות כשהוא מתואם מיום רכישתן ועד יום ההעברה של הנכס (להלן </w:t>
      </w:r>
      <w:r w:rsidR="008E484D">
        <w:rPr>
          <w:rStyle w:val="default"/>
          <w:rFonts w:cs="FrankRuehl"/>
          <w:rtl/>
        </w:rPr>
        <w:t>–</w:t>
      </w:r>
      <w:r w:rsidRPr="00724A9B">
        <w:rPr>
          <w:rStyle w:val="default"/>
          <w:rFonts w:cs="FrankRuehl"/>
          <w:rtl/>
        </w:rPr>
        <w:t xml:space="preserve"> המחיר המתואם) בתוספת המחיר המקורי של מניות החברה המעבירה לאחר שנוכה חלק המחיר המקורי, כשתוספת זו מתואמת ממועד רכישת מניות החברה המעבירה בידי בעלי מניותיה ועד ליום ההעברה של הנכס (התוספת האמורה תיקרא להלן </w:t>
      </w:r>
      <w:r w:rsidR="008E484D">
        <w:rPr>
          <w:rStyle w:val="default"/>
          <w:rFonts w:cs="FrankRuehl"/>
          <w:rtl/>
        </w:rPr>
        <w:t>–</w:t>
      </w:r>
      <w:r w:rsidRPr="00724A9B">
        <w:rPr>
          <w:rStyle w:val="default"/>
          <w:rFonts w:cs="FrankRuehl"/>
          <w:rtl/>
        </w:rPr>
        <w:t xml:space="preserve"> החלק היחסי המועבר);</w:t>
      </w:r>
    </w:p>
    <w:p w14:paraId="561A6973" w14:textId="77777777" w:rsidR="000F5690" w:rsidRPr="00724A9B" w:rsidRDefault="000F5690">
      <w:pPr>
        <w:pStyle w:val="P22"/>
        <w:spacing w:before="72"/>
        <w:ind w:left="1021" w:right="1134"/>
        <w:rPr>
          <w:rStyle w:val="default"/>
          <w:rFonts w:cs="FrankRuehl"/>
          <w:rtl/>
        </w:rPr>
      </w:pPr>
      <w:r w:rsidRPr="00724A9B">
        <w:rPr>
          <w:rStyle w:val="default"/>
          <w:rFonts w:cs="FrankRuehl"/>
          <w:rtl/>
        </w:rPr>
        <w:t>(2)</w:t>
      </w:r>
      <w:r w:rsidRPr="00724A9B">
        <w:rPr>
          <w:rStyle w:val="default"/>
          <w:rFonts w:cs="FrankRuehl"/>
          <w:rtl/>
        </w:rPr>
        <w:tab/>
        <w:t>ההפרש בין המחיר המתואם לבין המחיר המקורי של מניות חברת האחות ייווסף לתמורה ממכירת המניות ויראו בו סכום אינפלציוני נוסף;</w:t>
      </w:r>
    </w:p>
    <w:p w14:paraId="4E4C3179" w14:textId="77777777" w:rsidR="000F5690" w:rsidRPr="00724A9B" w:rsidRDefault="000F5690" w:rsidP="008E484D">
      <w:pPr>
        <w:pStyle w:val="P22"/>
        <w:spacing w:before="72"/>
        <w:ind w:left="1021" w:right="1134"/>
        <w:rPr>
          <w:rStyle w:val="default"/>
          <w:rFonts w:cs="FrankRuehl"/>
          <w:rtl/>
        </w:rPr>
      </w:pPr>
      <w:r w:rsidRPr="00724A9B">
        <w:rPr>
          <w:rStyle w:val="default"/>
          <w:rFonts w:cs="FrankRuehl"/>
          <w:rtl/>
        </w:rPr>
        <w:t>(3)</w:t>
      </w:r>
      <w:r w:rsidRPr="00724A9B">
        <w:rPr>
          <w:rStyle w:val="default"/>
          <w:rFonts w:cs="FrankRuehl"/>
          <w:rtl/>
        </w:rPr>
        <w:tab/>
        <w:t>ההפרש בין החלק היחסי המועבר לבין המחיר המקורי של מניות החברה המעבירה, לאחר שנוכה ממנו חלק המחיר המקורי, ייווסף לתמורה ממכירת המניות ויראו בו סכום אינפלציוני נוסף;</w:t>
      </w:r>
    </w:p>
    <w:p w14:paraId="5C12E0D9" w14:textId="77777777" w:rsidR="000F5690" w:rsidRPr="00724A9B" w:rsidRDefault="000F5690">
      <w:pPr>
        <w:pStyle w:val="P22"/>
        <w:spacing w:before="72"/>
        <w:ind w:left="1021" w:right="1134"/>
        <w:rPr>
          <w:rStyle w:val="default"/>
          <w:rFonts w:cs="FrankRuehl"/>
          <w:rtl/>
        </w:rPr>
      </w:pPr>
      <w:r w:rsidRPr="00724A9B">
        <w:rPr>
          <w:rStyle w:val="default"/>
          <w:rFonts w:cs="FrankRuehl"/>
          <w:rtl/>
        </w:rPr>
        <w:t>(4)</w:t>
      </w:r>
      <w:r w:rsidRPr="00724A9B">
        <w:rPr>
          <w:rStyle w:val="default"/>
          <w:rFonts w:cs="FrankRuehl"/>
          <w:rtl/>
        </w:rPr>
        <w:tab/>
        <w:t>כמועד הרכישה של המניות יראו את מועד ההעברה של הנכס.</w:t>
      </w:r>
    </w:p>
    <w:p w14:paraId="5B48C244" w14:textId="77777777" w:rsidR="000F5690" w:rsidRPr="00724A9B" w:rsidRDefault="000F5690" w:rsidP="00097807">
      <w:pPr>
        <w:pStyle w:val="P00"/>
        <w:spacing w:before="72"/>
        <w:ind w:left="0" w:right="1134"/>
        <w:rPr>
          <w:rStyle w:val="default"/>
          <w:rFonts w:cs="FrankRuehl"/>
          <w:rtl/>
        </w:rPr>
      </w:pPr>
      <w:bookmarkStart w:id="2" w:name="Seif3"/>
      <w:bookmarkEnd w:id="2"/>
      <w:r w:rsidRPr="00724A9B">
        <w:rPr>
          <w:rFonts w:cs="Miriam"/>
          <w:lang w:val="he-IL"/>
        </w:rPr>
        <w:pict w14:anchorId="5EF96436">
          <v:rect id="_x0000_s1028" style="position:absolute;left:0;text-align:left;margin-left:464.5pt;margin-top:8.05pt;width:75.05pt;height:19.6pt;z-index:251657216" o:allowincell="f" filled="f" stroked="f" strokecolor="lime" strokeweight=".25pt">
            <v:textbox inset="0,0,0,0">
              <w:txbxContent>
                <w:p w14:paraId="26A1DE08" w14:textId="77777777" w:rsidR="000F5690" w:rsidRDefault="000F5690">
                  <w:pPr>
                    <w:spacing w:line="160" w:lineRule="exact"/>
                    <w:rPr>
                      <w:rFonts w:cs="Miriam"/>
                      <w:noProof/>
                      <w:sz w:val="18"/>
                      <w:szCs w:val="18"/>
                      <w:rtl/>
                    </w:rPr>
                  </w:pPr>
                  <w:r>
                    <w:rPr>
                      <w:rFonts w:cs="Miriam"/>
                      <w:sz w:val="18"/>
                      <w:szCs w:val="18"/>
                      <w:rtl/>
                    </w:rPr>
                    <w:t>הע</w:t>
                  </w:r>
                  <w:r>
                    <w:rPr>
                      <w:rFonts w:cs="Miriam" w:hint="cs"/>
                      <w:sz w:val="18"/>
                      <w:szCs w:val="18"/>
                      <w:rtl/>
                    </w:rPr>
                    <w:t>ברת נכסים לחברה תעשייתית</w:t>
                  </w:r>
                </w:p>
              </w:txbxContent>
            </v:textbox>
            <w10:anchorlock/>
          </v:rect>
        </w:pict>
      </w:r>
      <w:r w:rsidRPr="00724A9B">
        <w:rPr>
          <w:rStyle w:val="big-number"/>
          <w:rFonts w:cs="Miriam"/>
          <w:rtl/>
        </w:rPr>
        <w:t>3</w:t>
      </w:r>
      <w:r w:rsidRPr="00724A9B">
        <w:rPr>
          <w:rStyle w:val="big-number"/>
          <w:rFonts w:cs="FrankRuehl"/>
          <w:rtl/>
        </w:rPr>
        <w:t>.</w:t>
      </w:r>
      <w:r w:rsidRPr="00724A9B">
        <w:rPr>
          <w:rStyle w:val="big-number"/>
          <w:rFonts w:cs="FrankRuehl"/>
          <w:rtl/>
        </w:rPr>
        <w:tab/>
      </w:r>
      <w:r w:rsidRPr="00724A9B">
        <w:rPr>
          <w:rStyle w:val="default"/>
          <w:rFonts w:cs="FrankRuehl"/>
          <w:rtl/>
        </w:rPr>
        <w:t>היתה חברת האחות חברה שרשמה מניותיה למסחר בבורסה בעת שהיתה חברה תעשייתית כמשמעותה בחוק לעידוד התעשיה (מסים), תשכ"ט</w:t>
      </w:r>
      <w:r w:rsidR="00097807">
        <w:rPr>
          <w:rStyle w:val="default"/>
          <w:rFonts w:cs="FrankRuehl" w:hint="cs"/>
          <w:rtl/>
        </w:rPr>
        <w:t>-</w:t>
      </w:r>
      <w:r w:rsidRPr="00724A9B">
        <w:rPr>
          <w:rStyle w:val="default"/>
          <w:rFonts w:cs="FrankRuehl"/>
          <w:rtl/>
        </w:rPr>
        <w:t>1969, לא יחול הפטור שבסעיף 104ב(ו) על הנכס שהועבר לחברת האחות, וישולם המס על ההעברה בצירוף ריבית והפרשי הצמדה כמשמעותם בסעיף 159א, ממועד ההעברה.</w:t>
      </w:r>
    </w:p>
    <w:p w14:paraId="115197F4" w14:textId="77777777" w:rsidR="000F5690" w:rsidRDefault="000F5690">
      <w:pPr>
        <w:pStyle w:val="P00"/>
        <w:spacing w:before="72"/>
        <w:ind w:left="0" w:right="1134"/>
        <w:rPr>
          <w:rStyle w:val="default"/>
          <w:rFonts w:cs="FrankRuehl" w:hint="cs"/>
          <w:rtl/>
        </w:rPr>
      </w:pPr>
      <w:bookmarkStart w:id="3" w:name="Seif4"/>
      <w:bookmarkEnd w:id="3"/>
      <w:r w:rsidRPr="00724A9B">
        <w:rPr>
          <w:rFonts w:cs="Miriam"/>
          <w:lang w:val="he-IL"/>
        </w:rPr>
        <w:pict w14:anchorId="20866082">
          <v:rect id="_x0000_s1029" style="position:absolute;left:0;text-align:left;margin-left:464.5pt;margin-top:8.05pt;width:75.05pt;height:30.35pt;z-index:251658240" o:allowincell="f" filled="f" stroked="f" strokecolor="lime" strokeweight=".25pt">
            <v:textbox inset="0,0,0,0">
              <w:txbxContent>
                <w:p w14:paraId="78FE499D" w14:textId="77777777" w:rsidR="00097807" w:rsidRDefault="000F5690">
                  <w:pPr>
                    <w:spacing w:line="160" w:lineRule="exact"/>
                    <w:rPr>
                      <w:rFonts w:cs="Miriam" w:hint="cs"/>
                      <w:sz w:val="18"/>
                      <w:szCs w:val="18"/>
                      <w:rtl/>
                    </w:rPr>
                  </w:pPr>
                  <w:r>
                    <w:rPr>
                      <w:rFonts w:cs="Miriam"/>
                      <w:sz w:val="18"/>
                      <w:szCs w:val="18"/>
                      <w:rtl/>
                    </w:rPr>
                    <w:t>בק</w:t>
                  </w:r>
                  <w:r w:rsidR="00097807">
                    <w:rPr>
                      <w:rFonts w:cs="Miriam" w:hint="cs"/>
                      <w:sz w:val="18"/>
                      <w:szCs w:val="18"/>
                      <w:rtl/>
                    </w:rPr>
                    <w:t>שה לאישור הנציב להעברה</w:t>
                  </w:r>
                </w:p>
                <w:p w14:paraId="4E5AFF33" w14:textId="77777777" w:rsidR="000F5690" w:rsidRDefault="000F5690">
                  <w:pPr>
                    <w:spacing w:line="160" w:lineRule="exact"/>
                    <w:rPr>
                      <w:rFonts w:cs="Miriam" w:hint="cs"/>
                      <w:noProof/>
                      <w:sz w:val="18"/>
                      <w:szCs w:val="18"/>
                      <w:rtl/>
                    </w:rPr>
                  </w:pPr>
                  <w:r>
                    <w:rPr>
                      <w:rFonts w:cs="Miriam" w:hint="cs"/>
                      <w:sz w:val="18"/>
                      <w:szCs w:val="18"/>
                      <w:rtl/>
                    </w:rPr>
                    <w:t>תק' תשנ"ז</w:t>
                  </w:r>
                  <w:r w:rsidR="00097807">
                    <w:rPr>
                      <w:rFonts w:cs="Miriam" w:hint="cs"/>
                      <w:sz w:val="18"/>
                      <w:szCs w:val="18"/>
                      <w:rtl/>
                    </w:rPr>
                    <w:t>-</w:t>
                  </w:r>
                  <w:r w:rsidR="00097807">
                    <w:rPr>
                      <w:rFonts w:cs="Miriam"/>
                      <w:sz w:val="18"/>
                      <w:szCs w:val="18"/>
                      <w:rtl/>
                    </w:rPr>
                    <w:t>1997</w:t>
                  </w:r>
                </w:p>
              </w:txbxContent>
            </v:textbox>
            <w10:anchorlock/>
          </v:rect>
        </w:pict>
      </w:r>
      <w:r w:rsidRPr="00724A9B">
        <w:rPr>
          <w:rStyle w:val="big-number"/>
          <w:rFonts w:cs="Miriam"/>
          <w:rtl/>
        </w:rPr>
        <w:t>3</w:t>
      </w:r>
      <w:r w:rsidRPr="00724A9B">
        <w:rPr>
          <w:rStyle w:val="default"/>
          <w:rFonts w:cs="FrankRuehl"/>
          <w:rtl/>
        </w:rPr>
        <w:t>א.</w:t>
      </w:r>
      <w:r w:rsidRPr="00724A9B">
        <w:rPr>
          <w:rStyle w:val="default"/>
          <w:rFonts w:cs="FrankRuehl"/>
          <w:rtl/>
        </w:rPr>
        <w:tab/>
        <w:t>בקשה לאישור הנציב להעברה לפי תקנה 1(8), תוגש לפי טופס 1513 שבתוספת.</w:t>
      </w:r>
    </w:p>
    <w:p w14:paraId="023F18AD" w14:textId="77777777" w:rsidR="00097807" w:rsidRPr="008E484D" w:rsidRDefault="00097807" w:rsidP="00097807">
      <w:pPr>
        <w:pStyle w:val="P00"/>
        <w:tabs>
          <w:tab w:val="clear" w:pos="6259"/>
        </w:tabs>
        <w:spacing w:before="0"/>
        <w:ind w:left="0" w:right="1134"/>
        <w:rPr>
          <w:rFonts w:cs="FrankRuehl" w:hint="cs"/>
          <w:vanish/>
          <w:szCs w:val="20"/>
          <w:shd w:val="clear" w:color="auto" w:fill="FFFF99"/>
          <w:rtl/>
        </w:rPr>
      </w:pPr>
      <w:bookmarkStart w:id="4" w:name="Rov8"/>
      <w:r w:rsidRPr="008E484D">
        <w:rPr>
          <w:rFonts w:cs="FrankRuehl" w:hint="cs"/>
          <w:vanish/>
          <w:color w:val="FF0000"/>
          <w:szCs w:val="20"/>
          <w:shd w:val="clear" w:color="auto" w:fill="FFFF99"/>
          <w:rtl/>
        </w:rPr>
        <w:t>מיום 3.4.1997</w:t>
      </w:r>
    </w:p>
    <w:p w14:paraId="49A25EB1" w14:textId="77777777" w:rsidR="00097807" w:rsidRPr="008E484D" w:rsidRDefault="00097807" w:rsidP="00097807">
      <w:pPr>
        <w:pStyle w:val="P00"/>
        <w:spacing w:before="0"/>
        <w:ind w:left="0" w:right="1134"/>
        <w:rPr>
          <w:rFonts w:cs="FrankRuehl" w:hint="cs"/>
          <w:b/>
          <w:bCs/>
          <w:vanish/>
          <w:szCs w:val="20"/>
          <w:shd w:val="clear" w:color="auto" w:fill="FFFF99"/>
          <w:rtl/>
        </w:rPr>
      </w:pPr>
      <w:r w:rsidRPr="008E484D">
        <w:rPr>
          <w:rFonts w:cs="FrankRuehl" w:hint="cs"/>
          <w:b/>
          <w:bCs/>
          <w:vanish/>
          <w:szCs w:val="20"/>
          <w:shd w:val="clear" w:color="auto" w:fill="FFFF99"/>
          <w:rtl/>
        </w:rPr>
        <w:t>תק' תשנ"ז-1997</w:t>
      </w:r>
    </w:p>
    <w:p w14:paraId="75178ED5" w14:textId="77777777" w:rsidR="00097807" w:rsidRPr="008E484D" w:rsidRDefault="00097807" w:rsidP="00097807">
      <w:pPr>
        <w:pStyle w:val="P00"/>
        <w:spacing w:before="0"/>
        <w:ind w:left="0" w:right="1134"/>
        <w:rPr>
          <w:rFonts w:cs="FrankRuehl" w:hint="cs"/>
          <w:vanish/>
          <w:szCs w:val="20"/>
          <w:shd w:val="clear" w:color="auto" w:fill="FFFF99"/>
          <w:rtl/>
        </w:rPr>
      </w:pPr>
      <w:hyperlink r:id="rId6" w:history="1">
        <w:r w:rsidRPr="008E484D">
          <w:rPr>
            <w:rStyle w:val="Hyperlink"/>
            <w:rFonts w:cs="FrankRuehl" w:hint="cs"/>
            <w:vanish/>
            <w:szCs w:val="20"/>
            <w:shd w:val="clear" w:color="auto" w:fill="FFFF99"/>
            <w:rtl/>
          </w:rPr>
          <w:t>ק"ת תשנ"ז מס' 5822</w:t>
        </w:r>
      </w:hyperlink>
      <w:r w:rsidRPr="008E484D">
        <w:rPr>
          <w:rFonts w:cs="FrankRuehl" w:hint="cs"/>
          <w:vanish/>
          <w:szCs w:val="20"/>
          <w:shd w:val="clear" w:color="auto" w:fill="FFFF99"/>
          <w:rtl/>
        </w:rPr>
        <w:t xml:space="preserve"> מיום 3.4.1997 עמ' 524</w:t>
      </w:r>
    </w:p>
    <w:p w14:paraId="23CF6CC1" w14:textId="77777777" w:rsidR="00097807" w:rsidRPr="00724A9B" w:rsidRDefault="00097807" w:rsidP="00097807">
      <w:pPr>
        <w:pStyle w:val="P00"/>
        <w:spacing w:before="0"/>
        <w:ind w:left="0" w:right="1134"/>
        <w:rPr>
          <w:rFonts w:cs="FrankRuehl" w:hint="cs"/>
          <w:b/>
          <w:bCs/>
          <w:sz w:val="2"/>
          <w:szCs w:val="2"/>
          <w:rtl/>
        </w:rPr>
      </w:pPr>
      <w:r w:rsidRPr="008E484D">
        <w:rPr>
          <w:rFonts w:cs="FrankRuehl" w:hint="cs"/>
          <w:b/>
          <w:bCs/>
          <w:vanish/>
          <w:szCs w:val="20"/>
          <w:shd w:val="clear" w:color="auto" w:fill="FFFF99"/>
          <w:rtl/>
        </w:rPr>
        <w:t>הוספת תקנה 3א</w:t>
      </w:r>
      <w:bookmarkEnd w:id="4"/>
    </w:p>
    <w:p w14:paraId="678BE6D4" w14:textId="77777777" w:rsidR="00097807" w:rsidRDefault="00097807">
      <w:pPr>
        <w:pStyle w:val="P00"/>
        <w:spacing w:before="72"/>
        <w:ind w:left="0" w:right="1134"/>
        <w:rPr>
          <w:rStyle w:val="default"/>
          <w:rFonts w:cs="FrankRuehl" w:hint="cs"/>
          <w:rtl/>
        </w:rPr>
      </w:pPr>
    </w:p>
    <w:p w14:paraId="7D232E20" w14:textId="77777777" w:rsidR="000F5690" w:rsidRDefault="000F5690">
      <w:pPr>
        <w:pStyle w:val="P00"/>
        <w:spacing w:before="72"/>
        <w:ind w:left="0" w:right="1134"/>
        <w:rPr>
          <w:rStyle w:val="default"/>
          <w:rFonts w:cs="FrankRuehl" w:hint="cs"/>
          <w:rtl/>
        </w:rPr>
      </w:pPr>
      <w:bookmarkStart w:id="5" w:name="Seif5"/>
      <w:bookmarkEnd w:id="5"/>
      <w:r w:rsidRPr="00724A9B">
        <w:rPr>
          <w:rFonts w:cs="Miriam"/>
          <w:lang w:val="he-IL"/>
        </w:rPr>
        <w:pict w14:anchorId="5E311C7D">
          <v:rect id="_x0000_s1030" style="position:absolute;left:0;text-align:left;margin-left:464.5pt;margin-top:8.05pt;width:75.05pt;height:9pt;z-index:251659264" o:allowincell="f" filled="f" stroked="f" strokecolor="lime" strokeweight=".25pt">
            <v:textbox inset="0,0,0,0">
              <w:txbxContent>
                <w:p w14:paraId="720418A9" w14:textId="77777777" w:rsidR="000F5690" w:rsidRDefault="000F5690">
                  <w:pPr>
                    <w:spacing w:line="160" w:lineRule="exact"/>
                    <w:rPr>
                      <w:rFonts w:cs="Miriam"/>
                      <w:noProof/>
                      <w:sz w:val="18"/>
                      <w:szCs w:val="18"/>
                      <w:rtl/>
                    </w:rPr>
                  </w:pPr>
                  <w:r>
                    <w:rPr>
                      <w:rFonts w:cs="Miriam"/>
                      <w:sz w:val="18"/>
                      <w:szCs w:val="18"/>
                      <w:rtl/>
                    </w:rPr>
                    <w:t>תח</w:t>
                  </w:r>
                  <w:r>
                    <w:rPr>
                      <w:rFonts w:cs="Miriam" w:hint="cs"/>
                      <w:sz w:val="18"/>
                      <w:szCs w:val="18"/>
                      <w:rtl/>
                    </w:rPr>
                    <w:t>ולה ותחילה</w:t>
                  </w:r>
                </w:p>
              </w:txbxContent>
            </v:textbox>
            <w10:anchorlock/>
          </v:rect>
        </w:pict>
      </w:r>
      <w:r w:rsidRPr="00724A9B">
        <w:rPr>
          <w:rStyle w:val="big-number"/>
          <w:rFonts w:cs="Miriam"/>
          <w:rtl/>
        </w:rPr>
        <w:t>4</w:t>
      </w:r>
      <w:r w:rsidRPr="00724A9B">
        <w:rPr>
          <w:rStyle w:val="big-number"/>
          <w:rFonts w:cs="FrankRuehl"/>
          <w:rtl/>
        </w:rPr>
        <w:t>.</w:t>
      </w:r>
      <w:r w:rsidRPr="00724A9B">
        <w:rPr>
          <w:rStyle w:val="big-number"/>
          <w:rFonts w:cs="FrankRuehl"/>
          <w:rtl/>
        </w:rPr>
        <w:tab/>
      </w:r>
      <w:r w:rsidRPr="00724A9B">
        <w:rPr>
          <w:rStyle w:val="default"/>
          <w:rFonts w:cs="FrankRuehl"/>
          <w:rtl/>
        </w:rPr>
        <w:t>תחילתן של תקנות אלה ביום י"ח בטבת תשנ"ד (1 בינואר 1994) והן יחולו על כל העברת נכס מיום זה.</w:t>
      </w:r>
    </w:p>
    <w:p w14:paraId="49AD7D08" w14:textId="77777777" w:rsidR="00097807" w:rsidRPr="00724A9B" w:rsidRDefault="00097807">
      <w:pPr>
        <w:pStyle w:val="P00"/>
        <w:spacing w:before="72"/>
        <w:ind w:left="0" w:right="1134"/>
        <w:rPr>
          <w:rStyle w:val="default"/>
          <w:rFonts w:cs="FrankRuehl" w:hint="cs"/>
          <w:rtl/>
        </w:rPr>
      </w:pPr>
    </w:p>
    <w:p w14:paraId="1FA27C0B" w14:textId="77777777" w:rsidR="000F5690" w:rsidRPr="008E484D" w:rsidRDefault="000F5690" w:rsidP="008E484D">
      <w:pPr>
        <w:pStyle w:val="medium2-header"/>
        <w:keepLines w:val="0"/>
        <w:spacing w:before="72"/>
        <w:ind w:left="0" w:right="1134"/>
        <w:outlineLvl w:val="0"/>
        <w:rPr>
          <w:rFonts w:cs="FrankRuehl" w:hint="cs"/>
          <w:noProof/>
          <w:rtl/>
        </w:rPr>
      </w:pPr>
      <w:r w:rsidRPr="008E484D">
        <w:rPr>
          <w:rFonts w:cs="FrankRuehl"/>
          <w:noProof/>
        </w:rPr>
        <w:pict w14:anchorId="1D1EC945">
          <v:rect id="_x0000_s1031" style="position:absolute;left:0;text-align:left;margin-left:464.5pt;margin-top:8.05pt;width:75.05pt;height:18.3pt;z-index:251660288" o:allowincell="f" filled="f" stroked="f" strokecolor="lime" strokeweight=".25pt">
            <v:textbox inset="0,0,0,0">
              <w:txbxContent>
                <w:p w14:paraId="1AAFC593" w14:textId="77777777" w:rsidR="000F5690" w:rsidRDefault="000F5690">
                  <w:pPr>
                    <w:spacing w:line="160" w:lineRule="exact"/>
                    <w:rPr>
                      <w:rFonts w:cs="Miriam" w:hint="cs"/>
                      <w:noProof/>
                      <w:sz w:val="18"/>
                      <w:szCs w:val="18"/>
                      <w:rtl/>
                    </w:rPr>
                  </w:pPr>
                  <w:r>
                    <w:rPr>
                      <w:rFonts w:cs="Miriam"/>
                      <w:sz w:val="18"/>
                      <w:szCs w:val="18"/>
                      <w:rtl/>
                    </w:rPr>
                    <w:t>תק</w:t>
                  </w:r>
                  <w:r>
                    <w:rPr>
                      <w:rFonts w:cs="Miriam" w:hint="cs"/>
                      <w:sz w:val="18"/>
                      <w:szCs w:val="18"/>
                      <w:rtl/>
                    </w:rPr>
                    <w:t>' תשנ"ז</w:t>
                  </w:r>
                  <w:r w:rsidR="00097807">
                    <w:rPr>
                      <w:rFonts w:cs="Miriam" w:hint="cs"/>
                      <w:sz w:val="18"/>
                      <w:szCs w:val="18"/>
                      <w:rtl/>
                    </w:rPr>
                    <w:t>-</w:t>
                  </w:r>
                  <w:r w:rsidR="00097807">
                    <w:rPr>
                      <w:rFonts w:cs="Miriam"/>
                      <w:sz w:val="18"/>
                      <w:szCs w:val="18"/>
                      <w:rtl/>
                    </w:rPr>
                    <w:t>1997</w:t>
                  </w:r>
                </w:p>
              </w:txbxContent>
            </v:textbox>
            <w10:anchorlock/>
          </v:rect>
        </w:pict>
      </w:r>
      <w:r w:rsidR="00097807" w:rsidRPr="008E484D">
        <w:rPr>
          <w:rFonts w:cs="FrankRuehl"/>
          <w:noProof/>
          <w:rtl/>
        </w:rPr>
        <w:t>תוספת</w:t>
      </w:r>
    </w:p>
    <w:p w14:paraId="377D6732" w14:textId="77777777" w:rsidR="00097807" w:rsidRPr="00097807" w:rsidRDefault="00097807" w:rsidP="00724A9B">
      <w:pPr>
        <w:pStyle w:val="P00"/>
        <w:spacing w:before="72"/>
        <w:ind w:left="0" w:right="1134"/>
        <w:jc w:val="center"/>
        <w:rPr>
          <w:rStyle w:val="default"/>
          <w:rFonts w:cs="FrankRuehl" w:hint="cs"/>
          <w:sz w:val="24"/>
          <w:szCs w:val="24"/>
          <w:rtl/>
        </w:rPr>
      </w:pPr>
      <w:r w:rsidRPr="00097807">
        <w:rPr>
          <w:rStyle w:val="default"/>
          <w:rFonts w:cs="FrankRuehl" w:hint="cs"/>
          <w:sz w:val="24"/>
          <w:szCs w:val="24"/>
          <w:rtl/>
        </w:rPr>
        <w:t>(הושמטה)</w:t>
      </w:r>
    </w:p>
    <w:p w14:paraId="60ECC1A7" w14:textId="77777777" w:rsidR="000F5690" w:rsidRPr="00724A9B" w:rsidRDefault="000F5690">
      <w:pPr>
        <w:pStyle w:val="P00"/>
        <w:spacing w:before="72"/>
        <w:ind w:left="0" w:right="1134"/>
        <w:rPr>
          <w:rStyle w:val="default"/>
          <w:rFonts w:cs="FrankRuehl"/>
          <w:rtl/>
        </w:rPr>
      </w:pPr>
    </w:p>
    <w:p w14:paraId="75CE115C" w14:textId="77777777" w:rsidR="000F5690" w:rsidRPr="00097807" w:rsidRDefault="000F5690">
      <w:pPr>
        <w:pStyle w:val="P00"/>
        <w:spacing w:before="72"/>
        <w:ind w:left="0" w:right="1134"/>
        <w:rPr>
          <w:rStyle w:val="default"/>
          <w:rFonts w:cs="FrankRuehl"/>
          <w:rtl/>
        </w:rPr>
      </w:pPr>
    </w:p>
    <w:p w14:paraId="7D7CF3A0" w14:textId="77777777" w:rsidR="000F5690" w:rsidRPr="00097807" w:rsidRDefault="000F5690" w:rsidP="008E484D">
      <w:pPr>
        <w:pStyle w:val="sig-1"/>
        <w:widowControl/>
        <w:tabs>
          <w:tab w:val="clear" w:pos="851"/>
          <w:tab w:val="clear" w:pos="2835"/>
          <w:tab w:val="clear" w:pos="4820"/>
          <w:tab w:val="center" w:pos="5670"/>
        </w:tabs>
        <w:spacing w:before="72"/>
        <w:ind w:left="0" w:right="1134"/>
        <w:rPr>
          <w:rFonts w:cs="FrankRuehl"/>
          <w:sz w:val="26"/>
          <w:szCs w:val="26"/>
          <w:rtl/>
        </w:rPr>
      </w:pPr>
      <w:r w:rsidRPr="00097807">
        <w:rPr>
          <w:rFonts w:cs="FrankRuehl"/>
          <w:sz w:val="26"/>
          <w:szCs w:val="26"/>
          <w:rtl/>
        </w:rPr>
        <w:t>י"</w:t>
      </w:r>
      <w:r w:rsidRPr="00097807">
        <w:rPr>
          <w:rFonts w:cs="FrankRuehl" w:hint="cs"/>
          <w:sz w:val="26"/>
          <w:szCs w:val="26"/>
          <w:rtl/>
        </w:rPr>
        <w:t>ז בתמוז תשנ"ד (26 ביוני 1994)</w:t>
      </w:r>
      <w:r w:rsidRPr="00097807">
        <w:rPr>
          <w:rFonts w:cs="FrankRuehl"/>
          <w:sz w:val="26"/>
          <w:szCs w:val="26"/>
          <w:rtl/>
        </w:rPr>
        <w:tab/>
        <w:t>א</w:t>
      </w:r>
      <w:r w:rsidRPr="00097807">
        <w:rPr>
          <w:rFonts w:cs="FrankRuehl" w:hint="cs"/>
          <w:sz w:val="26"/>
          <w:szCs w:val="26"/>
          <w:rtl/>
        </w:rPr>
        <w:t>ברהם (בי</w:t>
      </w:r>
      <w:r w:rsidRPr="00097807">
        <w:rPr>
          <w:rFonts w:cs="FrankRuehl"/>
          <w:sz w:val="26"/>
          <w:szCs w:val="26"/>
          <w:rtl/>
        </w:rPr>
        <w:t>יג</w:t>
      </w:r>
      <w:r w:rsidRPr="00097807">
        <w:rPr>
          <w:rFonts w:cs="FrankRuehl" w:hint="cs"/>
          <w:sz w:val="26"/>
          <w:szCs w:val="26"/>
          <w:rtl/>
        </w:rPr>
        <w:t>ה) שוחט</w:t>
      </w:r>
    </w:p>
    <w:p w14:paraId="3D9B2F0C" w14:textId="77777777" w:rsidR="000F5690" w:rsidRDefault="000F5690" w:rsidP="008E484D">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0568A4D2" w14:textId="77777777" w:rsidR="000F5690" w:rsidRPr="00097807" w:rsidRDefault="000F5690" w:rsidP="00097807">
      <w:pPr>
        <w:pStyle w:val="P00"/>
        <w:spacing w:before="72"/>
        <w:ind w:left="0" w:right="1134"/>
        <w:rPr>
          <w:rStyle w:val="default"/>
          <w:rFonts w:cs="FrankRuehl"/>
          <w:rtl/>
        </w:rPr>
      </w:pPr>
    </w:p>
    <w:p w14:paraId="1A87CE61" w14:textId="77777777" w:rsidR="000F5690" w:rsidRPr="00097807" w:rsidRDefault="000F5690" w:rsidP="00097807">
      <w:pPr>
        <w:pStyle w:val="P00"/>
        <w:spacing w:before="72"/>
        <w:ind w:left="0" w:right="1134"/>
        <w:rPr>
          <w:rStyle w:val="default"/>
          <w:rFonts w:cs="FrankRuehl"/>
          <w:rtl/>
        </w:rPr>
      </w:pPr>
    </w:p>
    <w:p w14:paraId="67051AA8" w14:textId="77777777" w:rsidR="000F5690" w:rsidRPr="00097807" w:rsidRDefault="000F5690" w:rsidP="00097807">
      <w:pPr>
        <w:pStyle w:val="P00"/>
        <w:spacing w:before="72"/>
        <w:ind w:left="0" w:right="1134"/>
        <w:rPr>
          <w:rStyle w:val="default"/>
          <w:rFonts w:cs="FrankRuehl"/>
          <w:rtl/>
        </w:rPr>
      </w:pPr>
      <w:bookmarkStart w:id="6" w:name="LawPartEnd"/>
    </w:p>
    <w:bookmarkEnd w:id="6"/>
    <w:p w14:paraId="49DC7A72" w14:textId="77777777" w:rsidR="000F5690" w:rsidRPr="00097807" w:rsidRDefault="000F5690" w:rsidP="00097807">
      <w:pPr>
        <w:pStyle w:val="P00"/>
        <w:spacing w:before="72"/>
        <w:ind w:left="0" w:right="1134"/>
        <w:rPr>
          <w:rStyle w:val="default"/>
          <w:rFonts w:cs="FrankRuehl"/>
          <w:rtl/>
        </w:rPr>
      </w:pPr>
    </w:p>
    <w:sectPr w:rsidR="000F5690" w:rsidRPr="0009780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0B41D" w14:textId="77777777" w:rsidR="00F3170E" w:rsidRDefault="00F3170E">
      <w:r>
        <w:separator/>
      </w:r>
    </w:p>
  </w:endnote>
  <w:endnote w:type="continuationSeparator" w:id="0">
    <w:p w14:paraId="7DF25EA1" w14:textId="77777777" w:rsidR="00F3170E" w:rsidRDefault="00F3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2EEE" w14:textId="77777777" w:rsidR="000F5690" w:rsidRDefault="000F569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1F03AE6" w14:textId="77777777" w:rsidR="000F5690" w:rsidRDefault="000F569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106C9C" w14:textId="77777777" w:rsidR="000F5690" w:rsidRDefault="000F569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1440">
      <w:rPr>
        <w:rFonts w:cs="TopType Jerushalmi"/>
        <w:noProof/>
        <w:color w:val="000000"/>
        <w:sz w:val="14"/>
        <w:szCs w:val="14"/>
      </w:rPr>
      <w:t>Z:\000000000000-law\yael\revadim\08-12-04\255_231.doc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08BA" w14:textId="77777777" w:rsidR="000F5690" w:rsidRDefault="000F569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8E484D">
      <w:rPr>
        <w:rFonts w:hAnsi="FrankRuehl" w:cs="FrankRuehl"/>
        <w:noProof/>
        <w:rtl/>
      </w:rPr>
      <w:t>2</w:t>
    </w:r>
    <w:r>
      <w:rPr>
        <w:rFonts w:hAnsi="FrankRuehl" w:cs="FrankRuehl"/>
        <w:rtl/>
      </w:rPr>
      <w:fldChar w:fldCharType="end"/>
    </w:r>
  </w:p>
  <w:p w14:paraId="1A0F9D84" w14:textId="77777777" w:rsidR="000F5690" w:rsidRDefault="000F569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1A918A" w14:textId="77777777" w:rsidR="000F5690" w:rsidRDefault="000F569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1440">
      <w:rPr>
        <w:rFonts w:cs="TopType Jerushalmi"/>
        <w:noProof/>
        <w:color w:val="000000"/>
        <w:sz w:val="14"/>
        <w:szCs w:val="14"/>
      </w:rPr>
      <w:t>Z:\000000000000-law\yael\revadim\08-12-04\255_231.doc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1816" w14:textId="77777777" w:rsidR="00F3170E" w:rsidRDefault="00F3170E" w:rsidP="00097807">
      <w:pPr>
        <w:spacing w:before="60"/>
        <w:ind w:right="1134"/>
      </w:pPr>
      <w:r>
        <w:separator/>
      </w:r>
    </w:p>
  </w:footnote>
  <w:footnote w:type="continuationSeparator" w:id="0">
    <w:p w14:paraId="1766878D" w14:textId="77777777" w:rsidR="00F3170E" w:rsidRDefault="00F3170E">
      <w:r>
        <w:continuationSeparator/>
      </w:r>
    </w:p>
  </w:footnote>
  <w:footnote w:id="1">
    <w:p w14:paraId="11FC953C" w14:textId="77777777" w:rsidR="00A645A5" w:rsidRDefault="00A645A5" w:rsidP="00A645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645A5">
        <w:rPr>
          <w:rFonts w:cs="FrankRuehl"/>
          <w:rtl/>
        </w:rPr>
        <w:t xml:space="preserve">* </w:t>
      </w:r>
      <w:r w:rsidRPr="00724A9B">
        <w:rPr>
          <w:rFonts w:cs="FrankRuehl"/>
          <w:rtl/>
        </w:rPr>
        <w:t>פו</w:t>
      </w:r>
      <w:r w:rsidRPr="00724A9B">
        <w:rPr>
          <w:rFonts w:cs="FrankRuehl" w:hint="cs"/>
          <w:rtl/>
        </w:rPr>
        <w:t xml:space="preserve">רסמו </w:t>
      </w:r>
      <w:hyperlink r:id="rId1" w:history="1">
        <w:r w:rsidRPr="00724A9B">
          <w:rPr>
            <w:rStyle w:val="Hyperlink"/>
            <w:rFonts w:cs="FrankRuehl" w:hint="cs"/>
            <w:rtl/>
          </w:rPr>
          <w:t>ק"ת תשנ"ד מס' 561</w:t>
        </w:r>
        <w:r w:rsidRPr="00724A9B">
          <w:rPr>
            <w:rStyle w:val="Hyperlink"/>
            <w:rFonts w:cs="FrankRuehl"/>
            <w:rtl/>
          </w:rPr>
          <w:t>3</w:t>
        </w:r>
      </w:hyperlink>
      <w:r w:rsidRPr="00724A9B">
        <w:rPr>
          <w:rFonts w:cs="FrankRuehl"/>
          <w:rtl/>
        </w:rPr>
        <w:t xml:space="preserve"> </w:t>
      </w:r>
      <w:r w:rsidRPr="00724A9B">
        <w:rPr>
          <w:rFonts w:cs="FrankRuehl" w:hint="cs"/>
          <w:rtl/>
        </w:rPr>
        <w:t>מיום 12.7.1994 עמ' 1176.</w:t>
      </w:r>
    </w:p>
    <w:p w14:paraId="21F5E814" w14:textId="77777777" w:rsidR="00A645A5" w:rsidRPr="00A645A5" w:rsidRDefault="00A645A5" w:rsidP="00A645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724A9B">
          <w:rPr>
            <w:rStyle w:val="Hyperlink"/>
            <w:rFonts w:cs="FrankRuehl"/>
            <w:rtl/>
          </w:rPr>
          <w:t>ק"ת</w:t>
        </w:r>
        <w:r w:rsidRPr="00724A9B">
          <w:rPr>
            <w:rStyle w:val="Hyperlink"/>
            <w:rFonts w:cs="FrankRuehl" w:hint="cs"/>
            <w:rtl/>
          </w:rPr>
          <w:t xml:space="preserve"> תש</w:t>
        </w:r>
        <w:r w:rsidRPr="00724A9B">
          <w:rPr>
            <w:rStyle w:val="Hyperlink"/>
            <w:rFonts w:cs="FrankRuehl" w:hint="cs"/>
            <w:rtl/>
          </w:rPr>
          <w:t>נ"ז מס'</w:t>
        </w:r>
        <w:r w:rsidRPr="00724A9B">
          <w:rPr>
            <w:rStyle w:val="Hyperlink"/>
            <w:rFonts w:cs="FrankRuehl"/>
            <w:rtl/>
          </w:rPr>
          <w:t xml:space="preserve"> 5822</w:t>
        </w:r>
      </w:hyperlink>
      <w:r>
        <w:rPr>
          <w:rFonts w:cs="FrankRuehl" w:hint="cs"/>
          <w:rtl/>
        </w:rPr>
        <w:t xml:space="preserve"> מיום </w:t>
      </w:r>
      <w:r w:rsidRPr="00724A9B">
        <w:rPr>
          <w:rFonts w:cs="FrankRuehl"/>
          <w:rtl/>
        </w:rPr>
        <w:t>8.4.1997 עמ' 524</w:t>
      </w:r>
      <w:r>
        <w:rPr>
          <w:rFonts w:cs="FrankRuehl" w:hint="cs"/>
          <w:rtl/>
        </w:rPr>
        <w:t xml:space="preserve"> </w:t>
      </w:r>
      <w:r>
        <w:rPr>
          <w:rFonts w:cs="FrankRuehl"/>
          <w:rtl/>
        </w:rPr>
        <w:t>–</w:t>
      </w:r>
      <w:r>
        <w:rPr>
          <w:rFonts w:cs="FrankRuehl" w:hint="cs"/>
          <w:rtl/>
        </w:rPr>
        <w:t xml:space="preserve"> תק' תשנ"ז-1997</w:t>
      </w:r>
      <w:r w:rsidR="00097807">
        <w:rPr>
          <w:rFonts w:cs="FrankRuehl" w:hint="cs"/>
          <w:rtl/>
        </w:rPr>
        <w:t>; ר' תקנה 3 לענין תחולה</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6AC6" w14:textId="77777777" w:rsidR="000F5690" w:rsidRDefault="000F569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(תנאים להעברת נכס בפטור ממס בין חברות אחיות), תשנ"ד–1994</w:t>
    </w:r>
  </w:p>
  <w:p w14:paraId="5B3E21C4" w14:textId="77777777" w:rsidR="000F5690" w:rsidRDefault="000F569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A25582" w14:textId="77777777" w:rsidR="000F5690" w:rsidRDefault="000F569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1D4BE" w14:textId="77777777" w:rsidR="000F5690" w:rsidRDefault="000F5690" w:rsidP="00A645A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(תנאים להעברת נכס בפטור ממס בין חברות אחיות), תשנ"ד</w:t>
    </w:r>
    <w:r w:rsidR="00A645A5">
      <w:rPr>
        <w:rFonts w:hAnsi="FrankRuehl" w:cs="FrankRuehl" w:hint="cs"/>
        <w:color w:val="000000"/>
        <w:sz w:val="28"/>
        <w:szCs w:val="28"/>
        <w:rtl/>
      </w:rPr>
      <w:t>-</w:t>
    </w:r>
    <w:r>
      <w:rPr>
        <w:rFonts w:hAnsi="FrankRuehl" w:cs="FrankRuehl"/>
        <w:color w:val="000000"/>
        <w:sz w:val="28"/>
        <w:szCs w:val="28"/>
        <w:rtl/>
      </w:rPr>
      <w:t>1994</w:t>
    </w:r>
  </w:p>
  <w:p w14:paraId="68DB36B7" w14:textId="77777777" w:rsidR="000F5690" w:rsidRDefault="000F569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CF0570" w14:textId="77777777" w:rsidR="000F5690" w:rsidRDefault="000F569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A9B"/>
    <w:rsid w:val="00097807"/>
    <w:rsid w:val="000F5690"/>
    <w:rsid w:val="004A5A56"/>
    <w:rsid w:val="005A41D7"/>
    <w:rsid w:val="00724A9B"/>
    <w:rsid w:val="0084012F"/>
    <w:rsid w:val="008E484D"/>
    <w:rsid w:val="00924ED5"/>
    <w:rsid w:val="00A2569C"/>
    <w:rsid w:val="00A645A5"/>
    <w:rsid w:val="00C50540"/>
    <w:rsid w:val="00DF46E8"/>
    <w:rsid w:val="00ED1440"/>
    <w:rsid w:val="00F317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624241"/>
  <w15:chartTrackingRefBased/>
  <w15:docId w15:val="{3DF21C6D-1BE3-440F-B5C4-D4593CCB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724A9B"/>
    <w:rPr>
      <w:color w:val="800080"/>
      <w:u w:val="single"/>
    </w:rPr>
  </w:style>
  <w:style w:type="paragraph" w:styleId="a5">
    <w:name w:val="footnote text"/>
    <w:basedOn w:val="a"/>
    <w:semiHidden/>
    <w:rsid w:val="00A645A5"/>
    <w:rPr>
      <w:sz w:val="20"/>
      <w:szCs w:val="20"/>
    </w:rPr>
  </w:style>
  <w:style w:type="character" w:styleId="a6">
    <w:name w:val="footnote reference"/>
    <w:basedOn w:val="a0"/>
    <w:semiHidden/>
    <w:rsid w:val="00A645A5"/>
    <w:rPr>
      <w:vertAlign w:val="superscript"/>
    </w:rPr>
  </w:style>
  <w:style w:type="paragraph" w:customStyle="1" w:styleId="medium2-header">
    <w:name w:val="medium2-header"/>
    <w:basedOn w:val="a"/>
    <w:rsid w:val="008E484D"/>
    <w:pPr>
      <w:keepNext/>
      <w:keepLines/>
      <w:widowControl w:val="0"/>
      <w:tabs>
        <w:tab w:val="left" w:pos="624"/>
        <w:tab w:val="left" w:pos="1021"/>
        <w:tab w:val="left" w:pos="1474"/>
        <w:tab w:val="left" w:pos="1928"/>
        <w:tab w:val="left" w:pos="2381"/>
        <w:tab w:val="left" w:pos="2835"/>
      </w:tabs>
      <w:suppressAutoHyphens/>
      <w:autoSpaceDE w:val="0"/>
      <w:autoSpaceDN w:val="0"/>
      <w:spacing w:before="240"/>
      <w:ind w:left="2835"/>
      <w:jc w:val="center"/>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822.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822.pdf" TargetMode="External"/><Relationship Id="rId1" Type="http://schemas.openxmlformats.org/officeDocument/2006/relationships/hyperlink" Target="http://www.nevo.co.il/Law_word/law06/TAK-56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4570</CharactersWithSpaces>
  <SharedDoc>false</SharedDoc>
  <HLinks>
    <vt:vector size="48" baseType="variant">
      <vt:variant>
        <vt:i4>8257538</vt:i4>
      </vt:variant>
      <vt:variant>
        <vt:i4>30</vt:i4>
      </vt:variant>
      <vt:variant>
        <vt:i4>0</vt:i4>
      </vt:variant>
      <vt:variant>
        <vt:i4>5</vt:i4>
      </vt:variant>
      <vt:variant>
        <vt:lpwstr>http://www.nevo.co.il/Law_word/law06/TAK-5822.pdf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8257538</vt:i4>
      </vt:variant>
      <vt:variant>
        <vt:i4>3</vt:i4>
      </vt:variant>
      <vt:variant>
        <vt:i4>0</vt:i4>
      </vt:variant>
      <vt:variant>
        <vt:i4>5</vt:i4>
      </vt:variant>
      <vt:variant>
        <vt:lpwstr>http://www.nevo.co.il/Law_word/law06/TAK-5822.pdf</vt:lpwstr>
      </vt:variant>
      <vt:variant>
        <vt:lpwstr/>
      </vt:variant>
      <vt:variant>
        <vt:i4>8192013</vt:i4>
      </vt:variant>
      <vt:variant>
        <vt:i4>0</vt:i4>
      </vt:variant>
      <vt:variant>
        <vt:i4>0</vt:i4>
      </vt:variant>
      <vt:variant>
        <vt:i4>5</vt:i4>
      </vt:variant>
      <vt:variant>
        <vt:lpwstr>http://www.nevo.co.il/Law_word/law06/TAK-5613.pdf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(תנאים להעברת נכס בפטור ממס בין חברות אחיות), תשנ"ד-1994</vt:lpwstr>
  </property>
  <property fmtid="{D5CDD505-2E9C-101B-9397-08002B2CF9AE}" pid="5" name="LAWNUMBER">
    <vt:lpwstr>0231</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104בXוX</vt:lpwstr>
  </property>
  <property fmtid="{D5CDD505-2E9C-101B-9397-08002B2CF9AE}" pid="9" name="MEKOR_NAME2">
    <vt:lpwstr>חוק-יסוד: משק המדינה</vt:lpwstr>
  </property>
  <property fmtid="{D5CDD505-2E9C-101B-9397-08002B2CF9AE}" pid="10" name="MEKOR_SAIF2">
    <vt:lpwstr>1XבX</vt:lpwstr>
  </property>
  <property fmtid="{D5CDD505-2E9C-101B-9397-08002B2CF9AE}" pid="11" name="NOSE11">
    <vt:lpwstr>מסים</vt:lpwstr>
  </property>
  <property fmtid="{D5CDD505-2E9C-101B-9397-08002B2CF9AE}" pid="12" name="NOSE21">
    <vt:lpwstr>מס הכנסה</vt:lpwstr>
  </property>
  <property fmtid="{D5CDD505-2E9C-101B-9397-08002B2CF9AE}" pid="13" name="NOSE31">
    <vt:lpwstr>פטור ממס: כללי</vt:lpwstr>
  </property>
  <property fmtid="{D5CDD505-2E9C-101B-9397-08002B2CF9AE}" pid="14" name="NOSE41">
    <vt:lpwstr/>
  </property>
  <property fmtid="{D5CDD505-2E9C-101B-9397-08002B2CF9AE}" pid="15" name="NOSE12">
    <vt:lpwstr>משפט פרטי וכלכלה</vt:lpwstr>
  </property>
  <property fmtid="{D5CDD505-2E9C-101B-9397-08002B2CF9AE}" pid="16" name="NOSE22">
    <vt:lpwstr>תאגידים וניירות ערך</vt:lpwstr>
  </property>
  <property fmtid="{D5CDD505-2E9C-101B-9397-08002B2CF9AE}" pid="17" name="NOSE32">
    <vt:lpwstr>חברות</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