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DE96" w14:textId="77777777" w:rsidR="00AC4745" w:rsidRDefault="00AC4745" w:rsidP="00B41210">
      <w:pPr>
        <w:pStyle w:val="big-header"/>
        <w:ind w:left="0" w:right="1134"/>
        <w:rPr>
          <w:rFonts w:cs="FrankRuehl" w:hint="cs"/>
          <w:sz w:val="32"/>
          <w:rtl/>
        </w:rPr>
      </w:pPr>
      <w:r>
        <w:rPr>
          <w:rFonts w:cs="FrankRuehl" w:hint="cs"/>
          <w:sz w:val="32"/>
          <w:rtl/>
        </w:rPr>
        <w:t>תקנות מס ערך מוסף (תכנון מס החייב בדיווח), תשס"ז-2006</w:t>
      </w:r>
    </w:p>
    <w:p w14:paraId="0B9FD818" w14:textId="77777777" w:rsidR="001E014D" w:rsidRDefault="001E014D" w:rsidP="001E014D">
      <w:pPr>
        <w:spacing w:line="320" w:lineRule="auto"/>
        <w:rPr>
          <w:rFonts w:hint="cs"/>
          <w:rtl/>
        </w:rPr>
      </w:pPr>
    </w:p>
    <w:p w14:paraId="0E31BBA8" w14:textId="77777777" w:rsidR="00EB77EA" w:rsidRDefault="00EB77EA" w:rsidP="001E014D">
      <w:pPr>
        <w:spacing w:line="320" w:lineRule="auto"/>
        <w:rPr>
          <w:rFonts w:hint="cs"/>
          <w:rtl/>
        </w:rPr>
      </w:pPr>
    </w:p>
    <w:p w14:paraId="24F8D295" w14:textId="77777777" w:rsidR="001E014D" w:rsidRPr="001E014D" w:rsidRDefault="001E014D" w:rsidP="001E014D">
      <w:pPr>
        <w:spacing w:line="320" w:lineRule="auto"/>
        <w:rPr>
          <w:rFonts w:cs="Miriam"/>
          <w:szCs w:val="22"/>
          <w:rtl/>
        </w:rPr>
      </w:pPr>
      <w:r w:rsidRPr="001E014D">
        <w:rPr>
          <w:rFonts w:cs="Miriam"/>
          <w:szCs w:val="22"/>
          <w:rtl/>
        </w:rPr>
        <w:t>מסים</w:t>
      </w:r>
      <w:r w:rsidRPr="001E014D">
        <w:rPr>
          <w:rFonts w:cs="FrankRuehl"/>
          <w:szCs w:val="26"/>
          <w:rtl/>
        </w:rPr>
        <w:t xml:space="preserve"> – מס ערך מוסף</w:t>
      </w:r>
    </w:p>
    <w:p w14:paraId="78B35A98" w14:textId="77777777" w:rsidR="00AC4745" w:rsidRDefault="00AC4745">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C4745" w14:paraId="142E52AF" w14:textId="77777777">
        <w:tblPrEx>
          <w:tblCellMar>
            <w:top w:w="0" w:type="dxa"/>
            <w:bottom w:w="0" w:type="dxa"/>
          </w:tblCellMar>
        </w:tblPrEx>
        <w:trPr>
          <w:jc w:val="right"/>
        </w:trPr>
        <w:tc>
          <w:tcPr>
            <w:tcW w:w="850" w:type="dxa"/>
          </w:tcPr>
          <w:p w14:paraId="13A76977" w14:textId="77777777" w:rsidR="00AC4745" w:rsidRDefault="00AC4745">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1885B19B" w14:textId="77777777" w:rsidR="00AC4745" w:rsidRDefault="00AC4745">
            <w:pPr>
              <w:rPr>
                <w:rFonts w:hint="cs"/>
              </w:rPr>
            </w:pPr>
            <w:hyperlink w:anchor="Seif0" w:tooltip="הגדרות" w:history="1">
              <w:r>
                <w:rPr>
                  <w:rStyle w:val="Hyperlink"/>
                </w:rPr>
                <w:t>Go</w:t>
              </w:r>
            </w:hyperlink>
          </w:p>
        </w:tc>
        <w:tc>
          <w:tcPr>
            <w:tcW w:w="5669" w:type="dxa"/>
          </w:tcPr>
          <w:p w14:paraId="5BFB43B3" w14:textId="77777777" w:rsidR="00AC4745" w:rsidRDefault="00AC4745">
            <w:pPr>
              <w:rPr>
                <w:rtl/>
              </w:rPr>
            </w:pPr>
            <w:r>
              <w:rPr>
                <w:rtl/>
              </w:rPr>
              <w:t>הגדרות</w:t>
            </w:r>
          </w:p>
        </w:tc>
        <w:tc>
          <w:tcPr>
            <w:tcW w:w="1247" w:type="dxa"/>
          </w:tcPr>
          <w:p w14:paraId="5161134D" w14:textId="77777777" w:rsidR="00AC4745" w:rsidRDefault="00AC4745">
            <w:pPr>
              <w:rPr>
                <w:rFonts w:hint="cs"/>
              </w:rPr>
            </w:pPr>
            <w:r>
              <w:rPr>
                <w:rtl/>
              </w:rPr>
              <w:t xml:space="preserve">סעיף 1 </w:t>
            </w:r>
          </w:p>
        </w:tc>
      </w:tr>
      <w:tr w:rsidR="00AC4745" w14:paraId="667C489D" w14:textId="77777777">
        <w:tblPrEx>
          <w:tblCellMar>
            <w:top w:w="0" w:type="dxa"/>
            <w:bottom w:w="0" w:type="dxa"/>
          </w:tblCellMar>
        </w:tblPrEx>
        <w:trPr>
          <w:jc w:val="right"/>
        </w:trPr>
        <w:tc>
          <w:tcPr>
            <w:tcW w:w="850" w:type="dxa"/>
          </w:tcPr>
          <w:p w14:paraId="5026B1A8" w14:textId="77777777" w:rsidR="00AC4745" w:rsidRDefault="00AC4745">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777A48B4" w14:textId="77777777" w:rsidR="00AC4745" w:rsidRDefault="00AC4745">
            <w:pPr>
              <w:rPr>
                <w:rFonts w:hint="cs"/>
              </w:rPr>
            </w:pPr>
            <w:hyperlink w:anchor="Seif1" w:tooltip="פעולות שהן תכנון מס החייב בדיווח" w:history="1">
              <w:r>
                <w:rPr>
                  <w:rStyle w:val="Hyperlink"/>
                </w:rPr>
                <w:t>Go</w:t>
              </w:r>
            </w:hyperlink>
          </w:p>
        </w:tc>
        <w:tc>
          <w:tcPr>
            <w:tcW w:w="5669" w:type="dxa"/>
          </w:tcPr>
          <w:p w14:paraId="294416F4" w14:textId="77777777" w:rsidR="00AC4745" w:rsidRDefault="00AC4745">
            <w:pPr>
              <w:rPr>
                <w:rtl/>
              </w:rPr>
            </w:pPr>
            <w:r>
              <w:rPr>
                <w:rtl/>
              </w:rPr>
              <w:t>פעולות שהן תכנון מס החייב בדיווח</w:t>
            </w:r>
          </w:p>
        </w:tc>
        <w:tc>
          <w:tcPr>
            <w:tcW w:w="1247" w:type="dxa"/>
          </w:tcPr>
          <w:p w14:paraId="34316855" w14:textId="77777777" w:rsidR="00AC4745" w:rsidRDefault="00AC4745">
            <w:pPr>
              <w:rPr>
                <w:rFonts w:hint="cs"/>
              </w:rPr>
            </w:pPr>
            <w:r>
              <w:rPr>
                <w:rtl/>
              </w:rPr>
              <w:t xml:space="preserve">סעיף 2 </w:t>
            </w:r>
          </w:p>
        </w:tc>
      </w:tr>
      <w:tr w:rsidR="00AC4745" w14:paraId="3F47ABF3" w14:textId="77777777">
        <w:tblPrEx>
          <w:tblCellMar>
            <w:top w:w="0" w:type="dxa"/>
            <w:bottom w:w="0" w:type="dxa"/>
          </w:tblCellMar>
        </w:tblPrEx>
        <w:trPr>
          <w:jc w:val="right"/>
        </w:trPr>
        <w:tc>
          <w:tcPr>
            <w:tcW w:w="850" w:type="dxa"/>
          </w:tcPr>
          <w:p w14:paraId="48FA90AB" w14:textId="77777777" w:rsidR="00AC4745" w:rsidRDefault="00AC4745">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4F8CBD99" w14:textId="77777777" w:rsidR="00AC4745" w:rsidRDefault="00AC4745">
            <w:pPr>
              <w:rPr>
                <w:rFonts w:hint="cs"/>
              </w:rPr>
            </w:pPr>
            <w:hyperlink w:anchor="Seif2" w:tooltip="אופן הדיווח והיקפו" w:history="1">
              <w:r>
                <w:rPr>
                  <w:rStyle w:val="Hyperlink"/>
                </w:rPr>
                <w:t>Go</w:t>
              </w:r>
            </w:hyperlink>
          </w:p>
        </w:tc>
        <w:tc>
          <w:tcPr>
            <w:tcW w:w="5669" w:type="dxa"/>
          </w:tcPr>
          <w:p w14:paraId="65526960" w14:textId="77777777" w:rsidR="00AC4745" w:rsidRDefault="00AC4745">
            <w:pPr>
              <w:rPr>
                <w:rtl/>
              </w:rPr>
            </w:pPr>
            <w:r>
              <w:rPr>
                <w:rtl/>
              </w:rPr>
              <w:t>אופן הדיווח והיקפו</w:t>
            </w:r>
          </w:p>
        </w:tc>
        <w:tc>
          <w:tcPr>
            <w:tcW w:w="1247" w:type="dxa"/>
          </w:tcPr>
          <w:p w14:paraId="25A17D11" w14:textId="77777777" w:rsidR="00AC4745" w:rsidRDefault="00AC4745">
            <w:pPr>
              <w:rPr>
                <w:rFonts w:hint="cs"/>
              </w:rPr>
            </w:pPr>
            <w:r>
              <w:rPr>
                <w:rtl/>
              </w:rPr>
              <w:t xml:space="preserve">סעיף 3 </w:t>
            </w:r>
          </w:p>
        </w:tc>
      </w:tr>
      <w:tr w:rsidR="00AC4745" w14:paraId="0CA33B92" w14:textId="77777777">
        <w:tblPrEx>
          <w:tblCellMar>
            <w:top w:w="0" w:type="dxa"/>
            <w:bottom w:w="0" w:type="dxa"/>
          </w:tblCellMar>
        </w:tblPrEx>
        <w:trPr>
          <w:jc w:val="right"/>
        </w:trPr>
        <w:tc>
          <w:tcPr>
            <w:tcW w:w="850" w:type="dxa"/>
          </w:tcPr>
          <w:p w14:paraId="3B9C5AA6" w14:textId="77777777" w:rsidR="00AC4745" w:rsidRDefault="00AC4745">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14:paraId="784E762E" w14:textId="77777777" w:rsidR="00AC4745" w:rsidRDefault="00AC4745">
            <w:pPr>
              <w:rPr>
                <w:rFonts w:hint="cs"/>
              </w:rPr>
            </w:pPr>
            <w:hyperlink w:anchor="Seif3" w:tooltip="אי תחולה" w:history="1">
              <w:r>
                <w:rPr>
                  <w:rStyle w:val="Hyperlink"/>
                </w:rPr>
                <w:t>Go</w:t>
              </w:r>
            </w:hyperlink>
          </w:p>
        </w:tc>
        <w:tc>
          <w:tcPr>
            <w:tcW w:w="5669" w:type="dxa"/>
          </w:tcPr>
          <w:p w14:paraId="7518C7C8" w14:textId="77777777" w:rsidR="00AC4745" w:rsidRDefault="00AC4745">
            <w:pPr>
              <w:rPr>
                <w:rtl/>
              </w:rPr>
            </w:pPr>
            <w:r>
              <w:rPr>
                <w:rtl/>
              </w:rPr>
              <w:t>אי תחולה</w:t>
            </w:r>
          </w:p>
        </w:tc>
        <w:tc>
          <w:tcPr>
            <w:tcW w:w="1247" w:type="dxa"/>
          </w:tcPr>
          <w:p w14:paraId="52B53446" w14:textId="77777777" w:rsidR="00AC4745" w:rsidRDefault="00AC4745">
            <w:pPr>
              <w:rPr>
                <w:rFonts w:hint="cs"/>
              </w:rPr>
            </w:pPr>
            <w:r>
              <w:rPr>
                <w:rtl/>
              </w:rPr>
              <w:t xml:space="preserve">סעיף 4 </w:t>
            </w:r>
          </w:p>
        </w:tc>
      </w:tr>
      <w:tr w:rsidR="00AC4745" w14:paraId="4DC5F566" w14:textId="77777777">
        <w:tblPrEx>
          <w:tblCellMar>
            <w:top w:w="0" w:type="dxa"/>
            <w:bottom w:w="0" w:type="dxa"/>
          </w:tblCellMar>
        </w:tblPrEx>
        <w:trPr>
          <w:jc w:val="right"/>
        </w:trPr>
        <w:tc>
          <w:tcPr>
            <w:tcW w:w="850" w:type="dxa"/>
          </w:tcPr>
          <w:p w14:paraId="6D311738" w14:textId="77777777" w:rsidR="00AC4745" w:rsidRDefault="00AC4745">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2</w:t>
            </w:r>
            <w:r>
              <w:rPr>
                <w:rtl/>
              </w:rPr>
              <w:fldChar w:fldCharType="end"/>
            </w:r>
          </w:p>
        </w:tc>
        <w:tc>
          <w:tcPr>
            <w:tcW w:w="567" w:type="dxa"/>
          </w:tcPr>
          <w:p w14:paraId="0F54AE9E" w14:textId="77777777" w:rsidR="00AC4745" w:rsidRDefault="00AC4745">
            <w:pPr>
              <w:rPr>
                <w:rFonts w:hint="cs"/>
              </w:rPr>
            </w:pPr>
            <w:hyperlink w:anchor="Seif4" w:tooltip="תחולה והוראת מעבר" w:history="1">
              <w:r>
                <w:rPr>
                  <w:rStyle w:val="Hyperlink"/>
                </w:rPr>
                <w:t>Go</w:t>
              </w:r>
            </w:hyperlink>
          </w:p>
        </w:tc>
        <w:tc>
          <w:tcPr>
            <w:tcW w:w="5669" w:type="dxa"/>
          </w:tcPr>
          <w:p w14:paraId="3EBB8CD6" w14:textId="77777777" w:rsidR="00AC4745" w:rsidRDefault="00AC4745">
            <w:pPr>
              <w:rPr>
                <w:rtl/>
              </w:rPr>
            </w:pPr>
            <w:r>
              <w:rPr>
                <w:rtl/>
              </w:rPr>
              <w:t>תחולה והוראת מעבר</w:t>
            </w:r>
          </w:p>
        </w:tc>
        <w:tc>
          <w:tcPr>
            <w:tcW w:w="1247" w:type="dxa"/>
          </w:tcPr>
          <w:p w14:paraId="3C16B261" w14:textId="77777777" w:rsidR="00AC4745" w:rsidRDefault="00AC4745">
            <w:pPr>
              <w:rPr>
                <w:rFonts w:hint="cs"/>
              </w:rPr>
            </w:pPr>
            <w:r>
              <w:rPr>
                <w:rtl/>
              </w:rPr>
              <w:t xml:space="preserve">סעיף 5 </w:t>
            </w:r>
          </w:p>
        </w:tc>
      </w:tr>
    </w:tbl>
    <w:p w14:paraId="3E6432CE" w14:textId="77777777" w:rsidR="00AC4745" w:rsidRDefault="00AC4745">
      <w:pPr>
        <w:pStyle w:val="big-header"/>
        <w:ind w:left="0" w:right="1134"/>
        <w:rPr>
          <w:rFonts w:cs="FrankRuehl" w:hint="cs"/>
          <w:sz w:val="32"/>
          <w:rtl/>
        </w:rPr>
      </w:pPr>
    </w:p>
    <w:p w14:paraId="24FDE021" w14:textId="77777777" w:rsidR="00AC4745" w:rsidRDefault="00AC4745" w:rsidP="006171D4">
      <w:pPr>
        <w:pStyle w:val="big-header"/>
        <w:ind w:left="0" w:right="1134"/>
        <w:rPr>
          <w:rStyle w:val="default"/>
          <w:rFonts w:hint="cs"/>
          <w:sz w:val="22"/>
          <w:szCs w:val="22"/>
          <w:rtl/>
        </w:rPr>
      </w:pPr>
      <w:r>
        <w:rPr>
          <w:rFonts w:cs="FrankRuehl"/>
          <w:sz w:val="32"/>
          <w:rtl/>
        </w:rPr>
        <w:br w:type="page"/>
      </w:r>
      <w:r w:rsidR="00B41210">
        <w:rPr>
          <w:rFonts w:cs="FrankRuehl" w:hint="cs"/>
          <w:sz w:val="32"/>
          <w:rtl/>
          <w:lang w:eastAsia="en-US"/>
        </w:rPr>
        <w:lastRenderedPageBreak/>
        <w:pict w14:anchorId="16DA6C3E">
          <v:shapetype id="_x0000_t202" coordsize="21600,21600" o:spt="202" path="m,l,21600r21600,l21600,xe">
            <v:stroke joinstyle="miter"/>
            <v:path gradientshapeok="t" o:connecttype="rect"/>
          </v:shapetype>
          <v:shape id="_x0000_s1213" type="#_x0000_t202" style="position:absolute;left:0;text-align:left;margin-left:470.35pt;margin-top:19.85pt;width:1in;height:9pt;z-index:251660288" filled="f" stroked="f">
            <v:textbox inset="1mm,0,1mm,0">
              <w:txbxContent>
                <w:p w14:paraId="54BBA906" w14:textId="77777777" w:rsidR="00B41210" w:rsidRDefault="00B41210" w:rsidP="00B41210">
                  <w:pPr>
                    <w:spacing w:line="160" w:lineRule="exact"/>
                    <w:rPr>
                      <w:rFonts w:cs="Miriam" w:hint="cs"/>
                      <w:noProof/>
                      <w:sz w:val="18"/>
                      <w:szCs w:val="18"/>
                      <w:rtl/>
                    </w:rPr>
                  </w:pPr>
                  <w:r>
                    <w:rPr>
                      <w:rFonts w:cs="Miriam" w:hint="cs"/>
                      <w:sz w:val="18"/>
                      <w:szCs w:val="18"/>
                      <w:rtl/>
                    </w:rPr>
                    <w:t>תק' תש"ע-2009</w:t>
                  </w:r>
                </w:p>
              </w:txbxContent>
            </v:textbox>
            <w10:anchorlock/>
          </v:shape>
        </w:pict>
      </w:r>
      <w:r>
        <w:rPr>
          <w:rFonts w:cs="FrankRuehl" w:hint="cs"/>
          <w:sz w:val="32"/>
          <w:rtl/>
        </w:rPr>
        <w:t>תקנות מס ערך מוסף (תכנון מס החייב בדיווח), תשס"ז-2006</w:t>
      </w:r>
      <w:r>
        <w:rPr>
          <w:rStyle w:val="default"/>
          <w:sz w:val="22"/>
          <w:szCs w:val="22"/>
          <w:rtl/>
        </w:rPr>
        <w:footnoteReference w:customMarkFollows="1" w:id="1"/>
        <w:t>*</w:t>
      </w:r>
    </w:p>
    <w:p w14:paraId="3A8C1CEB" w14:textId="77777777" w:rsidR="00B41210" w:rsidRPr="00EB77EA" w:rsidRDefault="00B41210" w:rsidP="00B41210">
      <w:pPr>
        <w:pStyle w:val="P00"/>
        <w:spacing w:before="0"/>
        <w:ind w:left="0" w:right="1134"/>
        <w:rPr>
          <w:rStyle w:val="default"/>
          <w:rFonts w:cs="FrankRuehl" w:hint="cs"/>
          <w:vanish/>
          <w:color w:val="FF0000"/>
          <w:sz w:val="20"/>
          <w:szCs w:val="20"/>
          <w:shd w:val="clear" w:color="auto" w:fill="FFFF99"/>
          <w:rtl/>
        </w:rPr>
      </w:pPr>
      <w:bookmarkStart w:id="0" w:name="Rov6"/>
      <w:r w:rsidRPr="00EB77EA">
        <w:rPr>
          <w:rStyle w:val="default"/>
          <w:rFonts w:cs="FrankRuehl" w:hint="cs"/>
          <w:vanish/>
          <w:color w:val="FF0000"/>
          <w:sz w:val="20"/>
          <w:szCs w:val="20"/>
          <w:shd w:val="clear" w:color="auto" w:fill="FFFF99"/>
          <w:rtl/>
        </w:rPr>
        <w:t>מיום 31.12.2009</w:t>
      </w:r>
    </w:p>
    <w:p w14:paraId="2C3E2F6D" w14:textId="77777777" w:rsidR="00B41210" w:rsidRPr="00EB77EA" w:rsidRDefault="00B41210" w:rsidP="00B41210">
      <w:pPr>
        <w:pStyle w:val="P00"/>
        <w:spacing w:before="0"/>
        <w:ind w:left="0" w:right="1134"/>
        <w:rPr>
          <w:rStyle w:val="default"/>
          <w:rFonts w:cs="FrankRuehl" w:hint="cs"/>
          <w:vanish/>
          <w:sz w:val="20"/>
          <w:szCs w:val="20"/>
          <w:shd w:val="clear" w:color="auto" w:fill="FFFF99"/>
          <w:rtl/>
        </w:rPr>
      </w:pPr>
      <w:r w:rsidRPr="00EB77EA">
        <w:rPr>
          <w:rStyle w:val="default"/>
          <w:rFonts w:cs="FrankRuehl" w:hint="cs"/>
          <w:b/>
          <w:bCs/>
          <w:vanish/>
          <w:sz w:val="20"/>
          <w:szCs w:val="20"/>
          <w:shd w:val="clear" w:color="auto" w:fill="FFFF99"/>
          <w:rtl/>
        </w:rPr>
        <w:t>תק' תש"ע-2009</w:t>
      </w:r>
    </w:p>
    <w:p w14:paraId="68AE2A15" w14:textId="77777777" w:rsidR="00B41210" w:rsidRPr="00EB77EA" w:rsidRDefault="00B41210" w:rsidP="00B41210">
      <w:pPr>
        <w:pStyle w:val="P00"/>
        <w:spacing w:before="0"/>
        <w:ind w:left="0" w:right="1134"/>
        <w:rPr>
          <w:rStyle w:val="default"/>
          <w:rFonts w:cs="FrankRuehl" w:hint="cs"/>
          <w:vanish/>
          <w:sz w:val="20"/>
          <w:szCs w:val="20"/>
          <w:shd w:val="clear" w:color="auto" w:fill="FFFF99"/>
          <w:rtl/>
        </w:rPr>
      </w:pPr>
      <w:hyperlink r:id="rId7" w:history="1">
        <w:r w:rsidRPr="00EB77EA">
          <w:rPr>
            <w:rStyle w:val="Hyperlink"/>
            <w:rFonts w:cs="FrankRuehl" w:hint="cs"/>
            <w:vanish/>
            <w:szCs w:val="20"/>
            <w:shd w:val="clear" w:color="auto" w:fill="FFFF99"/>
            <w:rtl/>
          </w:rPr>
          <w:t>ק"ת תש"ע מס' 6846</w:t>
        </w:r>
      </w:hyperlink>
      <w:r w:rsidRPr="00EB77EA">
        <w:rPr>
          <w:rStyle w:val="default"/>
          <w:rFonts w:cs="FrankRuehl" w:hint="cs"/>
          <w:vanish/>
          <w:sz w:val="20"/>
          <w:szCs w:val="20"/>
          <w:shd w:val="clear" w:color="auto" w:fill="FFFF99"/>
          <w:rtl/>
        </w:rPr>
        <w:t xml:space="preserve"> מיום 31.12.2009 עמ' 403</w:t>
      </w:r>
    </w:p>
    <w:p w14:paraId="7C915E63" w14:textId="77777777" w:rsidR="00B41210" w:rsidRPr="00B41210" w:rsidRDefault="00B41210" w:rsidP="00B41210">
      <w:pPr>
        <w:pStyle w:val="P00"/>
        <w:ind w:left="0" w:right="1134"/>
        <w:rPr>
          <w:rStyle w:val="default"/>
          <w:rFonts w:cs="FrankRuehl" w:hint="cs"/>
          <w:sz w:val="2"/>
          <w:szCs w:val="2"/>
          <w:rtl/>
        </w:rPr>
      </w:pPr>
      <w:r w:rsidRPr="00EB77EA">
        <w:rPr>
          <w:rStyle w:val="default"/>
          <w:rFonts w:cs="FrankRuehl" w:hint="cs"/>
          <w:vanish/>
          <w:sz w:val="22"/>
          <w:szCs w:val="22"/>
          <w:shd w:val="clear" w:color="auto" w:fill="FFFF99"/>
          <w:rtl/>
        </w:rPr>
        <w:t xml:space="preserve">תקנות מס ערך מוסף (תכנון מס החייב בדיווח) </w:t>
      </w:r>
      <w:r w:rsidRPr="00EB77EA">
        <w:rPr>
          <w:rStyle w:val="default"/>
          <w:rFonts w:cs="FrankRuehl" w:hint="cs"/>
          <w:strike/>
          <w:vanish/>
          <w:sz w:val="22"/>
          <w:szCs w:val="22"/>
          <w:shd w:val="clear" w:color="auto" w:fill="FFFF99"/>
          <w:rtl/>
        </w:rPr>
        <w:t>(הוראת שעה)</w:t>
      </w:r>
      <w:r w:rsidRPr="00EB77EA">
        <w:rPr>
          <w:rStyle w:val="default"/>
          <w:rFonts w:cs="FrankRuehl" w:hint="cs"/>
          <w:vanish/>
          <w:sz w:val="22"/>
          <w:szCs w:val="22"/>
          <w:shd w:val="clear" w:color="auto" w:fill="FFFF99"/>
          <w:rtl/>
        </w:rPr>
        <w:t>, תשס"ז-2006</w:t>
      </w:r>
      <w:bookmarkEnd w:id="0"/>
    </w:p>
    <w:p w14:paraId="6FDEF858" w14:textId="77777777" w:rsidR="00AC4745" w:rsidRDefault="00AC4745">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67(ה) ו</w:t>
      </w:r>
      <w:r>
        <w:rPr>
          <w:rStyle w:val="default"/>
          <w:rFonts w:cs="FrankRuehl" w:hint="cs"/>
          <w:rtl/>
        </w:rPr>
        <w:t>-</w:t>
      </w:r>
      <w:r>
        <w:rPr>
          <w:rStyle w:val="default"/>
          <w:rFonts w:cs="FrankRuehl"/>
          <w:rtl/>
        </w:rPr>
        <w:t>145(א) לחוק מס ערך מוסף, התשל"ו</w:t>
      </w:r>
      <w:r>
        <w:rPr>
          <w:rStyle w:val="default"/>
          <w:rFonts w:cs="FrankRuehl" w:hint="cs"/>
          <w:rtl/>
        </w:rPr>
        <w:t>-1975</w:t>
      </w:r>
      <w:r>
        <w:rPr>
          <w:rStyle w:val="default"/>
          <w:rFonts w:cs="FrankRuehl"/>
          <w:rtl/>
        </w:rPr>
        <w:t xml:space="preserve"> (להלן – החוק), ובאישור ועדת הכספים של הכנסת, אני מתקין תקנות אלה:</w:t>
      </w:r>
    </w:p>
    <w:p w14:paraId="57EA35E3" w14:textId="77777777" w:rsidR="00AC4745" w:rsidRDefault="00AC4745">
      <w:pPr>
        <w:pStyle w:val="P00"/>
        <w:spacing w:before="72"/>
        <w:ind w:left="0" w:right="1134"/>
        <w:rPr>
          <w:rStyle w:val="default"/>
          <w:rFonts w:cs="FrankRuehl" w:hint="cs"/>
          <w:rtl/>
        </w:rPr>
      </w:pPr>
      <w:bookmarkStart w:id="1" w:name="Seif0"/>
      <w:bookmarkEnd w:id="1"/>
      <w:r>
        <w:rPr>
          <w:rFonts w:cs="Miriam"/>
          <w:lang w:val="he-IL"/>
        </w:rPr>
        <w:pict w14:anchorId="5477471C">
          <v:rect id="_x0000_s1026" style="position:absolute;left:0;text-align:left;margin-left:464.35pt;margin-top:7.1pt;width:75.05pt;height:12.95pt;z-index:251655168" o:allowincell="f" filled="f" stroked="f" strokecolor="lime" strokeweight=".25pt">
            <v:textbox style="mso-next-textbox:#_x0000_s1026" inset="0,0,0,0">
              <w:txbxContent>
                <w:p w14:paraId="3F22654C" w14:textId="77777777" w:rsidR="00AC4745" w:rsidRDefault="00AC474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4F223149" w14:textId="77777777" w:rsidR="00AC4745" w:rsidRDefault="00AC4745">
      <w:pPr>
        <w:pStyle w:val="P00"/>
        <w:spacing w:before="72"/>
        <w:ind w:left="0" w:right="1134"/>
        <w:rPr>
          <w:rStyle w:val="default"/>
          <w:rFonts w:cs="FrankRuehl" w:hint="cs"/>
          <w:rtl/>
        </w:rPr>
      </w:pPr>
      <w:r>
        <w:rPr>
          <w:rStyle w:val="default"/>
          <w:rFonts w:cs="FrankRuehl" w:hint="cs"/>
          <w:rtl/>
        </w:rPr>
        <w:tab/>
      </w:r>
      <w:r>
        <w:rPr>
          <w:rStyle w:val="default"/>
          <w:rFonts w:cs="FrankRuehl"/>
          <w:rtl/>
        </w:rPr>
        <w:t>"זכות במקרקעין", "מנהל" ו"מכירה" – כהגדרתן בסעיף 1 לחוק מיסוי מקרקעין (שבח, מכירה ורכישה), התשכ"ג</w:t>
      </w:r>
      <w:r>
        <w:rPr>
          <w:rStyle w:val="default"/>
          <w:rFonts w:cs="FrankRuehl" w:hint="cs"/>
          <w:rtl/>
        </w:rPr>
        <w:t>-1963</w:t>
      </w:r>
      <w:r>
        <w:rPr>
          <w:rStyle w:val="default"/>
          <w:rFonts w:cs="FrankRuehl"/>
          <w:rtl/>
        </w:rPr>
        <w:t xml:space="preserve"> (להלן – חוק מיסוי מקרקעין).</w:t>
      </w:r>
    </w:p>
    <w:p w14:paraId="6DC9A5F8" w14:textId="77777777" w:rsidR="00AC4745" w:rsidRDefault="00AC4745">
      <w:pPr>
        <w:pStyle w:val="P00"/>
        <w:spacing w:before="72"/>
        <w:ind w:left="0" w:right="1134"/>
        <w:rPr>
          <w:rStyle w:val="default"/>
          <w:rFonts w:cs="FrankRuehl" w:hint="cs"/>
          <w:rtl/>
        </w:rPr>
      </w:pPr>
      <w:bookmarkStart w:id="2" w:name="Seif1"/>
      <w:bookmarkEnd w:id="2"/>
      <w:r>
        <w:rPr>
          <w:rFonts w:cs="Miriam"/>
          <w:lang w:val="he-IL"/>
        </w:rPr>
        <w:pict w14:anchorId="7EEFED09">
          <v:rect id="_x0000_s1179" style="position:absolute;left:0;text-align:left;margin-left:464.35pt;margin-top:7.1pt;width:75.05pt;height:17.85pt;z-index:251656192" o:allowincell="f" filled="f" stroked="f" strokecolor="lime" strokeweight=".25pt">
            <v:textbox style="mso-next-textbox:#_x0000_s1179" inset="0,0,0,0">
              <w:txbxContent>
                <w:p w14:paraId="600FCDED" w14:textId="77777777" w:rsidR="00AC4745" w:rsidRDefault="00AC4745">
                  <w:pPr>
                    <w:spacing w:line="160" w:lineRule="exact"/>
                    <w:rPr>
                      <w:rFonts w:cs="Miriam" w:hint="cs"/>
                      <w:noProof/>
                      <w:sz w:val="18"/>
                      <w:szCs w:val="18"/>
                      <w:rtl/>
                    </w:rPr>
                  </w:pPr>
                  <w:r>
                    <w:rPr>
                      <w:rFonts w:cs="Miriam" w:hint="cs"/>
                      <w:sz w:val="18"/>
                      <w:szCs w:val="18"/>
                      <w:rtl/>
                    </w:rPr>
                    <w:t>פעולות שהן תכנון מס החייב בדיווח</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הפעולות המפורטות להלן הן תכנון מס החייב בדיווח:</w:t>
      </w:r>
    </w:p>
    <w:p w14:paraId="6BF0FCDF" w14:textId="77777777" w:rsidR="00AC4745" w:rsidRDefault="00AC474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התקשרות עם בעל זכות במקרקעין למכירת זכות במקרקעין לקבוצת רוכשים</w:t>
      </w:r>
      <w:r>
        <w:rPr>
          <w:rStyle w:val="default"/>
          <w:rFonts w:cs="FrankRuehl" w:hint="cs"/>
          <w:rtl/>
        </w:rPr>
        <w:t xml:space="preserve"> </w:t>
      </w:r>
      <w:r>
        <w:rPr>
          <w:rStyle w:val="default"/>
          <w:rFonts w:cs="FrankRuehl"/>
          <w:rtl/>
        </w:rPr>
        <w:t>המתארגנת כקבוצה לרכישת הזכות ולבניה על המקרקעין באמצעות גורם מארגן;</w:t>
      </w:r>
      <w:r>
        <w:rPr>
          <w:rStyle w:val="default"/>
          <w:rFonts w:cs="FrankRuehl" w:hint="cs"/>
          <w:rtl/>
        </w:rPr>
        <w:t xml:space="preserve"> </w:t>
      </w:r>
      <w:r>
        <w:rPr>
          <w:rStyle w:val="default"/>
          <w:rFonts w:cs="FrankRuehl"/>
          <w:rtl/>
        </w:rPr>
        <w:t>בפסקה זו, "גורם מארגן" – בין אם הוא פועל לארגון הקבוצה רק לצורך רכישת הזכות במקרקעין ובין אם הוא פועל לארגונה גם לצורך רכישת שירותי בניה על המקרקעין;</w:t>
      </w:r>
    </w:p>
    <w:p w14:paraId="1721F8DE" w14:textId="77777777" w:rsidR="00AC4745" w:rsidRDefault="00AC474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החזקה, במישרין או בעקיפין, של מלכ"ר או מוסד כספי, באחד או יותר מסוג כלשהו של אמצעי השליטה בעוסק, בשיעור של 75% לפחות; לענין זה, היה העוסק מוחזק על ידי יותר ממלכ"ר אחד או מוסד כספי אחד, ימנה שיעור ההחזקה של כל אחד מן המחזיקים האמורים במאוחד.</w:t>
      </w:r>
    </w:p>
    <w:p w14:paraId="0D5507E3" w14:textId="77777777" w:rsidR="00AC4745" w:rsidRDefault="00AC4745">
      <w:pPr>
        <w:pStyle w:val="P00"/>
        <w:spacing w:before="72"/>
        <w:ind w:left="0" w:right="1134"/>
        <w:rPr>
          <w:rStyle w:val="default"/>
          <w:rFonts w:cs="FrankRuehl" w:hint="cs"/>
          <w:rtl/>
        </w:rPr>
      </w:pPr>
      <w:bookmarkStart w:id="3" w:name="Seif2"/>
      <w:bookmarkEnd w:id="3"/>
      <w:r>
        <w:rPr>
          <w:rFonts w:cs="Miriam"/>
          <w:lang w:val="he-IL"/>
        </w:rPr>
        <w:pict w14:anchorId="556579BD">
          <v:rect id="_x0000_s1184" style="position:absolute;left:0;text-align:left;margin-left:464.35pt;margin-top:7.1pt;width:75.05pt;height:8.95pt;z-index:251657216" o:allowincell="f" filled="f" stroked="f" strokecolor="lime" strokeweight=".25pt">
            <v:textbox style="mso-next-textbox:#_x0000_s1184" inset="0,0,0,0">
              <w:txbxContent>
                <w:p w14:paraId="7067C708" w14:textId="77777777" w:rsidR="00AC4745" w:rsidRDefault="00AC4745">
                  <w:pPr>
                    <w:spacing w:line="160" w:lineRule="exact"/>
                    <w:rPr>
                      <w:rFonts w:cs="Miriam" w:hint="cs"/>
                      <w:noProof/>
                      <w:sz w:val="18"/>
                      <w:szCs w:val="18"/>
                      <w:rtl/>
                    </w:rPr>
                  </w:pPr>
                  <w:r>
                    <w:rPr>
                      <w:rFonts w:cs="Miriam" w:hint="cs"/>
                      <w:sz w:val="18"/>
                      <w:szCs w:val="18"/>
                      <w:rtl/>
                    </w:rPr>
                    <w:t>אופן הדיווח והיקפו</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פעולה כאמור בתקנה 2(1) תפורט בדוח התקופתי שלפי סעיף 67 לחוק, לרבות הצדדים לפעולה, במישרין או בעקיפין, סכומים ששולמו בשלה בכסף או בשווה כסף ולמי שולמו, על ידי בעל הזכות במקרקעין ועל ידי הגורם המארגן.</w:t>
      </w:r>
    </w:p>
    <w:p w14:paraId="121C3B87" w14:textId="77777777" w:rsidR="00AC4745" w:rsidRDefault="00AC474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פעולה כאמור בתקנה 2(2) תפורט רק בדוח התקופתי הראשון שלפי סעיף 67 לחוק, שבמועד הגשתו התקיימו התנאים הנקובים בתקנה האמורה – על ידי המחזיק ועל ידי העוסק, ודיווח כאמור יעמוד בתוקפו כל עוד שיעור ההחזקה האמור בתקנה 2(2) לא השתנה.</w:t>
      </w:r>
    </w:p>
    <w:p w14:paraId="60245606" w14:textId="77777777" w:rsidR="00AC4745" w:rsidRDefault="00AC4745">
      <w:pPr>
        <w:pStyle w:val="P00"/>
        <w:spacing w:before="72"/>
        <w:ind w:left="0" w:right="1134"/>
        <w:rPr>
          <w:rStyle w:val="default"/>
          <w:rFonts w:cs="FrankRuehl" w:hint="cs"/>
          <w:rtl/>
        </w:rPr>
      </w:pPr>
      <w:bookmarkStart w:id="4" w:name="Seif3"/>
      <w:bookmarkEnd w:id="4"/>
      <w:r>
        <w:rPr>
          <w:rFonts w:cs="Miriam"/>
          <w:lang w:val="he-IL"/>
        </w:rPr>
        <w:pict w14:anchorId="30FC3116">
          <v:rect id="_x0000_s1196" style="position:absolute;left:0;text-align:left;margin-left:464.35pt;margin-top:7.1pt;width:75.05pt;height:9.25pt;z-index:251658240" o:allowincell="f" filled="f" stroked="f" strokecolor="lime" strokeweight=".25pt">
            <v:textbox style="mso-next-textbox:#_x0000_s1196" inset="0,0,0,0">
              <w:txbxContent>
                <w:p w14:paraId="4025C41C" w14:textId="77777777" w:rsidR="00AC4745" w:rsidRDefault="00AC4745">
                  <w:pPr>
                    <w:spacing w:line="160" w:lineRule="exact"/>
                    <w:rPr>
                      <w:rFonts w:cs="Miriam" w:hint="cs"/>
                      <w:noProof/>
                      <w:sz w:val="18"/>
                      <w:szCs w:val="18"/>
                      <w:rtl/>
                    </w:rPr>
                  </w:pPr>
                  <w:r>
                    <w:rPr>
                      <w:rFonts w:cs="Miriam" w:hint="cs"/>
                      <w:sz w:val="18"/>
                      <w:szCs w:val="18"/>
                      <w:rtl/>
                    </w:rPr>
                    <w:t>אי-תחולה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על אף האמור בתקנה 2, פעולה כמפורט בתקנה האמורה שניתנה לגביה החלטת</w:t>
      </w:r>
      <w:r>
        <w:rPr>
          <w:rStyle w:val="default"/>
          <w:rFonts w:cs="FrankRuehl" w:hint="cs"/>
          <w:rtl/>
        </w:rPr>
        <w:t xml:space="preserve"> </w:t>
      </w:r>
      <w:r>
        <w:rPr>
          <w:rStyle w:val="default"/>
          <w:rFonts w:cs="FrankRuehl"/>
          <w:rtl/>
        </w:rPr>
        <w:t>מיסוי או החלטת מיסוי בהסכם לפי הוראות פרק שני – ב לחלק ט לפקודה או לפי הוראות</w:t>
      </w:r>
      <w:r>
        <w:rPr>
          <w:rStyle w:val="default"/>
          <w:rFonts w:cs="FrankRuehl" w:hint="cs"/>
          <w:rtl/>
        </w:rPr>
        <w:t xml:space="preserve"> </w:t>
      </w:r>
      <w:r>
        <w:rPr>
          <w:rStyle w:val="default"/>
          <w:rFonts w:cs="FrankRuehl"/>
          <w:rtl/>
        </w:rPr>
        <w:t>אחרות הקבועות בדיני המס בענין בקשה למתן החלטת מיסוי על ידי מנהל רשות המסים</w:t>
      </w:r>
      <w:r>
        <w:rPr>
          <w:rStyle w:val="default"/>
          <w:rFonts w:cs="FrankRuehl" w:hint="cs"/>
          <w:rtl/>
        </w:rPr>
        <w:t xml:space="preserve"> </w:t>
      </w:r>
      <w:r>
        <w:rPr>
          <w:rStyle w:val="default"/>
          <w:rFonts w:cs="FrankRuehl"/>
          <w:rtl/>
        </w:rPr>
        <w:t>בישראל, לא יראו בה תכנון מס החייב בדיווח; בתקנת משנה זו, "החלטת מיסוי", "החלטת מיסוי בהסכם" ו"דיני המס" – כהגדרתם בסעיף 158 ב לפקודה.</w:t>
      </w:r>
    </w:p>
    <w:p w14:paraId="6D0515EB" w14:textId="77777777" w:rsidR="00AC4745" w:rsidRDefault="00AC474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נוסף על האמור בתקנת משנה (א), לא יראו בפעולה המפורטת בתקנה 2(1) תכנון</w:t>
      </w:r>
      <w:r>
        <w:rPr>
          <w:rStyle w:val="default"/>
          <w:rFonts w:cs="FrankRuehl" w:hint="cs"/>
          <w:rtl/>
        </w:rPr>
        <w:t xml:space="preserve"> </w:t>
      </w:r>
      <w:r>
        <w:rPr>
          <w:rStyle w:val="default"/>
          <w:rFonts w:cs="FrankRuehl"/>
          <w:rtl/>
        </w:rPr>
        <w:t>מס החייב בדיווח, אם דווחה למנהל כמכירת זכות במקרקעין, לפי הוראות חוק מיסוי מקרקעין, על ידי בעל הזכות במקרקעין לגורם המארגן ועל ידי הגורם המארגן לקבוצת הרוכשים.</w:t>
      </w:r>
    </w:p>
    <w:p w14:paraId="7726CE3B" w14:textId="77777777" w:rsidR="00AC4745" w:rsidRDefault="00AC4745" w:rsidP="00B41210">
      <w:pPr>
        <w:pStyle w:val="P00"/>
        <w:spacing w:before="72"/>
        <w:ind w:left="0" w:right="1134"/>
        <w:rPr>
          <w:rStyle w:val="default"/>
          <w:rFonts w:cs="FrankRuehl" w:hint="cs"/>
          <w:rtl/>
        </w:rPr>
      </w:pPr>
      <w:bookmarkStart w:id="5" w:name="Seif4"/>
      <w:bookmarkEnd w:id="5"/>
      <w:r>
        <w:rPr>
          <w:rFonts w:cs="Miriam"/>
          <w:lang w:val="he-IL"/>
        </w:rPr>
        <w:pict w14:anchorId="55F3E245">
          <v:rect id="_x0000_s1197" style="position:absolute;left:0;text-align:left;margin-left:464.35pt;margin-top:7.1pt;width:75.05pt;height:26.65pt;z-index:251659264" o:allowincell="f" filled="f" stroked="f" strokecolor="lime" strokeweight=".25pt">
            <v:textbox style="mso-next-textbox:#_x0000_s1197" inset="0,0,0,0">
              <w:txbxContent>
                <w:p w14:paraId="24EAF401" w14:textId="77777777" w:rsidR="00AC4745" w:rsidRDefault="00AC4745">
                  <w:pPr>
                    <w:spacing w:line="160" w:lineRule="exact"/>
                    <w:rPr>
                      <w:rFonts w:cs="Miriam" w:hint="cs"/>
                      <w:sz w:val="18"/>
                      <w:szCs w:val="18"/>
                      <w:rtl/>
                    </w:rPr>
                  </w:pPr>
                  <w:r>
                    <w:rPr>
                      <w:rFonts w:cs="Miriam" w:hint="cs"/>
                      <w:sz w:val="18"/>
                      <w:szCs w:val="18"/>
                      <w:rtl/>
                    </w:rPr>
                    <w:t>תחולה והוראת מעבר</w:t>
                  </w:r>
                </w:p>
                <w:p w14:paraId="649FA28D" w14:textId="77777777" w:rsidR="00B41210" w:rsidRDefault="00B41210">
                  <w:pPr>
                    <w:spacing w:line="160" w:lineRule="exact"/>
                    <w:rPr>
                      <w:rFonts w:cs="Miriam" w:hint="cs"/>
                      <w:noProof/>
                      <w:sz w:val="18"/>
                      <w:szCs w:val="18"/>
                      <w:rtl/>
                    </w:rPr>
                  </w:pPr>
                  <w:r>
                    <w:rPr>
                      <w:rFonts w:cs="Miriam" w:hint="cs"/>
                      <w:sz w:val="18"/>
                      <w:szCs w:val="18"/>
                      <w:rtl/>
                    </w:rPr>
                    <w:t>תק' תש"ע-2009</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sidR="00B41210">
        <w:rPr>
          <w:rStyle w:val="default"/>
          <w:rFonts w:cs="FrankRuehl" w:hint="cs"/>
          <w:rtl/>
        </w:rPr>
        <w:t>(בוטלה)</w:t>
      </w:r>
      <w:r>
        <w:rPr>
          <w:rStyle w:val="default"/>
          <w:rFonts w:cs="FrankRuehl"/>
          <w:rtl/>
        </w:rPr>
        <w:t>.</w:t>
      </w:r>
    </w:p>
    <w:p w14:paraId="26C2A2FF" w14:textId="77777777" w:rsidR="00AC4745" w:rsidRDefault="00AC474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בתקנה 3, הדיווח בדוח התקופתי יכול שלא יהיה בדוח התקופתי</w:t>
      </w:r>
      <w:r>
        <w:rPr>
          <w:rStyle w:val="default"/>
          <w:rFonts w:cs="FrankRuehl" w:hint="cs"/>
          <w:rtl/>
        </w:rPr>
        <w:t xml:space="preserve"> </w:t>
      </w:r>
      <w:r>
        <w:rPr>
          <w:rStyle w:val="default"/>
          <w:rFonts w:cs="FrankRuehl"/>
          <w:rtl/>
        </w:rPr>
        <w:t>הראשון שיש חובה להגישו לאחר הפעולה, אם מנהל רשות המסים בישראל דחה את מועד הדיווח</w:t>
      </w:r>
      <w:r>
        <w:rPr>
          <w:rStyle w:val="a6"/>
          <w:rFonts w:cs="FrankRuehl"/>
          <w:sz w:val="26"/>
        </w:rPr>
        <w:footnoteReference w:id="2"/>
      </w:r>
      <w:r>
        <w:rPr>
          <w:rStyle w:val="default"/>
          <w:rFonts w:cs="FrankRuehl"/>
          <w:rtl/>
        </w:rPr>
        <w:t>, אך לא יאוחר מ</w:t>
      </w:r>
      <w:r>
        <w:rPr>
          <w:rStyle w:val="default"/>
          <w:rFonts w:cs="FrankRuehl" w:hint="cs"/>
          <w:rtl/>
        </w:rPr>
        <w:t>-</w:t>
      </w:r>
      <w:r>
        <w:rPr>
          <w:rStyle w:val="default"/>
          <w:rFonts w:cs="FrankRuehl"/>
          <w:rtl/>
        </w:rPr>
        <w:t>120 ימים לאחר המועד שבו היה צריך להגיש את הדוח התקופתי כאמור.</w:t>
      </w:r>
    </w:p>
    <w:p w14:paraId="13F3EA54" w14:textId="77777777" w:rsidR="00B41210" w:rsidRPr="00EB77EA" w:rsidRDefault="00B41210" w:rsidP="00B41210">
      <w:pPr>
        <w:pStyle w:val="P00"/>
        <w:spacing w:before="0"/>
        <w:ind w:left="0" w:right="1134"/>
        <w:rPr>
          <w:rStyle w:val="default"/>
          <w:rFonts w:cs="FrankRuehl" w:hint="cs"/>
          <w:vanish/>
          <w:color w:val="FF0000"/>
          <w:sz w:val="20"/>
          <w:szCs w:val="20"/>
          <w:shd w:val="clear" w:color="auto" w:fill="FFFF99"/>
          <w:rtl/>
        </w:rPr>
      </w:pPr>
      <w:bookmarkStart w:id="6" w:name="Rov7"/>
      <w:r w:rsidRPr="00EB77EA">
        <w:rPr>
          <w:rStyle w:val="default"/>
          <w:rFonts w:cs="FrankRuehl" w:hint="cs"/>
          <w:vanish/>
          <w:color w:val="FF0000"/>
          <w:sz w:val="20"/>
          <w:szCs w:val="20"/>
          <w:shd w:val="clear" w:color="auto" w:fill="FFFF99"/>
          <w:rtl/>
        </w:rPr>
        <w:t>מיום 31.12.2009</w:t>
      </w:r>
    </w:p>
    <w:p w14:paraId="0F715C41" w14:textId="77777777" w:rsidR="00B41210" w:rsidRPr="00EB77EA" w:rsidRDefault="00B41210" w:rsidP="00B41210">
      <w:pPr>
        <w:pStyle w:val="P00"/>
        <w:spacing w:before="0"/>
        <w:ind w:left="0" w:right="1134"/>
        <w:rPr>
          <w:rStyle w:val="default"/>
          <w:rFonts w:cs="FrankRuehl" w:hint="cs"/>
          <w:vanish/>
          <w:sz w:val="20"/>
          <w:szCs w:val="20"/>
          <w:shd w:val="clear" w:color="auto" w:fill="FFFF99"/>
          <w:rtl/>
        </w:rPr>
      </w:pPr>
      <w:r w:rsidRPr="00EB77EA">
        <w:rPr>
          <w:rStyle w:val="default"/>
          <w:rFonts w:cs="FrankRuehl" w:hint="cs"/>
          <w:b/>
          <w:bCs/>
          <w:vanish/>
          <w:sz w:val="20"/>
          <w:szCs w:val="20"/>
          <w:shd w:val="clear" w:color="auto" w:fill="FFFF99"/>
          <w:rtl/>
        </w:rPr>
        <w:t>תק' תש"ע-2009</w:t>
      </w:r>
    </w:p>
    <w:p w14:paraId="0AECE4E3" w14:textId="77777777" w:rsidR="00B41210" w:rsidRPr="00EB77EA" w:rsidRDefault="00B41210" w:rsidP="00B41210">
      <w:pPr>
        <w:pStyle w:val="P00"/>
        <w:spacing w:before="0"/>
        <w:ind w:left="0" w:right="1134"/>
        <w:rPr>
          <w:rStyle w:val="default"/>
          <w:rFonts w:cs="FrankRuehl" w:hint="cs"/>
          <w:vanish/>
          <w:sz w:val="20"/>
          <w:szCs w:val="20"/>
          <w:shd w:val="clear" w:color="auto" w:fill="FFFF99"/>
          <w:rtl/>
        </w:rPr>
      </w:pPr>
      <w:hyperlink r:id="rId8" w:history="1">
        <w:r w:rsidRPr="00EB77EA">
          <w:rPr>
            <w:rStyle w:val="Hyperlink"/>
            <w:rFonts w:cs="FrankRuehl" w:hint="cs"/>
            <w:vanish/>
            <w:szCs w:val="20"/>
            <w:shd w:val="clear" w:color="auto" w:fill="FFFF99"/>
            <w:rtl/>
          </w:rPr>
          <w:t>ק"ת תש"ע מס' 6846</w:t>
        </w:r>
      </w:hyperlink>
      <w:r w:rsidRPr="00EB77EA">
        <w:rPr>
          <w:rStyle w:val="default"/>
          <w:rFonts w:cs="FrankRuehl" w:hint="cs"/>
          <w:vanish/>
          <w:sz w:val="20"/>
          <w:szCs w:val="20"/>
          <w:shd w:val="clear" w:color="auto" w:fill="FFFF99"/>
          <w:rtl/>
        </w:rPr>
        <w:t xml:space="preserve"> מיום 31.12.2009 עמ' 403</w:t>
      </w:r>
    </w:p>
    <w:p w14:paraId="3D157F94" w14:textId="77777777" w:rsidR="00B41210" w:rsidRPr="00EB77EA" w:rsidRDefault="00B41210" w:rsidP="00B41210">
      <w:pPr>
        <w:pStyle w:val="P00"/>
        <w:spacing w:before="0"/>
        <w:ind w:left="0" w:right="1134"/>
        <w:rPr>
          <w:rStyle w:val="default"/>
          <w:rFonts w:cs="FrankRuehl" w:hint="cs"/>
          <w:vanish/>
          <w:sz w:val="20"/>
          <w:szCs w:val="20"/>
          <w:shd w:val="clear" w:color="auto" w:fill="FFFF99"/>
          <w:rtl/>
        </w:rPr>
      </w:pPr>
      <w:r w:rsidRPr="00EB77EA">
        <w:rPr>
          <w:rStyle w:val="default"/>
          <w:rFonts w:cs="FrankRuehl" w:hint="cs"/>
          <w:b/>
          <w:bCs/>
          <w:vanish/>
          <w:sz w:val="20"/>
          <w:szCs w:val="20"/>
          <w:shd w:val="clear" w:color="auto" w:fill="FFFF99"/>
          <w:rtl/>
        </w:rPr>
        <w:t>ביטול תקנת משנה 5(א)</w:t>
      </w:r>
    </w:p>
    <w:p w14:paraId="7CCC238F" w14:textId="77777777" w:rsidR="00B41210" w:rsidRPr="00EB77EA" w:rsidRDefault="00B41210" w:rsidP="00B41210">
      <w:pPr>
        <w:pStyle w:val="P00"/>
        <w:ind w:left="0" w:right="1134"/>
        <w:rPr>
          <w:rStyle w:val="default"/>
          <w:rFonts w:cs="FrankRuehl" w:hint="cs"/>
          <w:vanish/>
          <w:sz w:val="20"/>
          <w:szCs w:val="20"/>
          <w:shd w:val="clear" w:color="auto" w:fill="FFFF99"/>
          <w:rtl/>
        </w:rPr>
      </w:pPr>
      <w:r w:rsidRPr="00EB77EA">
        <w:rPr>
          <w:rStyle w:val="default"/>
          <w:rFonts w:cs="FrankRuehl" w:hint="cs"/>
          <w:vanish/>
          <w:sz w:val="20"/>
          <w:szCs w:val="20"/>
          <w:shd w:val="clear" w:color="auto" w:fill="FFFF99"/>
          <w:rtl/>
        </w:rPr>
        <w:t>הנוסח הקודם:</w:t>
      </w:r>
    </w:p>
    <w:p w14:paraId="3E7D1A23" w14:textId="77777777" w:rsidR="00B41210" w:rsidRPr="00B41210" w:rsidRDefault="00B41210" w:rsidP="00B41210">
      <w:pPr>
        <w:pStyle w:val="P00"/>
        <w:spacing w:before="0"/>
        <w:ind w:left="0" w:right="1134"/>
        <w:rPr>
          <w:rStyle w:val="default"/>
          <w:rFonts w:cs="FrankRuehl" w:hint="cs"/>
          <w:strike/>
          <w:sz w:val="2"/>
          <w:szCs w:val="2"/>
          <w:rtl/>
        </w:rPr>
      </w:pPr>
      <w:r w:rsidRPr="00EB77EA">
        <w:rPr>
          <w:rStyle w:val="big-number"/>
          <w:rFonts w:cs="FrankRuehl"/>
          <w:vanish/>
          <w:sz w:val="22"/>
          <w:szCs w:val="22"/>
          <w:shd w:val="clear" w:color="auto" w:fill="FFFF99"/>
          <w:rtl/>
        </w:rPr>
        <w:tab/>
      </w:r>
      <w:r w:rsidRPr="00EB77EA">
        <w:rPr>
          <w:rStyle w:val="default"/>
          <w:rFonts w:cs="FrankRuehl"/>
          <w:strike/>
          <w:vanish/>
          <w:sz w:val="22"/>
          <w:szCs w:val="22"/>
          <w:shd w:val="clear" w:color="auto" w:fill="FFFF99"/>
          <w:rtl/>
        </w:rPr>
        <w:t>(א)</w:t>
      </w:r>
      <w:r w:rsidRPr="00EB77EA">
        <w:rPr>
          <w:rStyle w:val="default"/>
          <w:rFonts w:cs="FrankRuehl" w:hint="cs"/>
          <w:strike/>
          <w:vanish/>
          <w:sz w:val="22"/>
          <w:szCs w:val="22"/>
          <w:shd w:val="clear" w:color="auto" w:fill="FFFF99"/>
          <w:rtl/>
        </w:rPr>
        <w:tab/>
      </w:r>
      <w:r w:rsidRPr="00EB77EA">
        <w:rPr>
          <w:rStyle w:val="default"/>
          <w:rFonts w:cs="FrankRuehl"/>
          <w:strike/>
          <w:vanish/>
          <w:sz w:val="22"/>
          <w:szCs w:val="22"/>
          <w:shd w:val="clear" w:color="auto" w:fill="FFFF99"/>
          <w:rtl/>
        </w:rPr>
        <w:t>תקנות אלה יחולו לגבי פעולות שיתבצעו בשנות המס 2007 עד 2009.</w:t>
      </w:r>
      <w:bookmarkEnd w:id="6"/>
    </w:p>
    <w:p w14:paraId="60608DD9" w14:textId="77777777" w:rsidR="00AC4745" w:rsidRDefault="00AC4745">
      <w:pPr>
        <w:pStyle w:val="P00"/>
        <w:spacing w:before="72"/>
        <w:ind w:left="0" w:right="1134"/>
        <w:rPr>
          <w:rStyle w:val="default"/>
          <w:rFonts w:cs="FrankRuehl" w:hint="cs"/>
          <w:rtl/>
        </w:rPr>
      </w:pPr>
    </w:p>
    <w:p w14:paraId="732EB591" w14:textId="77777777" w:rsidR="00AC4745" w:rsidRPr="006171D4" w:rsidRDefault="00AC4745" w:rsidP="006171D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sidRPr="006171D4">
        <w:rPr>
          <w:rStyle w:val="default"/>
          <w:rFonts w:cs="FrankRuehl" w:hint="cs"/>
          <w:rtl/>
        </w:rPr>
        <w:t>י"ב בכסלו התשס"ז (3 בדצמבר 2006)</w:t>
      </w:r>
      <w:r w:rsidRPr="006171D4">
        <w:rPr>
          <w:rFonts w:cs="FrankRuehl" w:hint="cs"/>
          <w:rtl/>
        </w:rPr>
        <w:tab/>
        <w:t>אברהם הירשזון</w:t>
      </w:r>
    </w:p>
    <w:p w14:paraId="61F85F8E" w14:textId="77777777" w:rsidR="00AC4745" w:rsidRDefault="00AC4745" w:rsidP="006171D4">
      <w:pPr>
        <w:pStyle w:val="sig-0"/>
        <w:tabs>
          <w:tab w:val="clear" w:pos="4820"/>
          <w:tab w:val="center" w:pos="5103"/>
        </w:tabs>
        <w:spacing w:before="0"/>
        <w:ind w:left="0" w:right="1134"/>
        <w:rPr>
          <w:rFonts w:cs="FrankRuehl" w:hint="cs"/>
          <w:sz w:val="22"/>
          <w:szCs w:val="22"/>
          <w:rtl/>
        </w:rPr>
      </w:pPr>
      <w:r>
        <w:rPr>
          <w:rFonts w:cs="FrankRuehl" w:hint="cs"/>
          <w:sz w:val="22"/>
          <w:szCs w:val="22"/>
          <w:rtl/>
        </w:rPr>
        <w:tab/>
        <w:t>שר האוצר</w:t>
      </w:r>
    </w:p>
    <w:p w14:paraId="1076A960" w14:textId="77777777" w:rsidR="00AC4745" w:rsidRDefault="00AC4745">
      <w:pPr>
        <w:pStyle w:val="sig-0"/>
        <w:tabs>
          <w:tab w:val="clear" w:pos="4820"/>
          <w:tab w:val="center" w:pos="5670"/>
        </w:tabs>
        <w:ind w:left="0" w:right="1134"/>
        <w:rPr>
          <w:rFonts w:cs="FrankRuehl" w:hint="cs"/>
          <w:sz w:val="26"/>
          <w:rtl/>
        </w:rPr>
      </w:pPr>
    </w:p>
    <w:p w14:paraId="334C72BC" w14:textId="77777777" w:rsidR="00AC4745" w:rsidRDefault="00AC4745">
      <w:pPr>
        <w:pStyle w:val="sig-0"/>
        <w:ind w:left="0" w:right="1134"/>
        <w:rPr>
          <w:rFonts w:cs="FrankRuehl"/>
          <w:sz w:val="26"/>
          <w:rtl/>
        </w:rPr>
      </w:pPr>
    </w:p>
    <w:sectPr w:rsidR="00AC474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66DE0" w14:textId="77777777" w:rsidR="00F9754C" w:rsidRDefault="00F9754C">
      <w:r>
        <w:separator/>
      </w:r>
    </w:p>
  </w:endnote>
  <w:endnote w:type="continuationSeparator" w:id="0">
    <w:p w14:paraId="69DD6BBE" w14:textId="77777777" w:rsidR="00F9754C" w:rsidRDefault="00F9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4201" w14:textId="77777777" w:rsidR="00AC4745" w:rsidRDefault="00AC47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360F41" w14:textId="77777777" w:rsidR="00AC4745" w:rsidRDefault="00AC47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F4389C" w14:textId="77777777" w:rsidR="00AC4745" w:rsidRDefault="00AC47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C:\Yael\hakika\030507\999_704.doc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1278" w14:textId="77777777" w:rsidR="00AC4745" w:rsidRDefault="00AC47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77EA">
      <w:rPr>
        <w:rFonts w:hAnsi="FrankRuehl" w:cs="FrankRuehl"/>
        <w:noProof/>
        <w:sz w:val="24"/>
        <w:szCs w:val="24"/>
        <w:rtl/>
      </w:rPr>
      <w:t>2</w:t>
    </w:r>
    <w:r>
      <w:rPr>
        <w:rFonts w:hAnsi="FrankRuehl" w:cs="FrankRuehl"/>
        <w:sz w:val="24"/>
        <w:szCs w:val="24"/>
        <w:rtl/>
      </w:rPr>
      <w:fldChar w:fldCharType="end"/>
    </w:r>
  </w:p>
  <w:p w14:paraId="489F76A9" w14:textId="77777777" w:rsidR="00AC4745" w:rsidRDefault="00AC47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980EE8" w14:textId="77777777" w:rsidR="00AC4745" w:rsidRDefault="00AC47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C:\Yael\hakika\030507\999_704.doc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63A3" w14:textId="77777777" w:rsidR="00F9754C" w:rsidRDefault="00F9754C">
      <w:r>
        <w:separator/>
      </w:r>
    </w:p>
  </w:footnote>
  <w:footnote w:type="continuationSeparator" w:id="0">
    <w:p w14:paraId="625524F2" w14:textId="77777777" w:rsidR="00F9754C" w:rsidRDefault="00F9754C">
      <w:r>
        <w:continuationSeparator/>
      </w:r>
    </w:p>
  </w:footnote>
  <w:footnote w:id="1">
    <w:p w14:paraId="1DFBADDC" w14:textId="77777777" w:rsidR="00AC4745" w:rsidRDefault="00AC4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6545</w:t>
        </w:r>
      </w:hyperlink>
      <w:r>
        <w:rPr>
          <w:rFonts w:cs="FrankRuehl" w:hint="cs"/>
          <w:rtl/>
        </w:rPr>
        <w:t xml:space="preserve"> מיום 25.12.2006 עמ' 394.</w:t>
      </w:r>
    </w:p>
    <w:p w14:paraId="5B499781" w14:textId="77777777" w:rsidR="00DB5A93" w:rsidRDefault="00B41210" w:rsidP="00DB5A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B5A93">
          <w:rPr>
            <w:rStyle w:val="Hyperlink"/>
            <w:rFonts w:cs="FrankRuehl" w:hint="cs"/>
            <w:rtl/>
          </w:rPr>
          <w:t>ק"ת תש"ע מס' 6846</w:t>
        </w:r>
      </w:hyperlink>
      <w:r>
        <w:rPr>
          <w:rFonts w:cs="FrankRuehl" w:hint="cs"/>
          <w:rtl/>
        </w:rPr>
        <w:t xml:space="preserve"> מיום 31.12.2009 עמ' 403 </w:t>
      </w:r>
      <w:r>
        <w:rPr>
          <w:rFonts w:cs="FrankRuehl"/>
          <w:rtl/>
        </w:rPr>
        <w:t>–</w:t>
      </w:r>
      <w:r>
        <w:rPr>
          <w:rFonts w:cs="FrankRuehl" w:hint="cs"/>
          <w:rtl/>
        </w:rPr>
        <w:t xml:space="preserve"> תק' תש"ע-2009.</w:t>
      </w:r>
    </w:p>
  </w:footnote>
  <w:footnote w:id="2">
    <w:p w14:paraId="31460DC0" w14:textId="77777777" w:rsidR="00AC4745" w:rsidRDefault="00AC4745">
      <w:pPr>
        <w:pStyle w:val="a5"/>
        <w:spacing w:before="72"/>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3" w:history="1">
        <w:r>
          <w:rPr>
            <w:rStyle w:val="Hyperlink"/>
            <w:rFonts w:cs="FrankRuehl" w:hint="cs"/>
            <w:noProof/>
            <w:sz w:val="22"/>
            <w:szCs w:val="22"/>
            <w:rtl/>
          </w:rPr>
          <w:t>י"פ תשס"ז</w:t>
        </w:r>
        <w:r w:rsidR="00714A54">
          <w:rPr>
            <w:rStyle w:val="Hyperlink"/>
            <w:rFonts w:cs="FrankRuehl" w:hint="cs"/>
            <w:noProof/>
            <w:sz w:val="22"/>
            <w:szCs w:val="22"/>
            <w:rtl/>
          </w:rPr>
          <w:t>:</w:t>
        </w:r>
        <w:r>
          <w:rPr>
            <w:rStyle w:val="Hyperlink"/>
            <w:rFonts w:cs="FrankRuehl" w:hint="cs"/>
            <w:noProof/>
            <w:sz w:val="22"/>
            <w:szCs w:val="22"/>
            <w:rtl/>
          </w:rPr>
          <w:t xml:space="preserve"> מס' 5617</w:t>
        </w:r>
      </w:hyperlink>
      <w:r>
        <w:rPr>
          <w:rFonts w:cs="FrankRuehl" w:hint="cs"/>
          <w:noProof/>
          <w:sz w:val="22"/>
          <w:szCs w:val="22"/>
          <w:rtl/>
        </w:rPr>
        <w:t xml:space="preserve"> מיום 15.1.2007 עמ' 1206. </w:t>
      </w:r>
      <w:hyperlink r:id="rId4" w:history="1">
        <w:r>
          <w:rPr>
            <w:rStyle w:val="Hyperlink"/>
            <w:rFonts w:cs="FrankRuehl" w:hint="cs"/>
            <w:noProof/>
            <w:sz w:val="22"/>
            <w:szCs w:val="22"/>
            <w:rtl/>
          </w:rPr>
          <w:t>מס' 5629</w:t>
        </w:r>
      </w:hyperlink>
      <w:r>
        <w:rPr>
          <w:rFonts w:cs="FrankRuehl" w:hint="cs"/>
          <w:noProof/>
          <w:sz w:val="22"/>
          <w:szCs w:val="22"/>
          <w:rtl/>
        </w:rPr>
        <w:t xml:space="preserve"> מיום 15.2.2007 עמ' 1613.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29D2" w14:textId="77777777" w:rsidR="00AC4745" w:rsidRDefault="00AC47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DF7145C" w14:textId="77777777" w:rsidR="00AC4745" w:rsidRDefault="00AC47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D4FAAB" w14:textId="77777777" w:rsidR="00AC4745" w:rsidRDefault="00AC474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B92A" w14:textId="77777777" w:rsidR="00AC4745" w:rsidRDefault="00AC4745" w:rsidP="00B412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ערך מוסף (תכנון מס החייב בדיווח), תשס"ז-2006</w:t>
    </w:r>
  </w:p>
  <w:p w14:paraId="47703C6D" w14:textId="77777777" w:rsidR="00AC4745" w:rsidRDefault="00AC474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CAF5F8" w14:textId="77777777" w:rsidR="00AC4745" w:rsidRDefault="00AC474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3881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4A54"/>
    <w:rsid w:val="000E375F"/>
    <w:rsid w:val="001E014D"/>
    <w:rsid w:val="002922F4"/>
    <w:rsid w:val="002C1F52"/>
    <w:rsid w:val="006171D4"/>
    <w:rsid w:val="00617A73"/>
    <w:rsid w:val="00635D6D"/>
    <w:rsid w:val="00714A54"/>
    <w:rsid w:val="0078165E"/>
    <w:rsid w:val="00832AF4"/>
    <w:rsid w:val="00AC4745"/>
    <w:rsid w:val="00B41210"/>
    <w:rsid w:val="00C94C56"/>
    <w:rsid w:val="00DB5A93"/>
    <w:rsid w:val="00EB77EA"/>
    <w:rsid w:val="00F975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7715A07"/>
  <w15:chartTrackingRefBased/>
  <w15:docId w15:val="{D71FFE26-B06F-48B0-B985-A0F15546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4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846.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5617.pdf" TargetMode="External"/><Relationship Id="rId2" Type="http://schemas.openxmlformats.org/officeDocument/2006/relationships/hyperlink" Target="http://www.nevo.co.il/Law_word/law06/tak-6846.pdf" TargetMode="External"/><Relationship Id="rId1" Type="http://schemas.openxmlformats.org/officeDocument/2006/relationships/hyperlink" Target="http://www.nevo.co.il/Law_word/law06/tak-6545.pdf" TargetMode="External"/><Relationship Id="rId4" Type="http://schemas.openxmlformats.org/officeDocument/2006/relationships/hyperlink" Target="http://www.nevo.co.il/Law_word/law10/YALKUT-56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3283</CharactersWithSpaces>
  <SharedDoc>false</SharedDoc>
  <HLinks>
    <vt:vector size="66" baseType="variant">
      <vt:variant>
        <vt:i4>8060934</vt:i4>
      </vt:variant>
      <vt:variant>
        <vt:i4>33</vt:i4>
      </vt:variant>
      <vt:variant>
        <vt:i4>0</vt:i4>
      </vt:variant>
      <vt:variant>
        <vt:i4>5</vt:i4>
      </vt:variant>
      <vt:variant>
        <vt:lpwstr>http://www.nevo.co.il/Law_word/law06/tak-6846.pdf</vt:lpwstr>
      </vt:variant>
      <vt:variant>
        <vt:lpwstr/>
      </vt:variant>
      <vt:variant>
        <vt:i4>8060934</vt:i4>
      </vt:variant>
      <vt:variant>
        <vt:i4>30</vt:i4>
      </vt:variant>
      <vt:variant>
        <vt:i4>0</vt:i4>
      </vt:variant>
      <vt:variant>
        <vt:i4>5</vt:i4>
      </vt:variant>
      <vt:variant>
        <vt:lpwstr>http://www.nevo.co.il/Law_word/law06/tak-6846.pdf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9</vt:i4>
      </vt:variant>
      <vt:variant>
        <vt:i4>0</vt:i4>
      </vt:variant>
      <vt:variant>
        <vt:i4>5</vt:i4>
      </vt:variant>
      <vt:variant>
        <vt:lpwstr>http://www.nevo.co.il/Law_word/law10/YALKUT-5629.pdf</vt:lpwstr>
      </vt:variant>
      <vt:variant>
        <vt:lpwstr/>
      </vt:variant>
      <vt:variant>
        <vt:i4>7340037</vt:i4>
      </vt:variant>
      <vt:variant>
        <vt:i4>6</vt:i4>
      </vt:variant>
      <vt:variant>
        <vt:i4>0</vt:i4>
      </vt:variant>
      <vt:variant>
        <vt:i4>5</vt:i4>
      </vt:variant>
      <vt:variant>
        <vt:lpwstr>http://www.nevo.co.il/Law_word/law10/yalkut-5617.pdf</vt:lpwstr>
      </vt:variant>
      <vt:variant>
        <vt:lpwstr/>
      </vt:variant>
      <vt:variant>
        <vt:i4>8060934</vt:i4>
      </vt:variant>
      <vt:variant>
        <vt:i4>3</vt:i4>
      </vt:variant>
      <vt:variant>
        <vt:i4>0</vt:i4>
      </vt:variant>
      <vt:variant>
        <vt:i4>5</vt:i4>
      </vt:variant>
      <vt:variant>
        <vt:lpwstr>http://www.nevo.co.il/Law_word/law06/tak-6846.pdf</vt:lpwstr>
      </vt:variant>
      <vt:variant>
        <vt:lpwstr/>
      </vt:variant>
      <vt:variant>
        <vt:i4>8060936</vt:i4>
      </vt:variant>
      <vt:variant>
        <vt:i4>0</vt:i4>
      </vt:variant>
      <vt:variant>
        <vt:i4>0</vt:i4>
      </vt:variant>
      <vt:variant>
        <vt:i4>5</vt:i4>
      </vt:variant>
      <vt:variant>
        <vt:lpwstr>http://www.nevo.co.il/Law_word/law06/tak-6545.pdf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ערך מוסף (תכנון מס החייב בדיווח), תשס"ז-2006;תקנות מס ערך מוסף (תכנון מס החייב בדיווח) (הוראת שעה)</vt:lpwstr>
  </property>
  <property fmtid="{D5CDD505-2E9C-101B-9397-08002B2CF9AE}" pid="4" name="LAWNUMBER">
    <vt:lpwstr>0704</vt:lpwstr>
  </property>
  <property fmtid="{D5CDD505-2E9C-101B-9397-08002B2CF9AE}" pid="5" name="TYPE">
    <vt:lpwstr>01</vt:lpwstr>
  </property>
  <property fmtid="{D5CDD505-2E9C-101B-9397-08002B2CF9AE}" pid="6" name="CHNAME">
    <vt:lpwstr>מס ערך מוסף</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http://www.nevo.co.il/Law_word/law06/tak-6846.pdf;‎רשומות - תקנות כלליות#תוקנו ק"ת תש"ע ‏מס' 6846 #מיום 31.12.2009 עמ' 403 – תק' תש"ע-2009‏</vt:lpwstr>
  </property>
  <property fmtid="{D5CDD505-2E9C-101B-9397-08002B2CF9AE}" pid="22" name="MEKOR_NAME1">
    <vt:lpwstr>חוק מס ערך מוסף</vt:lpwstr>
  </property>
  <property fmtid="{D5CDD505-2E9C-101B-9397-08002B2CF9AE}" pid="23" name="MEKOR_SAIF1">
    <vt:lpwstr>67XהX;145XאX</vt:lpwstr>
  </property>
  <property fmtid="{D5CDD505-2E9C-101B-9397-08002B2CF9AE}" pid="24" name="MEKORSAMCHUT">
    <vt:lpwstr/>
  </property>
  <property fmtid="{D5CDD505-2E9C-101B-9397-08002B2CF9AE}" pid="25" name="NOSE11">
    <vt:lpwstr>מסים</vt:lpwstr>
  </property>
  <property fmtid="{D5CDD505-2E9C-101B-9397-08002B2CF9AE}" pid="26" name="NOSE21">
    <vt:lpwstr>מס ערך מוסף</vt:lpwstr>
  </property>
  <property fmtid="{D5CDD505-2E9C-101B-9397-08002B2CF9AE}" pid="27" name="NOSE31">
    <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