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9EE48" w14:textId="77777777" w:rsidR="00290902" w:rsidRDefault="00290902">
      <w:pPr>
        <w:pStyle w:val="big-header"/>
        <w:ind w:left="0" w:right="1134"/>
        <w:rPr>
          <w:rFonts w:hint="cs"/>
          <w:rtl/>
        </w:rPr>
      </w:pPr>
      <w:r>
        <w:rPr>
          <w:rtl/>
        </w:rPr>
        <w:t>תקנות מס רכוש וקרן פיצויים (נוהל וסדרי דין בועדות ערר), תשל"ט</w:t>
      </w:r>
      <w:r>
        <w:rPr>
          <w:rFonts w:hint="cs"/>
          <w:rtl/>
        </w:rPr>
        <w:t>-</w:t>
      </w:r>
      <w:r>
        <w:rPr>
          <w:rtl/>
        </w:rPr>
        <w:t>1979</w:t>
      </w:r>
    </w:p>
    <w:p w14:paraId="0D671102" w14:textId="77777777" w:rsidR="00290902" w:rsidRDefault="00290902">
      <w:pPr>
        <w:pStyle w:val="big-header"/>
        <w:ind w:left="0" w:right="1134"/>
        <w:rPr>
          <w:color w:val="008000"/>
          <w:sz w:val="32"/>
        </w:rPr>
      </w:pPr>
      <w:r>
        <w:rPr>
          <w:rFonts w:hint="cs"/>
          <w:color w:val="008000"/>
          <w:sz w:val="32"/>
          <w:rtl/>
        </w:rPr>
        <w:t>רבדים בחקיקה</w:t>
      </w:r>
    </w:p>
    <w:p w14:paraId="46042CD4" w14:textId="77777777" w:rsidR="00EC6F35" w:rsidRDefault="00EC6F35" w:rsidP="00EC6F35">
      <w:pPr>
        <w:spacing w:line="320" w:lineRule="auto"/>
        <w:jc w:val="left"/>
        <w:rPr>
          <w:rtl/>
        </w:rPr>
      </w:pPr>
    </w:p>
    <w:p w14:paraId="29389636" w14:textId="77777777" w:rsidR="00EC6F35" w:rsidRDefault="00EC6F35" w:rsidP="00EC6F35">
      <w:pPr>
        <w:spacing w:line="320" w:lineRule="auto"/>
        <w:jc w:val="left"/>
        <w:rPr>
          <w:rFonts w:cs="FrankRuehl"/>
          <w:szCs w:val="26"/>
          <w:rtl/>
        </w:rPr>
      </w:pPr>
      <w:r w:rsidRPr="00EC6F35">
        <w:rPr>
          <w:rFonts w:cs="Miriam"/>
          <w:szCs w:val="22"/>
          <w:rtl/>
        </w:rPr>
        <w:t>מסים</w:t>
      </w:r>
      <w:r w:rsidRPr="00EC6F35">
        <w:rPr>
          <w:rFonts w:cs="FrankRuehl"/>
          <w:szCs w:val="26"/>
          <w:rtl/>
        </w:rPr>
        <w:t xml:space="preserve"> – מס רכוש וקרן פיצויים</w:t>
      </w:r>
    </w:p>
    <w:p w14:paraId="7AE75D3F" w14:textId="77777777" w:rsidR="007A07CD" w:rsidRPr="00EC6F35" w:rsidRDefault="00EC6F35" w:rsidP="00EC6F35">
      <w:pPr>
        <w:spacing w:line="320" w:lineRule="auto"/>
        <w:jc w:val="left"/>
        <w:rPr>
          <w:rFonts w:cs="Miriam"/>
          <w:szCs w:val="22"/>
          <w:rtl/>
        </w:rPr>
      </w:pPr>
      <w:r w:rsidRPr="00EC6F35">
        <w:rPr>
          <w:rFonts w:cs="Miriam"/>
          <w:szCs w:val="22"/>
          <w:rtl/>
        </w:rPr>
        <w:t>מסים</w:t>
      </w:r>
      <w:r w:rsidRPr="00EC6F35">
        <w:rPr>
          <w:rFonts w:cs="FrankRuehl"/>
          <w:szCs w:val="26"/>
          <w:rtl/>
        </w:rPr>
        <w:t xml:space="preserve"> – סדרי דין – ערר – ועדות ערר</w:t>
      </w:r>
    </w:p>
    <w:p w14:paraId="18F12C9B" w14:textId="77777777" w:rsidR="00290902" w:rsidRDefault="00290902">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290902" w14:paraId="69404049" w14:textId="77777777">
        <w:tblPrEx>
          <w:tblCellMar>
            <w:top w:w="0" w:type="dxa"/>
            <w:bottom w:w="0" w:type="dxa"/>
          </w:tblCellMar>
        </w:tblPrEx>
        <w:tc>
          <w:tcPr>
            <w:tcW w:w="850" w:type="dxa"/>
          </w:tcPr>
          <w:p w14:paraId="7748ED61" w14:textId="77777777" w:rsidR="00290902" w:rsidRDefault="00290902">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3C78F7C" w14:textId="77777777" w:rsidR="00290902" w:rsidRDefault="00290902">
            <w:pPr>
              <w:spacing w:line="240" w:lineRule="auto"/>
              <w:rPr>
                <w:sz w:val="24"/>
              </w:rPr>
            </w:pPr>
            <w:hyperlink w:anchor="Seif0" w:tooltip="הגדרות" w:history="1">
              <w:r>
                <w:rPr>
                  <w:rStyle w:val="Hyperlink"/>
                </w:rPr>
                <w:t>Go</w:t>
              </w:r>
            </w:hyperlink>
          </w:p>
        </w:tc>
        <w:tc>
          <w:tcPr>
            <w:tcW w:w="5669" w:type="dxa"/>
          </w:tcPr>
          <w:p w14:paraId="59D85B97" w14:textId="77777777" w:rsidR="00290902" w:rsidRDefault="00290902">
            <w:pPr>
              <w:spacing w:line="240" w:lineRule="auto"/>
              <w:rPr>
                <w:sz w:val="24"/>
                <w:rtl/>
              </w:rPr>
            </w:pPr>
            <w:r>
              <w:rPr>
                <w:sz w:val="24"/>
                <w:rtl/>
              </w:rPr>
              <w:t>הגדרות</w:t>
            </w:r>
          </w:p>
        </w:tc>
        <w:tc>
          <w:tcPr>
            <w:tcW w:w="1247" w:type="dxa"/>
          </w:tcPr>
          <w:p w14:paraId="5C3E9E00" w14:textId="77777777" w:rsidR="00290902" w:rsidRDefault="00290902">
            <w:pPr>
              <w:spacing w:line="240" w:lineRule="auto"/>
              <w:rPr>
                <w:sz w:val="24"/>
              </w:rPr>
            </w:pPr>
            <w:r>
              <w:rPr>
                <w:sz w:val="24"/>
                <w:rtl/>
              </w:rPr>
              <w:t xml:space="preserve">סעיף 1 </w:t>
            </w:r>
          </w:p>
        </w:tc>
      </w:tr>
      <w:tr w:rsidR="00290902" w14:paraId="2A40847D" w14:textId="77777777">
        <w:tblPrEx>
          <w:tblCellMar>
            <w:top w:w="0" w:type="dxa"/>
            <w:bottom w:w="0" w:type="dxa"/>
          </w:tblCellMar>
        </w:tblPrEx>
        <w:tc>
          <w:tcPr>
            <w:tcW w:w="850" w:type="dxa"/>
          </w:tcPr>
          <w:p w14:paraId="60EF2C00" w14:textId="77777777" w:rsidR="00290902" w:rsidRDefault="00290902">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277E307" w14:textId="77777777" w:rsidR="00290902" w:rsidRDefault="00290902">
            <w:pPr>
              <w:spacing w:line="240" w:lineRule="auto"/>
              <w:rPr>
                <w:sz w:val="24"/>
              </w:rPr>
            </w:pPr>
            <w:hyperlink w:anchor="Seif1" w:tooltip="הגשת ערר" w:history="1">
              <w:r>
                <w:rPr>
                  <w:rStyle w:val="Hyperlink"/>
                </w:rPr>
                <w:t>Go</w:t>
              </w:r>
            </w:hyperlink>
          </w:p>
        </w:tc>
        <w:tc>
          <w:tcPr>
            <w:tcW w:w="5669" w:type="dxa"/>
          </w:tcPr>
          <w:p w14:paraId="5C4D5404" w14:textId="77777777" w:rsidR="00290902" w:rsidRDefault="00290902">
            <w:pPr>
              <w:spacing w:line="240" w:lineRule="auto"/>
              <w:rPr>
                <w:sz w:val="24"/>
                <w:rtl/>
              </w:rPr>
            </w:pPr>
            <w:r>
              <w:rPr>
                <w:sz w:val="24"/>
                <w:rtl/>
              </w:rPr>
              <w:t>הגשת ערר</w:t>
            </w:r>
          </w:p>
        </w:tc>
        <w:tc>
          <w:tcPr>
            <w:tcW w:w="1247" w:type="dxa"/>
          </w:tcPr>
          <w:p w14:paraId="1D9CFA71" w14:textId="77777777" w:rsidR="00290902" w:rsidRDefault="00290902">
            <w:pPr>
              <w:spacing w:line="240" w:lineRule="auto"/>
              <w:rPr>
                <w:sz w:val="24"/>
              </w:rPr>
            </w:pPr>
            <w:r>
              <w:rPr>
                <w:sz w:val="24"/>
                <w:rtl/>
              </w:rPr>
              <w:t xml:space="preserve">סעיף 2 </w:t>
            </w:r>
          </w:p>
        </w:tc>
      </w:tr>
      <w:tr w:rsidR="00290902" w14:paraId="087584EE" w14:textId="77777777">
        <w:tblPrEx>
          <w:tblCellMar>
            <w:top w:w="0" w:type="dxa"/>
            <w:bottom w:w="0" w:type="dxa"/>
          </w:tblCellMar>
        </w:tblPrEx>
        <w:tc>
          <w:tcPr>
            <w:tcW w:w="850" w:type="dxa"/>
          </w:tcPr>
          <w:p w14:paraId="0827752C" w14:textId="77777777" w:rsidR="00290902" w:rsidRDefault="00290902">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CC6D094" w14:textId="77777777" w:rsidR="00290902" w:rsidRDefault="00290902">
            <w:pPr>
              <w:spacing w:line="240" w:lineRule="auto"/>
              <w:rPr>
                <w:sz w:val="24"/>
              </w:rPr>
            </w:pPr>
            <w:hyperlink w:anchor="Seif2" w:tooltip="מסירת הערר למשיב" w:history="1">
              <w:r>
                <w:rPr>
                  <w:rStyle w:val="Hyperlink"/>
                </w:rPr>
                <w:t>Go</w:t>
              </w:r>
            </w:hyperlink>
          </w:p>
        </w:tc>
        <w:tc>
          <w:tcPr>
            <w:tcW w:w="5669" w:type="dxa"/>
          </w:tcPr>
          <w:p w14:paraId="223CB56E" w14:textId="77777777" w:rsidR="00290902" w:rsidRDefault="00290902">
            <w:pPr>
              <w:spacing w:line="240" w:lineRule="auto"/>
              <w:rPr>
                <w:sz w:val="24"/>
                <w:rtl/>
              </w:rPr>
            </w:pPr>
            <w:r>
              <w:rPr>
                <w:sz w:val="24"/>
                <w:rtl/>
              </w:rPr>
              <w:t>מסירת הערר למשיב</w:t>
            </w:r>
          </w:p>
        </w:tc>
        <w:tc>
          <w:tcPr>
            <w:tcW w:w="1247" w:type="dxa"/>
          </w:tcPr>
          <w:p w14:paraId="0E08F396" w14:textId="77777777" w:rsidR="00290902" w:rsidRDefault="00290902">
            <w:pPr>
              <w:spacing w:line="240" w:lineRule="auto"/>
              <w:rPr>
                <w:sz w:val="24"/>
              </w:rPr>
            </w:pPr>
            <w:r>
              <w:rPr>
                <w:sz w:val="24"/>
                <w:rtl/>
              </w:rPr>
              <w:t xml:space="preserve">סעיף 3 </w:t>
            </w:r>
          </w:p>
        </w:tc>
      </w:tr>
      <w:tr w:rsidR="00290902" w14:paraId="29A509AC" w14:textId="77777777">
        <w:tblPrEx>
          <w:tblCellMar>
            <w:top w:w="0" w:type="dxa"/>
            <w:bottom w:w="0" w:type="dxa"/>
          </w:tblCellMar>
        </w:tblPrEx>
        <w:tc>
          <w:tcPr>
            <w:tcW w:w="850" w:type="dxa"/>
          </w:tcPr>
          <w:p w14:paraId="1F796439" w14:textId="77777777" w:rsidR="00290902" w:rsidRDefault="00290902">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0F06964F" w14:textId="77777777" w:rsidR="00290902" w:rsidRDefault="00290902">
            <w:pPr>
              <w:spacing w:line="240" w:lineRule="auto"/>
              <w:rPr>
                <w:sz w:val="24"/>
              </w:rPr>
            </w:pPr>
            <w:hyperlink w:anchor="Seif3" w:tooltip="תשובת המשיב" w:history="1">
              <w:r>
                <w:rPr>
                  <w:rStyle w:val="Hyperlink"/>
                </w:rPr>
                <w:t>Go</w:t>
              </w:r>
            </w:hyperlink>
          </w:p>
        </w:tc>
        <w:tc>
          <w:tcPr>
            <w:tcW w:w="5669" w:type="dxa"/>
          </w:tcPr>
          <w:p w14:paraId="0AC0FFA3" w14:textId="77777777" w:rsidR="00290902" w:rsidRDefault="00290902">
            <w:pPr>
              <w:spacing w:line="240" w:lineRule="auto"/>
              <w:rPr>
                <w:sz w:val="24"/>
                <w:rtl/>
              </w:rPr>
            </w:pPr>
            <w:r>
              <w:rPr>
                <w:sz w:val="24"/>
                <w:rtl/>
              </w:rPr>
              <w:t>תשובת המשיב</w:t>
            </w:r>
          </w:p>
        </w:tc>
        <w:tc>
          <w:tcPr>
            <w:tcW w:w="1247" w:type="dxa"/>
          </w:tcPr>
          <w:p w14:paraId="291BC6C4" w14:textId="77777777" w:rsidR="00290902" w:rsidRDefault="00290902">
            <w:pPr>
              <w:spacing w:line="240" w:lineRule="auto"/>
              <w:rPr>
                <w:sz w:val="24"/>
              </w:rPr>
            </w:pPr>
            <w:r>
              <w:rPr>
                <w:sz w:val="24"/>
                <w:rtl/>
              </w:rPr>
              <w:t xml:space="preserve">סעיף 4 </w:t>
            </w:r>
          </w:p>
        </w:tc>
      </w:tr>
      <w:tr w:rsidR="00290902" w14:paraId="2BD0BADD" w14:textId="77777777">
        <w:tblPrEx>
          <w:tblCellMar>
            <w:top w:w="0" w:type="dxa"/>
            <w:bottom w:w="0" w:type="dxa"/>
          </w:tblCellMar>
        </w:tblPrEx>
        <w:tc>
          <w:tcPr>
            <w:tcW w:w="850" w:type="dxa"/>
          </w:tcPr>
          <w:p w14:paraId="3B70D55D" w14:textId="77777777" w:rsidR="00290902" w:rsidRDefault="00290902">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2B62E5E" w14:textId="77777777" w:rsidR="00290902" w:rsidRDefault="00290902">
            <w:pPr>
              <w:spacing w:line="240" w:lineRule="auto"/>
              <w:rPr>
                <w:sz w:val="24"/>
              </w:rPr>
            </w:pPr>
            <w:hyperlink w:anchor="Seif4" w:tooltip="מסירת התשובה לעורר" w:history="1">
              <w:r>
                <w:rPr>
                  <w:rStyle w:val="Hyperlink"/>
                </w:rPr>
                <w:t>Go</w:t>
              </w:r>
            </w:hyperlink>
          </w:p>
        </w:tc>
        <w:tc>
          <w:tcPr>
            <w:tcW w:w="5669" w:type="dxa"/>
          </w:tcPr>
          <w:p w14:paraId="521DC754" w14:textId="77777777" w:rsidR="00290902" w:rsidRDefault="00290902">
            <w:pPr>
              <w:spacing w:line="240" w:lineRule="auto"/>
              <w:rPr>
                <w:sz w:val="24"/>
                <w:rtl/>
              </w:rPr>
            </w:pPr>
            <w:r>
              <w:rPr>
                <w:sz w:val="24"/>
                <w:rtl/>
              </w:rPr>
              <w:t>מסירת התשובה לעורר</w:t>
            </w:r>
          </w:p>
        </w:tc>
        <w:tc>
          <w:tcPr>
            <w:tcW w:w="1247" w:type="dxa"/>
          </w:tcPr>
          <w:p w14:paraId="5B74D308" w14:textId="77777777" w:rsidR="00290902" w:rsidRDefault="00290902">
            <w:pPr>
              <w:spacing w:line="240" w:lineRule="auto"/>
              <w:rPr>
                <w:sz w:val="24"/>
              </w:rPr>
            </w:pPr>
            <w:r>
              <w:rPr>
                <w:sz w:val="24"/>
                <w:rtl/>
              </w:rPr>
              <w:t xml:space="preserve">סעיף 5 </w:t>
            </w:r>
          </w:p>
        </w:tc>
      </w:tr>
      <w:tr w:rsidR="00290902" w14:paraId="3C10B117" w14:textId="77777777">
        <w:tblPrEx>
          <w:tblCellMar>
            <w:top w:w="0" w:type="dxa"/>
            <w:bottom w:w="0" w:type="dxa"/>
          </w:tblCellMar>
        </w:tblPrEx>
        <w:tc>
          <w:tcPr>
            <w:tcW w:w="850" w:type="dxa"/>
          </w:tcPr>
          <w:p w14:paraId="019D8BC7" w14:textId="77777777" w:rsidR="00290902" w:rsidRDefault="00290902">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407FC74" w14:textId="77777777" w:rsidR="00290902" w:rsidRDefault="00290902">
            <w:pPr>
              <w:spacing w:line="240" w:lineRule="auto"/>
              <w:rPr>
                <w:sz w:val="24"/>
              </w:rPr>
            </w:pPr>
            <w:hyperlink w:anchor="Seif5" w:tooltip="התייצבות בעלי הדין לפני הועדה" w:history="1">
              <w:r>
                <w:rPr>
                  <w:rStyle w:val="Hyperlink"/>
                </w:rPr>
                <w:t>Go</w:t>
              </w:r>
            </w:hyperlink>
          </w:p>
        </w:tc>
        <w:tc>
          <w:tcPr>
            <w:tcW w:w="5669" w:type="dxa"/>
          </w:tcPr>
          <w:p w14:paraId="116CB999" w14:textId="77777777" w:rsidR="00290902" w:rsidRDefault="00290902">
            <w:pPr>
              <w:spacing w:line="240" w:lineRule="auto"/>
              <w:rPr>
                <w:sz w:val="24"/>
                <w:rtl/>
              </w:rPr>
            </w:pPr>
            <w:r>
              <w:rPr>
                <w:sz w:val="24"/>
                <w:rtl/>
              </w:rPr>
              <w:t>התייצבות בעלי הדין לפני הועדה</w:t>
            </w:r>
          </w:p>
        </w:tc>
        <w:tc>
          <w:tcPr>
            <w:tcW w:w="1247" w:type="dxa"/>
          </w:tcPr>
          <w:p w14:paraId="1318DE31" w14:textId="77777777" w:rsidR="00290902" w:rsidRDefault="00290902">
            <w:pPr>
              <w:spacing w:line="240" w:lineRule="auto"/>
              <w:rPr>
                <w:sz w:val="24"/>
              </w:rPr>
            </w:pPr>
            <w:r>
              <w:rPr>
                <w:sz w:val="24"/>
                <w:rtl/>
              </w:rPr>
              <w:t xml:space="preserve">סעיף 6 </w:t>
            </w:r>
          </w:p>
        </w:tc>
      </w:tr>
      <w:tr w:rsidR="00290902" w14:paraId="499C685E" w14:textId="77777777">
        <w:tblPrEx>
          <w:tblCellMar>
            <w:top w:w="0" w:type="dxa"/>
            <w:bottom w:w="0" w:type="dxa"/>
          </w:tblCellMar>
        </w:tblPrEx>
        <w:tc>
          <w:tcPr>
            <w:tcW w:w="850" w:type="dxa"/>
          </w:tcPr>
          <w:p w14:paraId="676692C9" w14:textId="77777777" w:rsidR="00290902" w:rsidRDefault="00290902">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51A1FDB" w14:textId="77777777" w:rsidR="00290902" w:rsidRDefault="00290902">
            <w:pPr>
              <w:spacing w:line="240" w:lineRule="auto"/>
              <w:rPr>
                <w:sz w:val="24"/>
              </w:rPr>
            </w:pPr>
            <w:hyperlink w:anchor="Seif6" w:tooltip="מועד לדיון" w:history="1">
              <w:r>
                <w:rPr>
                  <w:rStyle w:val="Hyperlink"/>
                </w:rPr>
                <w:t>Go</w:t>
              </w:r>
            </w:hyperlink>
          </w:p>
        </w:tc>
        <w:tc>
          <w:tcPr>
            <w:tcW w:w="5669" w:type="dxa"/>
          </w:tcPr>
          <w:p w14:paraId="3644F18C" w14:textId="77777777" w:rsidR="00290902" w:rsidRDefault="00290902">
            <w:pPr>
              <w:spacing w:line="240" w:lineRule="auto"/>
              <w:rPr>
                <w:sz w:val="24"/>
                <w:rtl/>
              </w:rPr>
            </w:pPr>
            <w:r>
              <w:rPr>
                <w:sz w:val="24"/>
                <w:rtl/>
              </w:rPr>
              <w:t>מועד לדיון</w:t>
            </w:r>
          </w:p>
        </w:tc>
        <w:tc>
          <w:tcPr>
            <w:tcW w:w="1247" w:type="dxa"/>
          </w:tcPr>
          <w:p w14:paraId="0DF34B4C" w14:textId="77777777" w:rsidR="00290902" w:rsidRDefault="00290902">
            <w:pPr>
              <w:spacing w:line="240" w:lineRule="auto"/>
              <w:rPr>
                <w:sz w:val="24"/>
              </w:rPr>
            </w:pPr>
            <w:r>
              <w:rPr>
                <w:sz w:val="24"/>
                <w:rtl/>
              </w:rPr>
              <w:t xml:space="preserve">סעיף 7 </w:t>
            </w:r>
          </w:p>
        </w:tc>
      </w:tr>
      <w:tr w:rsidR="00290902" w14:paraId="6CBB948A" w14:textId="77777777">
        <w:tblPrEx>
          <w:tblCellMar>
            <w:top w:w="0" w:type="dxa"/>
            <w:bottom w:w="0" w:type="dxa"/>
          </w:tblCellMar>
        </w:tblPrEx>
        <w:tc>
          <w:tcPr>
            <w:tcW w:w="850" w:type="dxa"/>
          </w:tcPr>
          <w:p w14:paraId="105CBC1D" w14:textId="77777777" w:rsidR="00290902" w:rsidRDefault="00290902">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0A94F78" w14:textId="77777777" w:rsidR="00290902" w:rsidRDefault="00290902">
            <w:pPr>
              <w:spacing w:line="240" w:lineRule="auto"/>
              <w:rPr>
                <w:sz w:val="24"/>
              </w:rPr>
            </w:pPr>
            <w:hyperlink w:anchor="Seif7" w:tooltip="בעל דין שלא התייצב" w:history="1">
              <w:r>
                <w:rPr>
                  <w:rStyle w:val="Hyperlink"/>
                </w:rPr>
                <w:t>Go</w:t>
              </w:r>
            </w:hyperlink>
          </w:p>
        </w:tc>
        <w:tc>
          <w:tcPr>
            <w:tcW w:w="5669" w:type="dxa"/>
          </w:tcPr>
          <w:p w14:paraId="0A5A8B82" w14:textId="77777777" w:rsidR="00290902" w:rsidRDefault="00290902">
            <w:pPr>
              <w:spacing w:line="240" w:lineRule="auto"/>
              <w:rPr>
                <w:sz w:val="24"/>
                <w:rtl/>
              </w:rPr>
            </w:pPr>
            <w:r>
              <w:rPr>
                <w:sz w:val="24"/>
                <w:rtl/>
              </w:rPr>
              <w:t>בעל דין שלא התייצב</w:t>
            </w:r>
          </w:p>
        </w:tc>
        <w:tc>
          <w:tcPr>
            <w:tcW w:w="1247" w:type="dxa"/>
          </w:tcPr>
          <w:p w14:paraId="4EA6B6B1" w14:textId="77777777" w:rsidR="00290902" w:rsidRDefault="00290902">
            <w:pPr>
              <w:spacing w:line="240" w:lineRule="auto"/>
              <w:rPr>
                <w:sz w:val="24"/>
              </w:rPr>
            </w:pPr>
            <w:r>
              <w:rPr>
                <w:sz w:val="24"/>
                <w:rtl/>
              </w:rPr>
              <w:t xml:space="preserve">סעיף 8 </w:t>
            </w:r>
          </w:p>
        </w:tc>
      </w:tr>
      <w:tr w:rsidR="00290902" w14:paraId="190D0B74" w14:textId="77777777">
        <w:tblPrEx>
          <w:tblCellMar>
            <w:top w:w="0" w:type="dxa"/>
            <w:bottom w:w="0" w:type="dxa"/>
          </w:tblCellMar>
        </w:tblPrEx>
        <w:tc>
          <w:tcPr>
            <w:tcW w:w="850" w:type="dxa"/>
          </w:tcPr>
          <w:p w14:paraId="733E7614" w14:textId="77777777" w:rsidR="00290902" w:rsidRDefault="00290902">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E44D886" w14:textId="77777777" w:rsidR="00290902" w:rsidRDefault="00290902">
            <w:pPr>
              <w:spacing w:line="240" w:lineRule="auto"/>
              <w:rPr>
                <w:sz w:val="24"/>
              </w:rPr>
            </w:pPr>
            <w:hyperlink w:anchor="Seif8" w:tooltip="סדר הטיעון" w:history="1">
              <w:r>
                <w:rPr>
                  <w:rStyle w:val="Hyperlink"/>
                </w:rPr>
                <w:t>Go</w:t>
              </w:r>
            </w:hyperlink>
          </w:p>
        </w:tc>
        <w:tc>
          <w:tcPr>
            <w:tcW w:w="5669" w:type="dxa"/>
          </w:tcPr>
          <w:p w14:paraId="72335EE0" w14:textId="77777777" w:rsidR="00290902" w:rsidRDefault="00290902">
            <w:pPr>
              <w:spacing w:line="240" w:lineRule="auto"/>
              <w:rPr>
                <w:sz w:val="24"/>
                <w:rtl/>
              </w:rPr>
            </w:pPr>
            <w:r>
              <w:rPr>
                <w:sz w:val="24"/>
                <w:rtl/>
              </w:rPr>
              <w:t>סדר הטיעון</w:t>
            </w:r>
          </w:p>
        </w:tc>
        <w:tc>
          <w:tcPr>
            <w:tcW w:w="1247" w:type="dxa"/>
          </w:tcPr>
          <w:p w14:paraId="37CB9B2E" w14:textId="77777777" w:rsidR="00290902" w:rsidRDefault="00290902">
            <w:pPr>
              <w:spacing w:line="240" w:lineRule="auto"/>
              <w:rPr>
                <w:sz w:val="24"/>
              </w:rPr>
            </w:pPr>
            <w:r>
              <w:rPr>
                <w:sz w:val="24"/>
                <w:rtl/>
              </w:rPr>
              <w:t xml:space="preserve">סעיף 9 </w:t>
            </w:r>
          </w:p>
        </w:tc>
      </w:tr>
      <w:tr w:rsidR="00290902" w14:paraId="3C0BBB3C" w14:textId="77777777">
        <w:tblPrEx>
          <w:tblCellMar>
            <w:top w:w="0" w:type="dxa"/>
            <w:bottom w:w="0" w:type="dxa"/>
          </w:tblCellMar>
        </w:tblPrEx>
        <w:tc>
          <w:tcPr>
            <w:tcW w:w="850" w:type="dxa"/>
          </w:tcPr>
          <w:p w14:paraId="247D2F85" w14:textId="77777777" w:rsidR="00290902" w:rsidRDefault="00290902">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7194B4A4" w14:textId="77777777" w:rsidR="00290902" w:rsidRDefault="00290902">
            <w:pPr>
              <w:spacing w:line="240" w:lineRule="auto"/>
              <w:rPr>
                <w:sz w:val="24"/>
              </w:rPr>
            </w:pPr>
            <w:hyperlink w:anchor="Seif9" w:tooltip="שמיעת עדים" w:history="1">
              <w:r>
                <w:rPr>
                  <w:rStyle w:val="Hyperlink"/>
                </w:rPr>
                <w:t>Go</w:t>
              </w:r>
            </w:hyperlink>
          </w:p>
        </w:tc>
        <w:tc>
          <w:tcPr>
            <w:tcW w:w="5669" w:type="dxa"/>
          </w:tcPr>
          <w:p w14:paraId="70E2E1AD" w14:textId="77777777" w:rsidR="00290902" w:rsidRDefault="00290902">
            <w:pPr>
              <w:spacing w:line="240" w:lineRule="auto"/>
              <w:rPr>
                <w:sz w:val="24"/>
                <w:rtl/>
              </w:rPr>
            </w:pPr>
            <w:r>
              <w:rPr>
                <w:sz w:val="24"/>
                <w:rtl/>
              </w:rPr>
              <w:t>שמיעת עדים</w:t>
            </w:r>
          </w:p>
        </w:tc>
        <w:tc>
          <w:tcPr>
            <w:tcW w:w="1247" w:type="dxa"/>
          </w:tcPr>
          <w:p w14:paraId="4AF88B7B" w14:textId="77777777" w:rsidR="00290902" w:rsidRDefault="00290902">
            <w:pPr>
              <w:spacing w:line="240" w:lineRule="auto"/>
              <w:rPr>
                <w:sz w:val="24"/>
              </w:rPr>
            </w:pPr>
            <w:r>
              <w:rPr>
                <w:sz w:val="24"/>
                <w:rtl/>
              </w:rPr>
              <w:t xml:space="preserve">סעיף 10 </w:t>
            </w:r>
          </w:p>
        </w:tc>
      </w:tr>
      <w:tr w:rsidR="00290902" w14:paraId="5C5B4E68" w14:textId="77777777">
        <w:tblPrEx>
          <w:tblCellMar>
            <w:top w:w="0" w:type="dxa"/>
            <w:bottom w:w="0" w:type="dxa"/>
          </w:tblCellMar>
        </w:tblPrEx>
        <w:tc>
          <w:tcPr>
            <w:tcW w:w="850" w:type="dxa"/>
          </w:tcPr>
          <w:p w14:paraId="291AC690" w14:textId="77777777" w:rsidR="00290902" w:rsidRDefault="00290902">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03404D05" w14:textId="77777777" w:rsidR="00290902" w:rsidRDefault="00290902">
            <w:pPr>
              <w:spacing w:line="240" w:lineRule="auto"/>
              <w:rPr>
                <w:sz w:val="24"/>
              </w:rPr>
            </w:pPr>
            <w:hyperlink w:anchor="Seif10" w:tooltip="דחיית הדיון" w:history="1">
              <w:r>
                <w:rPr>
                  <w:rStyle w:val="Hyperlink"/>
                </w:rPr>
                <w:t>Go</w:t>
              </w:r>
            </w:hyperlink>
          </w:p>
        </w:tc>
        <w:tc>
          <w:tcPr>
            <w:tcW w:w="5669" w:type="dxa"/>
          </w:tcPr>
          <w:p w14:paraId="54D76FF6" w14:textId="77777777" w:rsidR="00290902" w:rsidRDefault="00290902">
            <w:pPr>
              <w:spacing w:line="240" w:lineRule="auto"/>
              <w:rPr>
                <w:sz w:val="24"/>
                <w:rtl/>
              </w:rPr>
            </w:pPr>
            <w:r>
              <w:rPr>
                <w:sz w:val="24"/>
                <w:rtl/>
              </w:rPr>
              <w:t>דחיית הדיון</w:t>
            </w:r>
          </w:p>
        </w:tc>
        <w:tc>
          <w:tcPr>
            <w:tcW w:w="1247" w:type="dxa"/>
          </w:tcPr>
          <w:p w14:paraId="67EF2495" w14:textId="77777777" w:rsidR="00290902" w:rsidRDefault="00290902">
            <w:pPr>
              <w:spacing w:line="240" w:lineRule="auto"/>
              <w:rPr>
                <w:sz w:val="24"/>
              </w:rPr>
            </w:pPr>
            <w:r>
              <w:rPr>
                <w:sz w:val="24"/>
                <w:rtl/>
              </w:rPr>
              <w:t xml:space="preserve">סעיף 11 </w:t>
            </w:r>
          </w:p>
        </w:tc>
      </w:tr>
      <w:tr w:rsidR="00290902" w14:paraId="23298A12" w14:textId="77777777">
        <w:tblPrEx>
          <w:tblCellMar>
            <w:top w:w="0" w:type="dxa"/>
            <w:bottom w:w="0" w:type="dxa"/>
          </w:tblCellMar>
        </w:tblPrEx>
        <w:tc>
          <w:tcPr>
            <w:tcW w:w="850" w:type="dxa"/>
          </w:tcPr>
          <w:p w14:paraId="35DBC34C" w14:textId="77777777" w:rsidR="00290902" w:rsidRDefault="00290902">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4AE01A71" w14:textId="77777777" w:rsidR="00290902" w:rsidRDefault="00290902">
            <w:pPr>
              <w:spacing w:line="240" w:lineRule="auto"/>
              <w:rPr>
                <w:sz w:val="24"/>
              </w:rPr>
            </w:pPr>
            <w:hyperlink w:anchor="Seif11" w:tooltip="תצהיר" w:history="1">
              <w:r>
                <w:rPr>
                  <w:rStyle w:val="Hyperlink"/>
                </w:rPr>
                <w:t>Go</w:t>
              </w:r>
            </w:hyperlink>
          </w:p>
        </w:tc>
        <w:tc>
          <w:tcPr>
            <w:tcW w:w="5669" w:type="dxa"/>
          </w:tcPr>
          <w:p w14:paraId="1263471B" w14:textId="77777777" w:rsidR="00290902" w:rsidRDefault="00290902">
            <w:pPr>
              <w:spacing w:line="240" w:lineRule="auto"/>
              <w:rPr>
                <w:sz w:val="24"/>
                <w:rtl/>
              </w:rPr>
            </w:pPr>
            <w:r>
              <w:rPr>
                <w:sz w:val="24"/>
                <w:rtl/>
              </w:rPr>
              <w:t>תצהיר</w:t>
            </w:r>
          </w:p>
        </w:tc>
        <w:tc>
          <w:tcPr>
            <w:tcW w:w="1247" w:type="dxa"/>
          </w:tcPr>
          <w:p w14:paraId="05AB996C" w14:textId="77777777" w:rsidR="00290902" w:rsidRDefault="00290902">
            <w:pPr>
              <w:spacing w:line="240" w:lineRule="auto"/>
              <w:rPr>
                <w:sz w:val="24"/>
              </w:rPr>
            </w:pPr>
            <w:r>
              <w:rPr>
                <w:sz w:val="24"/>
                <w:rtl/>
              </w:rPr>
              <w:t xml:space="preserve">סעיף 12 </w:t>
            </w:r>
          </w:p>
        </w:tc>
      </w:tr>
      <w:tr w:rsidR="00290902" w14:paraId="3C3E5872" w14:textId="77777777">
        <w:tblPrEx>
          <w:tblCellMar>
            <w:top w:w="0" w:type="dxa"/>
            <w:bottom w:w="0" w:type="dxa"/>
          </w:tblCellMar>
        </w:tblPrEx>
        <w:tc>
          <w:tcPr>
            <w:tcW w:w="850" w:type="dxa"/>
          </w:tcPr>
          <w:p w14:paraId="0BA2931C" w14:textId="77777777" w:rsidR="00290902" w:rsidRDefault="00290902">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76F23FFB" w14:textId="77777777" w:rsidR="00290902" w:rsidRDefault="00290902">
            <w:pPr>
              <w:spacing w:line="240" w:lineRule="auto"/>
              <w:rPr>
                <w:sz w:val="24"/>
              </w:rPr>
            </w:pPr>
            <w:hyperlink w:anchor="Seif12" w:tooltip="חקירת תצהיר" w:history="1">
              <w:r>
                <w:rPr>
                  <w:rStyle w:val="Hyperlink"/>
                </w:rPr>
                <w:t>Go</w:t>
              </w:r>
            </w:hyperlink>
          </w:p>
        </w:tc>
        <w:tc>
          <w:tcPr>
            <w:tcW w:w="5669" w:type="dxa"/>
          </w:tcPr>
          <w:p w14:paraId="468D83D5" w14:textId="77777777" w:rsidR="00290902" w:rsidRDefault="00290902">
            <w:pPr>
              <w:spacing w:line="240" w:lineRule="auto"/>
              <w:rPr>
                <w:sz w:val="24"/>
                <w:rtl/>
              </w:rPr>
            </w:pPr>
            <w:r>
              <w:rPr>
                <w:sz w:val="24"/>
                <w:rtl/>
              </w:rPr>
              <w:t>חקירת תצהיר</w:t>
            </w:r>
          </w:p>
        </w:tc>
        <w:tc>
          <w:tcPr>
            <w:tcW w:w="1247" w:type="dxa"/>
          </w:tcPr>
          <w:p w14:paraId="3E0761C3" w14:textId="77777777" w:rsidR="00290902" w:rsidRDefault="00290902">
            <w:pPr>
              <w:spacing w:line="240" w:lineRule="auto"/>
              <w:rPr>
                <w:sz w:val="24"/>
              </w:rPr>
            </w:pPr>
            <w:r>
              <w:rPr>
                <w:sz w:val="24"/>
                <w:rtl/>
              </w:rPr>
              <w:t xml:space="preserve">סעיף 13 </w:t>
            </w:r>
          </w:p>
        </w:tc>
      </w:tr>
      <w:tr w:rsidR="00290902" w14:paraId="52901525" w14:textId="77777777">
        <w:tblPrEx>
          <w:tblCellMar>
            <w:top w:w="0" w:type="dxa"/>
            <w:bottom w:w="0" w:type="dxa"/>
          </w:tblCellMar>
        </w:tblPrEx>
        <w:tc>
          <w:tcPr>
            <w:tcW w:w="850" w:type="dxa"/>
          </w:tcPr>
          <w:p w14:paraId="3ED3E8C1" w14:textId="77777777" w:rsidR="00290902" w:rsidRDefault="00290902">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6294F7B2" w14:textId="77777777" w:rsidR="00290902" w:rsidRDefault="00290902">
            <w:pPr>
              <w:spacing w:line="240" w:lineRule="auto"/>
              <w:rPr>
                <w:sz w:val="24"/>
              </w:rPr>
            </w:pPr>
            <w:hyperlink w:anchor="Seif13" w:tooltip="תצהיר כראיה" w:history="1">
              <w:r>
                <w:rPr>
                  <w:rStyle w:val="Hyperlink"/>
                </w:rPr>
                <w:t>Go</w:t>
              </w:r>
            </w:hyperlink>
          </w:p>
        </w:tc>
        <w:tc>
          <w:tcPr>
            <w:tcW w:w="5669" w:type="dxa"/>
          </w:tcPr>
          <w:p w14:paraId="07EF61BA" w14:textId="77777777" w:rsidR="00290902" w:rsidRDefault="00290902">
            <w:pPr>
              <w:spacing w:line="240" w:lineRule="auto"/>
              <w:rPr>
                <w:sz w:val="24"/>
                <w:rtl/>
              </w:rPr>
            </w:pPr>
            <w:r>
              <w:rPr>
                <w:sz w:val="24"/>
                <w:rtl/>
              </w:rPr>
              <w:t>תצהיר כראיה</w:t>
            </w:r>
          </w:p>
        </w:tc>
        <w:tc>
          <w:tcPr>
            <w:tcW w:w="1247" w:type="dxa"/>
          </w:tcPr>
          <w:p w14:paraId="0584CBEE" w14:textId="77777777" w:rsidR="00290902" w:rsidRDefault="00290902">
            <w:pPr>
              <w:spacing w:line="240" w:lineRule="auto"/>
              <w:rPr>
                <w:sz w:val="24"/>
              </w:rPr>
            </w:pPr>
            <w:r>
              <w:rPr>
                <w:sz w:val="24"/>
                <w:rtl/>
              </w:rPr>
              <w:t xml:space="preserve">סעיף 14 </w:t>
            </w:r>
          </w:p>
        </w:tc>
      </w:tr>
      <w:tr w:rsidR="00290902" w14:paraId="41E23AD0" w14:textId="77777777">
        <w:tblPrEx>
          <w:tblCellMar>
            <w:top w:w="0" w:type="dxa"/>
            <w:bottom w:w="0" w:type="dxa"/>
          </w:tblCellMar>
        </w:tblPrEx>
        <w:tc>
          <w:tcPr>
            <w:tcW w:w="850" w:type="dxa"/>
          </w:tcPr>
          <w:p w14:paraId="7C88024E" w14:textId="77777777" w:rsidR="00290902" w:rsidRDefault="00290902">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08CD70B0" w14:textId="77777777" w:rsidR="00290902" w:rsidRDefault="00290902">
            <w:pPr>
              <w:spacing w:line="240" w:lineRule="auto"/>
              <w:rPr>
                <w:sz w:val="24"/>
              </w:rPr>
            </w:pPr>
            <w:hyperlink w:anchor="Seif14" w:tooltip="הגבלת הדיון לנימוקים שצויינו" w:history="1">
              <w:r>
                <w:rPr>
                  <w:rStyle w:val="Hyperlink"/>
                </w:rPr>
                <w:t>Go</w:t>
              </w:r>
            </w:hyperlink>
          </w:p>
        </w:tc>
        <w:tc>
          <w:tcPr>
            <w:tcW w:w="5669" w:type="dxa"/>
          </w:tcPr>
          <w:p w14:paraId="4C68B746" w14:textId="77777777" w:rsidR="00290902" w:rsidRDefault="00290902">
            <w:pPr>
              <w:spacing w:line="240" w:lineRule="auto"/>
              <w:rPr>
                <w:sz w:val="24"/>
                <w:rtl/>
              </w:rPr>
            </w:pPr>
            <w:r>
              <w:rPr>
                <w:sz w:val="24"/>
                <w:rtl/>
              </w:rPr>
              <w:t>הגבלת הדיון לנימוקים שצויינו</w:t>
            </w:r>
          </w:p>
        </w:tc>
        <w:tc>
          <w:tcPr>
            <w:tcW w:w="1247" w:type="dxa"/>
          </w:tcPr>
          <w:p w14:paraId="684BE021" w14:textId="77777777" w:rsidR="00290902" w:rsidRDefault="00290902">
            <w:pPr>
              <w:spacing w:line="240" w:lineRule="auto"/>
              <w:rPr>
                <w:sz w:val="24"/>
              </w:rPr>
            </w:pPr>
            <w:r>
              <w:rPr>
                <w:sz w:val="24"/>
                <w:rtl/>
              </w:rPr>
              <w:t xml:space="preserve">סעיף 15 </w:t>
            </w:r>
          </w:p>
        </w:tc>
      </w:tr>
      <w:tr w:rsidR="00290902" w14:paraId="21EA7DA3" w14:textId="77777777">
        <w:tblPrEx>
          <w:tblCellMar>
            <w:top w:w="0" w:type="dxa"/>
            <w:bottom w:w="0" w:type="dxa"/>
          </w:tblCellMar>
        </w:tblPrEx>
        <w:tc>
          <w:tcPr>
            <w:tcW w:w="850" w:type="dxa"/>
          </w:tcPr>
          <w:p w14:paraId="1EF71BD3" w14:textId="77777777" w:rsidR="00290902" w:rsidRDefault="00290902">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08F33477" w14:textId="77777777" w:rsidR="00290902" w:rsidRDefault="00290902">
            <w:pPr>
              <w:spacing w:line="240" w:lineRule="auto"/>
              <w:rPr>
                <w:sz w:val="24"/>
              </w:rPr>
            </w:pPr>
            <w:hyperlink w:anchor="Seif15" w:tooltip="פרטים נוספים" w:history="1">
              <w:r>
                <w:rPr>
                  <w:rStyle w:val="Hyperlink"/>
                </w:rPr>
                <w:t>Go</w:t>
              </w:r>
            </w:hyperlink>
          </w:p>
        </w:tc>
        <w:tc>
          <w:tcPr>
            <w:tcW w:w="5669" w:type="dxa"/>
          </w:tcPr>
          <w:p w14:paraId="75305F4B" w14:textId="77777777" w:rsidR="00290902" w:rsidRDefault="00290902">
            <w:pPr>
              <w:spacing w:line="240" w:lineRule="auto"/>
              <w:rPr>
                <w:sz w:val="24"/>
                <w:rtl/>
              </w:rPr>
            </w:pPr>
            <w:r>
              <w:rPr>
                <w:sz w:val="24"/>
                <w:rtl/>
              </w:rPr>
              <w:t>פרטים נוספים</w:t>
            </w:r>
          </w:p>
        </w:tc>
        <w:tc>
          <w:tcPr>
            <w:tcW w:w="1247" w:type="dxa"/>
          </w:tcPr>
          <w:p w14:paraId="5BC4A493" w14:textId="77777777" w:rsidR="00290902" w:rsidRDefault="00290902">
            <w:pPr>
              <w:spacing w:line="240" w:lineRule="auto"/>
              <w:rPr>
                <w:sz w:val="24"/>
              </w:rPr>
            </w:pPr>
            <w:r>
              <w:rPr>
                <w:sz w:val="24"/>
                <w:rtl/>
              </w:rPr>
              <w:t xml:space="preserve">סעיף 16 </w:t>
            </w:r>
          </w:p>
        </w:tc>
      </w:tr>
      <w:tr w:rsidR="00290902" w14:paraId="0C654CEE" w14:textId="77777777">
        <w:tblPrEx>
          <w:tblCellMar>
            <w:top w:w="0" w:type="dxa"/>
            <w:bottom w:w="0" w:type="dxa"/>
          </w:tblCellMar>
        </w:tblPrEx>
        <w:tc>
          <w:tcPr>
            <w:tcW w:w="850" w:type="dxa"/>
          </w:tcPr>
          <w:p w14:paraId="3BE28EB6" w14:textId="77777777" w:rsidR="00290902" w:rsidRDefault="00290902">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7D89B44E" w14:textId="77777777" w:rsidR="00290902" w:rsidRDefault="00290902">
            <w:pPr>
              <w:spacing w:line="240" w:lineRule="auto"/>
              <w:rPr>
                <w:sz w:val="24"/>
              </w:rPr>
            </w:pPr>
            <w:hyperlink w:anchor="Seif16" w:tooltip="מיזוג עררים" w:history="1">
              <w:r>
                <w:rPr>
                  <w:rStyle w:val="Hyperlink"/>
                </w:rPr>
                <w:t>Go</w:t>
              </w:r>
            </w:hyperlink>
          </w:p>
        </w:tc>
        <w:tc>
          <w:tcPr>
            <w:tcW w:w="5669" w:type="dxa"/>
          </w:tcPr>
          <w:p w14:paraId="26D70C86" w14:textId="77777777" w:rsidR="00290902" w:rsidRDefault="00290902">
            <w:pPr>
              <w:spacing w:line="240" w:lineRule="auto"/>
              <w:rPr>
                <w:sz w:val="24"/>
                <w:rtl/>
              </w:rPr>
            </w:pPr>
            <w:r>
              <w:rPr>
                <w:sz w:val="24"/>
                <w:rtl/>
              </w:rPr>
              <w:t>מיזוג עררים</w:t>
            </w:r>
          </w:p>
        </w:tc>
        <w:tc>
          <w:tcPr>
            <w:tcW w:w="1247" w:type="dxa"/>
          </w:tcPr>
          <w:p w14:paraId="230831A5" w14:textId="77777777" w:rsidR="00290902" w:rsidRDefault="00290902">
            <w:pPr>
              <w:spacing w:line="240" w:lineRule="auto"/>
              <w:rPr>
                <w:sz w:val="24"/>
              </w:rPr>
            </w:pPr>
            <w:r>
              <w:rPr>
                <w:sz w:val="24"/>
                <w:rtl/>
              </w:rPr>
              <w:t xml:space="preserve">סעיף 17 </w:t>
            </w:r>
          </w:p>
        </w:tc>
      </w:tr>
      <w:tr w:rsidR="00290902" w14:paraId="685E2BF4" w14:textId="77777777">
        <w:tblPrEx>
          <w:tblCellMar>
            <w:top w:w="0" w:type="dxa"/>
            <w:bottom w:w="0" w:type="dxa"/>
          </w:tblCellMar>
        </w:tblPrEx>
        <w:tc>
          <w:tcPr>
            <w:tcW w:w="850" w:type="dxa"/>
          </w:tcPr>
          <w:p w14:paraId="2544EC9A" w14:textId="77777777" w:rsidR="00290902" w:rsidRDefault="00290902">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603594E1" w14:textId="77777777" w:rsidR="00290902" w:rsidRDefault="00290902">
            <w:pPr>
              <w:spacing w:line="240" w:lineRule="auto"/>
              <w:rPr>
                <w:sz w:val="24"/>
              </w:rPr>
            </w:pPr>
            <w:hyperlink w:anchor="Seif17" w:tooltip="החלטת הועדה" w:history="1">
              <w:r>
                <w:rPr>
                  <w:rStyle w:val="Hyperlink"/>
                </w:rPr>
                <w:t>Go</w:t>
              </w:r>
            </w:hyperlink>
          </w:p>
        </w:tc>
        <w:tc>
          <w:tcPr>
            <w:tcW w:w="5669" w:type="dxa"/>
          </w:tcPr>
          <w:p w14:paraId="029D59C7" w14:textId="77777777" w:rsidR="00290902" w:rsidRDefault="00290902">
            <w:pPr>
              <w:spacing w:line="240" w:lineRule="auto"/>
              <w:rPr>
                <w:sz w:val="24"/>
                <w:rtl/>
              </w:rPr>
            </w:pPr>
            <w:r>
              <w:rPr>
                <w:sz w:val="24"/>
                <w:rtl/>
              </w:rPr>
              <w:t>החלטת הועדה</w:t>
            </w:r>
          </w:p>
        </w:tc>
        <w:tc>
          <w:tcPr>
            <w:tcW w:w="1247" w:type="dxa"/>
          </w:tcPr>
          <w:p w14:paraId="6989D931" w14:textId="77777777" w:rsidR="00290902" w:rsidRDefault="00290902">
            <w:pPr>
              <w:spacing w:line="240" w:lineRule="auto"/>
              <w:rPr>
                <w:sz w:val="24"/>
              </w:rPr>
            </w:pPr>
            <w:r>
              <w:rPr>
                <w:sz w:val="24"/>
                <w:rtl/>
              </w:rPr>
              <w:t xml:space="preserve">סעיף 18 </w:t>
            </w:r>
          </w:p>
        </w:tc>
      </w:tr>
      <w:tr w:rsidR="00290902" w14:paraId="571DCC4D" w14:textId="77777777">
        <w:tblPrEx>
          <w:tblCellMar>
            <w:top w:w="0" w:type="dxa"/>
            <w:bottom w:w="0" w:type="dxa"/>
          </w:tblCellMar>
        </w:tblPrEx>
        <w:tc>
          <w:tcPr>
            <w:tcW w:w="850" w:type="dxa"/>
          </w:tcPr>
          <w:p w14:paraId="7FC929D8" w14:textId="77777777" w:rsidR="00290902" w:rsidRDefault="00290902">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63574D7C" w14:textId="77777777" w:rsidR="00290902" w:rsidRDefault="00290902">
            <w:pPr>
              <w:spacing w:line="240" w:lineRule="auto"/>
              <w:rPr>
                <w:sz w:val="24"/>
              </w:rPr>
            </w:pPr>
            <w:hyperlink w:anchor="Seif18" w:tooltip="פרוטוקול" w:history="1">
              <w:r>
                <w:rPr>
                  <w:rStyle w:val="Hyperlink"/>
                </w:rPr>
                <w:t>Go</w:t>
              </w:r>
            </w:hyperlink>
          </w:p>
        </w:tc>
        <w:tc>
          <w:tcPr>
            <w:tcW w:w="5669" w:type="dxa"/>
          </w:tcPr>
          <w:p w14:paraId="27447E5E" w14:textId="77777777" w:rsidR="00290902" w:rsidRDefault="00290902">
            <w:pPr>
              <w:spacing w:line="240" w:lineRule="auto"/>
              <w:rPr>
                <w:sz w:val="24"/>
                <w:rtl/>
              </w:rPr>
            </w:pPr>
            <w:r>
              <w:rPr>
                <w:sz w:val="24"/>
                <w:rtl/>
              </w:rPr>
              <w:t>פרוטוקול</w:t>
            </w:r>
          </w:p>
        </w:tc>
        <w:tc>
          <w:tcPr>
            <w:tcW w:w="1247" w:type="dxa"/>
          </w:tcPr>
          <w:p w14:paraId="09B09A58" w14:textId="77777777" w:rsidR="00290902" w:rsidRDefault="00290902">
            <w:pPr>
              <w:spacing w:line="240" w:lineRule="auto"/>
              <w:rPr>
                <w:sz w:val="24"/>
              </w:rPr>
            </w:pPr>
            <w:r>
              <w:rPr>
                <w:sz w:val="24"/>
                <w:rtl/>
              </w:rPr>
              <w:t xml:space="preserve">סעיף 19 </w:t>
            </w:r>
          </w:p>
        </w:tc>
      </w:tr>
      <w:tr w:rsidR="00290902" w14:paraId="717A64F5" w14:textId="77777777">
        <w:tblPrEx>
          <w:tblCellMar>
            <w:top w:w="0" w:type="dxa"/>
            <w:bottom w:w="0" w:type="dxa"/>
          </w:tblCellMar>
        </w:tblPrEx>
        <w:tc>
          <w:tcPr>
            <w:tcW w:w="850" w:type="dxa"/>
          </w:tcPr>
          <w:p w14:paraId="2D3397DD" w14:textId="77777777" w:rsidR="00290902" w:rsidRDefault="00290902">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2F55D6B9" w14:textId="77777777" w:rsidR="00290902" w:rsidRDefault="00290902">
            <w:pPr>
              <w:spacing w:line="240" w:lineRule="auto"/>
              <w:rPr>
                <w:sz w:val="24"/>
              </w:rPr>
            </w:pPr>
            <w:hyperlink w:anchor="Seif19" w:tooltip="מסירת העתק ההחלטה" w:history="1">
              <w:r>
                <w:rPr>
                  <w:rStyle w:val="Hyperlink"/>
                </w:rPr>
                <w:t>Go</w:t>
              </w:r>
            </w:hyperlink>
          </w:p>
        </w:tc>
        <w:tc>
          <w:tcPr>
            <w:tcW w:w="5669" w:type="dxa"/>
          </w:tcPr>
          <w:p w14:paraId="0B1B3E18" w14:textId="77777777" w:rsidR="00290902" w:rsidRDefault="00290902">
            <w:pPr>
              <w:spacing w:line="240" w:lineRule="auto"/>
              <w:rPr>
                <w:sz w:val="24"/>
                <w:rtl/>
              </w:rPr>
            </w:pPr>
            <w:r>
              <w:rPr>
                <w:sz w:val="24"/>
                <w:rtl/>
              </w:rPr>
              <w:t>מסירת העתק ההחלטה</w:t>
            </w:r>
          </w:p>
        </w:tc>
        <w:tc>
          <w:tcPr>
            <w:tcW w:w="1247" w:type="dxa"/>
          </w:tcPr>
          <w:p w14:paraId="2F29CBC1" w14:textId="77777777" w:rsidR="00290902" w:rsidRDefault="00290902">
            <w:pPr>
              <w:spacing w:line="240" w:lineRule="auto"/>
              <w:rPr>
                <w:sz w:val="24"/>
              </w:rPr>
            </w:pPr>
            <w:r>
              <w:rPr>
                <w:sz w:val="24"/>
                <w:rtl/>
              </w:rPr>
              <w:t xml:space="preserve">סעיף 20 </w:t>
            </w:r>
          </w:p>
        </w:tc>
      </w:tr>
      <w:tr w:rsidR="00290902" w14:paraId="66455BF0" w14:textId="77777777">
        <w:tblPrEx>
          <w:tblCellMar>
            <w:top w:w="0" w:type="dxa"/>
            <w:bottom w:w="0" w:type="dxa"/>
          </w:tblCellMar>
        </w:tblPrEx>
        <w:tc>
          <w:tcPr>
            <w:tcW w:w="850" w:type="dxa"/>
          </w:tcPr>
          <w:p w14:paraId="7F7FED88" w14:textId="77777777" w:rsidR="00290902" w:rsidRDefault="00290902">
            <w:pPr>
              <w:spacing w:line="240" w:lineRule="auto"/>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69C87536" w14:textId="77777777" w:rsidR="00290902" w:rsidRDefault="00290902">
            <w:pPr>
              <w:spacing w:line="240" w:lineRule="auto"/>
              <w:rPr>
                <w:sz w:val="24"/>
              </w:rPr>
            </w:pPr>
            <w:hyperlink w:anchor="Seif20" w:tooltip="הארכת מועדים תט תשלט 1979" w:history="1">
              <w:r>
                <w:rPr>
                  <w:rStyle w:val="Hyperlink"/>
                </w:rPr>
                <w:t>Go</w:t>
              </w:r>
            </w:hyperlink>
          </w:p>
        </w:tc>
        <w:tc>
          <w:tcPr>
            <w:tcW w:w="5669" w:type="dxa"/>
          </w:tcPr>
          <w:p w14:paraId="4A458DBB" w14:textId="77777777" w:rsidR="00290902" w:rsidRDefault="00290902">
            <w:pPr>
              <w:spacing w:line="240" w:lineRule="auto"/>
              <w:rPr>
                <w:sz w:val="24"/>
                <w:rtl/>
              </w:rPr>
            </w:pPr>
            <w:r>
              <w:rPr>
                <w:sz w:val="24"/>
                <w:rtl/>
              </w:rPr>
              <w:t>הארכת מועדים תט תשלט 1979</w:t>
            </w:r>
          </w:p>
        </w:tc>
        <w:tc>
          <w:tcPr>
            <w:tcW w:w="1247" w:type="dxa"/>
          </w:tcPr>
          <w:p w14:paraId="695B1519" w14:textId="77777777" w:rsidR="00290902" w:rsidRDefault="00290902">
            <w:pPr>
              <w:spacing w:line="240" w:lineRule="auto"/>
              <w:rPr>
                <w:sz w:val="24"/>
              </w:rPr>
            </w:pPr>
            <w:r>
              <w:rPr>
                <w:sz w:val="24"/>
                <w:rtl/>
              </w:rPr>
              <w:t xml:space="preserve">סעיף 21 </w:t>
            </w:r>
          </w:p>
        </w:tc>
      </w:tr>
      <w:tr w:rsidR="00290902" w14:paraId="11BE8C04" w14:textId="77777777">
        <w:tblPrEx>
          <w:tblCellMar>
            <w:top w:w="0" w:type="dxa"/>
            <w:bottom w:w="0" w:type="dxa"/>
          </w:tblCellMar>
        </w:tblPrEx>
        <w:tc>
          <w:tcPr>
            <w:tcW w:w="850" w:type="dxa"/>
          </w:tcPr>
          <w:p w14:paraId="0DE4E9B2" w14:textId="77777777" w:rsidR="00290902" w:rsidRDefault="00290902">
            <w:pPr>
              <w:spacing w:line="240" w:lineRule="auto"/>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21E60D89" w14:textId="77777777" w:rsidR="00290902" w:rsidRDefault="00290902">
            <w:pPr>
              <w:spacing w:line="240" w:lineRule="auto"/>
              <w:rPr>
                <w:sz w:val="24"/>
              </w:rPr>
            </w:pPr>
            <w:hyperlink w:anchor="Seif21" w:tooltip="אופן מסירת מסמכים על ידי הועדה" w:history="1">
              <w:r>
                <w:rPr>
                  <w:rStyle w:val="Hyperlink"/>
                </w:rPr>
                <w:t>Go</w:t>
              </w:r>
            </w:hyperlink>
          </w:p>
        </w:tc>
        <w:tc>
          <w:tcPr>
            <w:tcW w:w="5669" w:type="dxa"/>
          </w:tcPr>
          <w:p w14:paraId="11A1F945" w14:textId="77777777" w:rsidR="00290902" w:rsidRDefault="00290902">
            <w:pPr>
              <w:spacing w:line="240" w:lineRule="auto"/>
              <w:rPr>
                <w:sz w:val="24"/>
                <w:rtl/>
              </w:rPr>
            </w:pPr>
            <w:r>
              <w:rPr>
                <w:sz w:val="24"/>
                <w:rtl/>
              </w:rPr>
              <w:t>אופן מסירת מסמכים על ידי הועדה</w:t>
            </w:r>
          </w:p>
        </w:tc>
        <w:tc>
          <w:tcPr>
            <w:tcW w:w="1247" w:type="dxa"/>
          </w:tcPr>
          <w:p w14:paraId="0DE47DE6" w14:textId="77777777" w:rsidR="00290902" w:rsidRDefault="00290902">
            <w:pPr>
              <w:spacing w:line="240" w:lineRule="auto"/>
              <w:rPr>
                <w:sz w:val="24"/>
              </w:rPr>
            </w:pPr>
            <w:r>
              <w:rPr>
                <w:sz w:val="24"/>
                <w:rtl/>
              </w:rPr>
              <w:t xml:space="preserve">סעיף 22 </w:t>
            </w:r>
          </w:p>
        </w:tc>
      </w:tr>
      <w:tr w:rsidR="00290902" w14:paraId="2235C94B" w14:textId="77777777">
        <w:tblPrEx>
          <w:tblCellMar>
            <w:top w:w="0" w:type="dxa"/>
            <w:bottom w:w="0" w:type="dxa"/>
          </w:tblCellMar>
        </w:tblPrEx>
        <w:tc>
          <w:tcPr>
            <w:tcW w:w="850" w:type="dxa"/>
          </w:tcPr>
          <w:p w14:paraId="560E366A" w14:textId="77777777" w:rsidR="00290902" w:rsidRDefault="00290902">
            <w:pPr>
              <w:spacing w:line="240" w:lineRule="auto"/>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7A4A6CDA" w14:textId="77777777" w:rsidR="00290902" w:rsidRDefault="00290902">
            <w:pPr>
              <w:spacing w:line="240" w:lineRule="auto"/>
              <w:rPr>
                <w:sz w:val="24"/>
              </w:rPr>
            </w:pPr>
            <w:hyperlink w:anchor="Seif22" w:tooltip="ערר או תשובה שהוגשו באיחור" w:history="1">
              <w:r>
                <w:rPr>
                  <w:rStyle w:val="Hyperlink"/>
                </w:rPr>
                <w:t>Go</w:t>
              </w:r>
            </w:hyperlink>
          </w:p>
        </w:tc>
        <w:tc>
          <w:tcPr>
            <w:tcW w:w="5669" w:type="dxa"/>
          </w:tcPr>
          <w:p w14:paraId="143EDA10" w14:textId="77777777" w:rsidR="00290902" w:rsidRDefault="00290902">
            <w:pPr>
              <w:spacing w:line="240" w:lineRule="auto"/>
              <w:rPr>
                <w:sz w:val="24"/>
                <w:rtl/>
              </w:rPr>
            </w:pPr>
            <w:r>
              <w:rPr>
                <w:sz w:val="24"/>
                <w:rtl/>
              </w:rPr>
              <w:t>ערר או תשובה שהוגשו באיחור</w:t>
            </w:r>
          </w:p>
        </w:tc>
        <w:tc>
          <w:tcPr>
            <w:tcW w:w="1247" w:type="dxa"/>
          </w:tcPr>
          <w:p w14:paraId="4A405CD2" w14:textId="77777777" w:rsidR="00290902" w:rsidRDefault="00290902">
            <w:pPr>
              <w:spacing w:line="240" w:lineRule="auto"/>
              <w:rPr>
                <w:sz w:val="24"/>
              </w:rPr>
            </w:pPr>
            <w:r>
              <w:rPr>
                <w:sz w:val="24"/>
                <w:rtl/>
              </w:rPr>
              <w:t xml:space="preserve">סעיף 23 </w:t>
            </w:r>
          </w:p>
        </w:tc>
      </w:tr>
      <w:tr w:rsidR="00290902" w14:paraId="3FB0269E" w14:textId="77777777">
        <w:tblPrEx>
          <w:tblCellMar>
            <w:top w:w="0" w:type="dxa"/>
            <w:bottom w:w="0" w:type="dxa"/>
          </w:tblCellMar>
        </w:tblPrEx>
        <w:tc>
          <w:tcPr>
            <w:tcW w:w="850" w:type="dxa"/>
          </w:tcPr>
          <w:p w14:paraId="04781665" w14:textId="77777777" w:rsidR="00290902" w:rsidRDefault="00290902">
            <w:pPr>
              <w:spacing w:line="240" w:lineRule="auto"/>
              <w:rPr>
                <w:sz w:val="24"/>
              </w:rPr>
            </w:pPr>
            <w:r>
              <w:rPr>
                <w:sz w:val="24"/>
                <w:rtl/>
              </w:rPr>
              <w:fldChar w:fldCharType="begin"/>
            </w:r>
            <w:r>
              <w:rPr>
                <w:sz w:val="24"/>
                <w:rtl/>
              </w:rPr>
              <w:instrText xml:space="preserve"> </w:instrText>
            </w:r>
            <w:r>
              <w:rPr>
                <w:sz w:val="24"/>
              </w:rPr>
              <w:instrText>PAGEREF Seif23</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0DFFD37F" w14:textId="77777777" w:rsidR="00290902" w:rsidRDefault="00290902">
            <w:pPr>
              <w:spacing w:line="240" w:lineRule="auto"/>
              <w:rPr>
                <w:sz w:val="24"/>
              </w:rPr>
            </w:pPr>
            <w:hyperlink w:anchor="Seif23" w:tooltip="יושב ראש תורן" w:history="1">
              <w:r>
                <w:rPr>
                  <w:rStyle w:val="Hyperlink"/>
                </w:rPr>
                <w:t>Go</w:t>
              </w:r>
            </w:hyperlink>
          </w:p>
        </w:tc>
        <w:tc>
          <w:tcPr>
            <w:tcW w:w="5669" w:type="dxa"/>
          </w:tcPr>
          <w:p w14:paraId="2A616875" w14:textId="77777777" w:rsidR="00290902" w:rsidRDefault="00290902">
            <w:pPr>
              <w:spacing w:line="240" w:lineRule="auto"/>
              <w:rPr>
                <w:sz w:val="24"/>
                <w:rtl/>
              </w:rPr>
            </w:pPr>
            <w:r>
              <w:rPr>
                <w:sz w:val="24"/>
                <w:rtl/>
              </w:rPr>
              <w:t>יושב ראש תורן</w:t>
            </w:r>
          </w:p>
        </w:tc>
        <w:tc>
          <w:tcPr>
            <w:tcW w:w="1247" w:type="dxa"/>
          </w:tcPr>
          <w:p w14:paraId="75F1289E" w14:textId="77777777" w:rsidR="00290902" w:rsidRDefault="00290902">
            <w:pPr>
              <w:spacing w:line="240" w:lineRule="auto"/>
              <w:rPr>
                <w:sz w:val="24"/>
              </w:rPr>
            </w:pPr>
            <w:r>
              <w:rPr>
                <w:sz w:val="24"/>
                <w:rtl/>
              </w:rPr>
              <w:t xml:space="preserve">סעיף 24 </w:t>
            </w:r>
          </w:p>
        </w:tc>
      </w:tr>
      <w:tr w:rsidR="00290902" w14:paraId="3A433EA8" w14:textId="77777777">
        <w:tblPrEx>
          <w:tblCellMar>
            <w:top w:w="0" w:type="dxa"/>
            <w:bottom w:w="0" w:type="dxa"/>
          </w:tblCellMar>
        </w:tblPrEx>
        <w:tc>
          <w:tcPr>
            <w:tcW w:w="850" w:type="dxa"/>
          </w:tcPr>
          <w:p w14:paraId="63C6408E" w14:textId="77777777" w:rsidR="00290902" w:rsidRDefault="00290902">
            <w:pPr>
              <w:spacing w:line="240" w:lineRule="auto"/>
              <w:rPr>
                <w:sz w:val="24"/>
              </w:rPr>
            </w:pPr>
            <w:r>
              <w:rPr>
                <w:sz w:val="24"/>
                <w:rtl/>
              </w:rPr>
              <w:fldChar w:fldCharType="begin"/>
            </w:r>
            <w:r>
              <w:rPr>
                <w:sz w:val="24"/>
                <w:rtl/>
              </w:rPr>
              <w:instrText xml:space="preserve"> </w:instrText>
            </w:r>
            <w:r>
              <w:rPr>
                <w:sz w:val="24"/>
              </w:rPr>
              <w:instrText>PAGEREF Seif24</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47A77A87" w14:textId="77777777" w:rsidR="00290902" w:rsidRDefault="00290902">
            <w:pPr>
              <w:spacing w:line="240" w:lineRule="auto"/>
              <w:rPr>
                <w:sz w:val="24"/>
              </w:rPr>
            </w:pPr>
            <w:hyperlink w:anchor="Seif24" w:tooltip="קביעת מותבים וחלוקת תיקי העררים ביניהם" w:history="1">
              <w:r>
                <w:rPr>
                  <w:rStyle w:val="Hyperlink"/>
                </w:rPr>
                <w:t>Go</w:t>
              </w:r>
            </w:hyperlink>
          </w:p>
        </w:tc>
        <w:tc>
          <w:tcPr>
            <w:tcW w:w="5669" w:type="dxa"/>
          </w:tcPr>
          <w:p w14:paraId="7F1458F1" w14:textId="77777777" w:rsidR="00290902" w:rsidRDefault="00290902">
            <w:pPr>
              <w:spacing w:line="240" w:lineRule="auto"/>
              <w:rPr>
                <w:sz w:val="24"/>
                <w:rtl/>
              </w:rPr>
            </w:pPr>
            <w:r>
              <w:rPr>
                <w:sz w:val="24"/>
                <w:rtl/>
              </w:rPr>
              <w:t>קביעת מותבים וחלוקת תיקי העררים ביניהם</w:t>
            </w:r>
          </w:p>
        </w:tc>
        <w:tc>
          <w:tcPr>
            <w:tcW w:w="1247" w:type="dxa"/>
          </w:tcPr>
          <w:p w14:paraId="4AA515D4" w14:textId="77777777" w:rsidR="00290902" w:rsidRDefault="00290902">
            <w:pPr>
              <w:spacing w:line="240" w:lineRule="auto"/>
              <w:rPr>
                <w:sz w:val="24"/>
              </w:rPr>
            </w:pPr>
            <w:r>
              <w:rPr>
                <w:sz w:val="24"/>
                <w:rtl/>
              </w:rPr>
              <w:t xml:space="preserve">סעיף 25 </w:t>
            </w:r>
          </w:p>
        </w:tc>
      </w:tr>
      <w:tr w:rsidR="00290902" w14:paraId="2BF8B840" w14:textId="77777777">
        <w:tblPrEx>
          <w:tblCellMar>
            <w:top w:w="0" w:type="dxa"/>
            <w:bottom w:w="0" w:type="dxa"/>
          </w:tblCellMar>
        </w:tblPrEx>
        <w:tc>
          <w:tcPr>
            <w:tcW w:w="850" w:type="dxa"/>
          </w:tcPr>
          <w:p w14:paraId="40C7884D" w14:textId="77777777" w:rsidR="00290902" w:rsidRDefault="00290902">
            <w:pPr>
              <w:spacing w:line="240" w:lineRule="auto"/>
              <w:rPr>
                <w:sz w:val="24"/>
              </w:rPr>
            </w:pPr>
            <w:r>
              <w:rPr>
                <w:sz w:val="24"/>
                <w:rtl/>
              </w:rPr>
              <w:fldChar w:fldCharType="begin"/>
            </w:r>
            <w:r>
              <w:rPr>
                <w:sz w:val="24"/>
                <w:rtl/>
              </w:rPr>
              <w:instrText xml:space="preserve"> </w:instrText>
            </w:r>
            <w:r>
              <w:rPr>
                <w:sz w:val="24"/>
              </w:rPr>
              <w:instrText>PAGEREF Seif25</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41C4C093" w14:textId="77777777" w:rsidR="00290902" w:rsidRDefault="00290902">
            <w:pPr>
              <w:spacing w:line="240" w:lineRule="auto"/>
              <w:rPr>
                <w:sz w:val="24"/>
              </w:rPr>
            </w:pPr>
            <w:hyperlink w:anchor="Seif25" w:tooltip="טעויות סופר" w:history="1">
              <w:r>
                <w:rPr>
                  <w:rStyle w:val="Hyperlink"/>
                </w:rPr>
                <w:t>Go</w:t>
              </w:r>
            </w:hyperlink>
          </w:p>
        </w:tc>
        <w:tc>
          <w:tcPr>
            <w:tcW w:w="5669" w:type="dxa"/>
          </w:tcPr>
          <w:p w14:paraId="341C8FA2" w14:textId="77777777" w:rsidR="00290902" w:rsidRDefault="00290902">
            <w:pPr>
              <w:spacing w:line="240" w:lineRule="auto"/>
              <w:rPr>
                <w:sz w:val="24"/>
                <w:rtl/>
              </w:rPr>
            </w:pPr>
            <w:r>
              <w:rPr>
                <w:sz w:val="24"/>
                <w:rtl/>
              </w:rPr>
              <w:t>טעויות סופר</w:t>
            </w:r>
          </w:p>
        </w:tc>
        <w:tc>
          <w:tcPr>
            <w:tcW w:w="1247" w:type="dxa"/>
          </w:tcPr>
          <w:p w14:paraId="46BF1796" w14:textId="77777777" w:rsidR="00290902" w:rsidRDefault="00290902">
            <w:pPr>
              <w:spacing w:line="240" w:lineRule="auto"/>
              <w:rPr>
                <w:sz w:val="24"/>
              </w:rPr>
            </w:pPr>
            <w:r>
              <w:rPr>
                <w:sz w:val="24"/>
                <w:rtl/>
              </w:rPr>
              <w:t xml:space="preserve">סעיף 26 </w:t>
            </w:r>
          </w:p>
        </w:tc>
      </w:tr>
      <w:tr w:rsidR="00290902" w14:paraId="1BA7CC91" w14:textId="77777777">
        <w:tblPrEx>
          <w:tblCellMar>
            <w:top w:w="0" w:type="dxa"/>
            <w:bottom w:w="0" w:type="dxa"/>
          </w:tblCellMar>
        </w:tblPrEx>
        <w:tc>
          <w:tcPr>
            <w:tcW w:w="850" w:type="dxa"/>
          </w:tcPr>
          <w:p w14:paraId="7FC13228" w14:textId="77777777" w:rsidR="00290902" w:rsidRDefault="00290902">
            <w:pPr>
              <w:spacing w:line="240" w:lineRule="auto"/>
              <w:rPr>
                <w:sz w:val="24"/>
              </w:rPr>
            </w:pPr>
            <w:r>
              <w:rPr>
                <w:sz w:val="24"/>
                <w:rtl/>
              </w:rPr>
              <w:fldChar w:fldCharType="begin"/>
            </w:r>
            <w:r>
              <w:rPr>
                <w:sz w:val="24"/>
                <w:rtl/>
              </w:rPr>
              <w:instrText xml:space="preserve"> </w:instrText>
            </w:r>
            <w:r>
              <w:rPr>
                <w:sz w:val="24"/>
              </w:rPr>
              <w:instrText>PAGEREF Seif26</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31AE309A" w14:textId="77777777" w:rsidR="00290902" w:rsidRDefault="00290902">
            <w:pPr>
              <w:spacing w:line="240" w:lineRule="auto"/>
              <w:rPr>
                <w:sz w:val="24"/>
              </w:rPr>
            </w:pPr>
            <w:hyperlink w:anchor="Seif26" w:tooltip="ביטול ערר" w:history="1">
              <w:r>
                <w:rPr>
                  <w:rStyle w:val="Hyperlink"/>
                </w:rPr>
                <w:t>Go</w:t>
              </w:r>
            </w:hyperlink>
          </w:p>
        </w:tc>
        <w:tc>
          <w:tcPr>
            <w:tcW w:w="5669" w:type="dxa"/>
          </w:tcPr>
          <w:p w14:paraId="028B5865" w14:textId="77777777" w:rsidR="00290902" w:rsidRDefault="00290902">
            <w:pPr>
              <w:spacing w:line="240" w:lineRule="auto"/>
              <w:rPr>
                <w:sz w:val="24"/>
                <w:rtl/>
              </w:rPr>
            </w:pPr>
            <w:r>
              <w:rPr>
                <w:sz w:val="24"/>
                <w:rtl/>
              </w:rPr>
              <w:t>ביטול ערר</w:t>
            </w:r>
          </w:p>
        </w:tc>
        <w:tc>
          <w:tcPr>
            <w:tcW w:w="1247" w:type="dxa"/>
          </w:tcPr>
          <w:p w14:paraId="36CAC301" w14:textId="77777777" w:rsidR="00290902" w:rsidRDefault="00290902">
            <w:pPr>
              <w:spacing w:line="240" w:lineRule="auto"/>
              <w:rPr>
                <w:sz w:val="24"/>
              </w:rPr>
            </w:pPr>
            <w:r>
              <w:rPr>
                <w:sz w:val="24"/>
                <w:rtl/>
              </w:rPr>
              <w:t xml:space="preserve">סעיף 27 </w:t>
            </w:r>
          </w:p>
        </w:tc>
      </w:tr>
      <w:tr w:rsidR="00290902" w14:paraId="7D4989B5" w14:textId="77777777">
        <w:tblPrEx>
          <w:tblCellMar>
            <w:top w:w="0" w:type="dxa"/>
            <w:bottom w:w="0" w:type="dxa"/>
          </w:tblCellMar>
        </w:tblPrEx>
        <w:tc>
          <w:tcPr>
            <w:tcW w:w="850" w:type="dxa"/>
          </w:tcPr>
          <w:p w14:paraId="0F5FA0EF" w14:textId="77777777" w:rsidR="00290902" w:rsidRDefault="00290902">
            <w:pPr>
              <w:spacing w:line="240" w:lineRule="auto"/>
              <w:rPr>
                <w:sz w:val="24"/>
              </w:rPr>
            </w:pPr>
            <w:r>
              <w:rPr>
                <w:sz w:val="24"/>
                <w:rtl/>
              </w:rPr>
              <w:fldChar w:fldCharType="begin"/>
            </w:r>
            <w:r>
              <w:rPr>
                <w:sz w:val="24"/>
                <w:rtl/>
              </w:rPr>
              <w:instrText xml:space="preserve"> </w:instrText>
            </w:r>
            <w:r>
              <w:rPr>
                <w:sz w:val="24"/>
              </w:rPr>
              <w:instrText>PAGEREF Seif27</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62ADA486" w14:textId="77777777" w:rsidR="00290902" w:rsidRDefault="00290902">
            <w:pPr>
              <w:spacing w:line="240" w:lineRule="auto"/>
              <w:rPr>
                <w:sz w:val="24"/>
              </w:rPr>
            </w:pPr>
            <w:hyperlink w:anchor="Seif27" w:tooltip="ביטול" w:history="1">
              <w:r>
                <w:rPr>
                  <w:rStyle w:val="Hyperlink"/>
                </w:rPr>
                <w:t>Go</w:t>
              </w:r>
            </w:hyperlink>
          </w:p>
        </w:tc>
        <w:tc>
          <w:tcPr>
            <w:tcW w:w="5669" w:type="dxa"/>
          </w:tcPr>
          <w:p w14:paraId="3A8D8F42" w14:textId="77777777" w:rsidR="00290902" w:rsidRDefault="00290902">
            <w:pPr>
              <w:spacing w:line="240" w:lineRule="auto"/>
              <w:rPr>
                <w:sz w:val="24"/>
                <w:rtl/>
              </w:rPr>
            </w:pPr>
            <w:r>
              <w:rPr>
                <w:sz w:val="24"/>
                <w:rtl/>
              </w:rPr>
              <w:t>ביטול</w:t>
            </w:r>
          </w:p>
        </w:tc>
        <w:tc>
          <w:tcPr>
            <w:tcW w:w="1247" w:type="dxa"/>
          </w:tcPr>
          <w:p w14:paraId="63BDA400" w14:textId="77777777" w:rsidR="00290902" w:rsidRDefault="00290902">
            <w:pPr>
              <w:spacing w:line="240" w:lineRule="auto"/>
              <w:rPr>
                <w:sz w:val="24"/>
              </w:rPr>
            </w:pPr>
            <w:r>
              <w:rPr>
                <w:sz w:val="24"/>
                <w:rtl/>
              </w:rPr>
              <w:t xml:space="preserve">סעיף 28 </w:t>
            </w:r>
          </w:p>
        </w:tc>
      </w:tr>
      <w:tr w:rsidR="00290902" w14:paraId="415462A6" w14:textId="77777777">
        <w:tblPrEx>
          <w:tblCellMar>
            <w:top w:w="0" w:type="dxa"/>
            <w:bottom w:w="0" w:type="dxa"/>
          </w:tblCellMar>
        </w:tblPrEx>
        <w:tc>
          <w:tcPr>
            <w:tcW w:w="850" w:type="dxa"/>
          </w:tcPr>
          <w:p w14:paraId="0934F2AC" w14:textId="77777777" w:rsidR="00290902" w:rsidRDefault="00290902">
            <w:pPr>
              <w:spacing w:line="240" w:lineRule="auto"/>
              <w:rPr>
                <w:sz w:val="24"/>
              </w:rPr>
            </w:pPr>
            <w:r>
              <w:rPr>
                <w:sz w:val="24"/>
                <w:rtl/>
              </w:rPr>
              <w:fldChar w:fldCharType="begin"/>
            </w:r>
            <w:r>
              <w:rPr>
                <w:sz w:val="24"/>
                <w:rtl/>
              </w:rPr>
              <w:instrText xml:space="preserve"> </w:instrText>
            </w:r>
            <w:r>
              <w:rPr>
                <w:sz w:val="24"/>
              </w:rPr>
              <w:instrText>PAGEREF Seif28</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4F4E6529" w14:textId="77777777" w:rsidR="00290902" w:rsidRDefault="00290902">
            <w:pPr>
              <w:spacing w:line="240" w:lineRule="auto"/>
              <w:rPr>
                <w:sz w:val="24"/>
              </w:rPr>
            </w:pPr>
            <w:hyperlink w:anchor="Seif28" w:tooltip="תחילה" w:history="1">
              <w:r>
                <w:rPr>
                  <w:rStyle w:val="Hyperlink"/>
                </w:rPr>
                <w:t>Go</w:t>
              </w:r>
            </w:hyperlink>
          </w:p>
        </w:tc>
        <w:tc>
          <w:tcPr>
            <w:tcW w:w="5669" w:type="dxa"/>
          </w:tcPr>
          <w:p w14:paraId="0D8BA3F9" w14:textId="77777777" w:rsidR="00290902" w:rsidRDefault="00290902">
            <w:pPr>
              <w:spacing w:line="240" w:lineRule="auto"/>
              <w:rPr>
                <w:sz w:val="24"/>
                <w:rtl/>
              </w:rPr>
            </w:pPr>
            <w:r>
              <w:rPr>
                <w:sz w:val="24"/>
                <w:rtl/>
              </w:rPr>
              <w:t>תחילה</w:t>
            </w:r>
          </w:p>
        </w:tc>
        <w:tc>
          <w:tcPr>
            <w:tcW w:w="1247" w:type="dxa"/>
          </w:tcPr>
          <w:p w14:paraId="411E4546" w14:textId="77777777" w:rsidR="00290902" w:rsidRDefault="00290902">
            <w:pPr>
              <w:spacing w:line="240" w:lineRule="auto"/>
              <w:rPr>
                <w:sz w:val="24"/>
              </w:rPr>
            </w:pPr>
            <w:r>
              <w:rPr>
                <w:sz w:val="24"/>
                <w:rtl/>
              </w:rPr>
              <w:t xml:space="preserve">סעיף 29 </w:t>
            </w:r>
          </w:p>
        </w:tc>
      </w:tr>
      <w:tr w:rsidR="00290902" w14:paraId="03038EE8" w14:textId="77777777">
        <w:tblPrEx>
          <w:tblCellMar>
            <w:top w:w="0" w:type="dxa"/>
            <w:bottom w:w="0" w:type="dxa"/>
          </w:tblCellMar>
        </w:tblPrEx>
        <w:tc>
          <w:tcPr>
            <w:tcW w:w="850" w:type="dxa"/>
          </w:tcPr>
          <w:p w14:paraId="5D595A70" w14:textId="77777777" w:rsidR="00290902" w:rsidRDefault="00290902">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47EF5640" w14:textId="77777777" w:rsidR="00290902" w:rsidRDefault="00290902">
            <w:pPr>
              <w:spacing w:line="240" w:lineRule="auto"/>
              <w:rPr>
                <w:sz w:val="24"/>
              </w:rPr>
            </w:pPr>
            <w:hyperlink w:anchor="med0" w:tooltip="     כתב ערר לשנת המס ………….19      " w:history="1">
              <w:r>
                <w:rPr>
                  <w:rStyle w:val="Hyperlink"/>
                </w:rPr>
                <w:t>Go</w:t>
              </w:r>
            </w:hyperlink>
          </w:p>
        </w:tc>
        <w:tc>
          <w:tcPr>
            <w:tcW w:w="5669" w:type="dxa"/>
          </w:tcPr>
          <w:p w14:paraId="43CCADBE" w14:textId="77777777" w:rsidR="00290902" w:rsidRDefault="00290902">
            <w:pPr>
              <w:spacing w:line="240" w:lineRule="auto"/>
              <w:rPr>
                <w:sz w:val="24"/>
              </w:rPr>
            </w:pPr>
            <w:r>
              <w:rPr>
                <w:sz w:val="24"/>
                <w:rtl/>
              </w:rPr>
              <w:t>     כתב ערר לשנת המס ………….19      </w:t>
            </w:r>
          </w:p>
        </w:tc>
        <w:tc>
          <w:tcPr>
            <w:tcW w:w="1247" w:type="dxa"/>
          </w:tcPr>
          <w:p w14:paraId="1E32195C" w14:textId="77777777" w:rsidR="00290902" w:rsidRDefault="00290902">
            <w:pPr>
              <w:spacing w:line="240" w:lineRule="auto"/>
              <w:rPr>
                <w:sz w:val="24"/>
              </w:rPr>
            </w:pPr>
          </w:p>
        </w:tc>
      </w:tr>
      <w:tr w:rsidR="00290902" w14:paraId="459C56FB" w14:textId="77777777">
        <w:tblPrEx>
          <w:tblCellMar>
            <w:top w:w="0" w:type="dxa"/>
            <w:bottom w:w="0" w:type="dxa"/>
          </w:tblCellMar>
        </w:tblPrEx>
        <w:tc>
          <w:tcPr>
            <w:tcW w:w="850" w:type="dxa"/>
          </w:tcPr>
          <w:p w14:paraId="3A8DFB66" w14:textId="77777777" w:rsidR="00290902" w:rsidRDefault="00290902">
            <w:pPr>
              <w:spacing w:line="240" w:lineRule="auto"/>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73F25CD5" w14:textId="77777777" w:rsidR="00290902" w:rsidRDefault="00290902">
            <w:pPr>
              <w:spacing w:line="240" w:lineRule="auto"/>
              <w:rPr>
                <w:sz w:val="24"/>
              </w:rPr>
            </w:pPr>
            <w:hyperlink w:anchor="med1" w:tooltip="תוספת שניה" w:history="1">
              <w:r>
                <w:rPr>
                  <w:rStyle w:val="Hyperlink"/>
                </w:rPr>
                <w:t>Go</w:t>
              </w:r>
            </w:hyperlink>
          </w:p>
        </w:tc>
        <w:tc>
          <w:tcPr>
            <w:tcW w:w="5669" w:type="dxa"/>
          </w:tcPr>
          <w:p w14:paraId="33E053FC" w14:textId="77777777" w:rsidR="00290902" w:rsidRDefault="00290902">
            <w:pPr>
              <w:spacing w:line="240" w:lineRule="auto"/>
              <w:rPr>
                <w:sz w:val="24"/>
              </w:rPr>
            </w:pPr>
            <w:r>
              <w:rPr>
                <w:sz w:val="24"/>
                <w:rtl/>
              </w:rPr>
              <w:t>תוספת שניה</w:t>
            </w:r>
          </w:p>
        </w:tc>
        <w:tc>
          <w:tcPr>
            <w:tcW w:w="1247" w:type="dxa"/>
          </w:tcPr>
          <w:p w14:paraId="4002C715" w14:textId="77777777" w:rsidR="00290902" w:rsidRDefault="00290902">
            <w:pPr>
              <w:spacing w:line="240" w:lineRule="auto"/>
              <w:rPr>
                <w:sz w:val="24"/>
              </w:rPr>
            </w:pPr>
          </w:p>
        </w:tc>
      </w:tr>
      <w:tr w:rsidR="00290902" w14:paraId="6602AB9F" w14:textId="77777777">
        <w:tblPrEx>
          <w:tblCellMar>
            <w:top w:w="0" w:type="dxa"/>
            <w:bottom w:w="0" w:type="dxa"/>
          </w:tblCellMar>
        </w:tblPrEx>
        <w:tc>
          <w:tcPr>
            <w:tcW w:w="850" w:type="dxa"/>
          </w:tcPr>
          <w:p w14:paraId="19C1B9AC" w14:textId="77777777" w:rsidR="00290902" w:rsidRDefault="00290902">
            <w:pPr>
              <w:spacing w:line="240" w:lineRule="auto"/>
              <w:rPr>
                <w:sz w:val="24"/>
              </w:rPr>
            </w:pPr>
            <w:r>
              <w:rPr>
                <w:sz w:val="24"/>
                <w:rtl/>
              </w:rPr>
              <w:fldChar w:fldCharType="begin"/>
            </w:r>
            <w:r>
              <w:rPr>
                <w:sz w:val="24"/>
                <w:rtl/>
              </w:rPr>
              <w:instrText xml:space="preserve"> </w:instrText>
            </w:r>
            <w:r>
              <w:rPr>
                <w:sz w:val="24"/>
              </w:rPr>
              <w:instrText>PAGEREF med2</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37FCB0D6" w14:textId="77777777" w:rsidR="00290902" w:rsidRDefault="00290902">
            <w:pPr>
              <w:spacing w:line="240" w:lineRule="auto"/>
              <w:rPr>
                <w:sz w:val="24"/>
              </w:rPr>
            </w:pPr>
            <w:hyperlink w:anchor="med2" w:tooltip="תוספת שלישית" w:history="1">
              <w:r>
                <w:rPr>
                  <w:rStyle w:val="Hyperlink"/>
                </w:rPr>
                <w:t>Go</w:t>
              </w:r>
            </w:hyperlink>
          </w:p>
        </w:tc>
        <w:tc>
          <w:tcPr>
            <w:tcW w:w="5669" w:type="dxa"/>
          </w:tcPr>
          <w:p w14:paraId="7418C1CE" w14:textId="77777777" w:rsidR="00290902" w:rsidRDefault="00290902">
            <w:pPr>
              <w:spacing w:line="240" w:lineRule="auto"/>
              <w:rPr>
                <w:sz w:val="24"/>
              </w:rPr>
            </w:pPr>
            <w:r>
              <w:rPr>
                <w:sz w:val="24"/>
                <w:rtl/>
              </w:rPr>
              <w:t>תוספת שלישית</w:t>
            </w:r>
          </w:p>
        </w:tc>
        <w:tc>
          <w:tcPr>
            <w:tcW w:w="1247" w:type="dxa"/>
          </w:tcPr>
          <w:p w14:paraId="74CFE149" w14:textId="77777777" w:rsidR="00290902" w:rsidRDefault="00290902">
            <w:pPr>
              <w:spacing w:line="240" w:lineRule="auto"/>
              <w:rPr>
                <w:sz w:val="24"/>
              </w:rPr>
            </w:pPr>
          </w:p>
        </w:tc>
      </w:tr>
      <w:tr w:rsidR="00290902" w14:paraId="6D9A2B43" w14:textId="77777777">
        <w:tblPrEx>
          <w:tblCellMar>
            <w:top w:w="0" w:type="dxa"/>
            <w:bottom w:w="0" w:type="dxa"/>
          </w:tblCellMar>
        </w:tblPrEx>
        <w:tc>
          <w:tcPr>
            <w:tcW w:w="850" w:type="dxa"/>
          </w:tcPr>
          <w:p w14:paraId="0F7EE794" w14:textId="77777777" w:rsidR="00290902" w:rsidRDefault="00290902">
            <w:pPr>
              <w:spacing w:line="240" w:lineRule="auto"/>
              <w:rPr>
                <w:sz w:val="24"/>
              </w:rPr>
            </w:pPr>
            <w:r>
              <w:rPr>
                <w:sz w:val="24"/>
                <w:rtl/>
              </w:rPr>
              <w:fldChar w:fldCharType="begin"/>
            </w:r>
            <w:r>
              <w:rPr>
                <w:sz w:val="24"/>
                <w:rtl/>
              </w:rPr>
              <w:instrText xml:space="preserve"> </w:instrText>
            </w:r>
            <w:r>
              <w:rPr>
                <w:sz w:val="24"/>
              </w:rPr>
              <w:instrText>PAGEREF med3</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14:paraId="1286D310" w14:textId="77777777" w:rsidR="00290902" w:rsidRDefault="00290902">
            <w:pPr>
              <w:spacing w:line="240" w:lineRule="auto"/>
              <w:rPr>
                <w:sz w:val="24"/>
              </w:rPr>
            </w:pPr>
            <w:hyperlink w:anchor="med3" w:tooltip="תוספת רביעית" w:history="1">
              <w:r>
                <w:rPr>
                  <w:rStyle w:val="Hyperlink"/>
                </w:rPr>
                <w:t>Go</w:t>
              </w:r>
            </w:hyperlink>
          </w:p>
        </w:tc>
        <w:tc>
          <w:tcPr>
            <w:tcW w:w="5669" w:type="dxa"/>
          </w:tcPr>
          <w:p w14:paraId="595BCC6D" w14:textId="77777777" w:rsidR="00290902" w:rsidRDefault="00290902">
            <w:pPr>
              <w:spacing w:line="240" w:lineRule="auto"/>
              <w:rPr>
                <w:sz w:val="24"/>
              </w:rPr>
            </w:pPr>
            <w:r>
              <w:rPr>
                <w:sz w:val="24"/>
                <w:rtl/>
              </w:rPr>
              <w:t>תוספת רביעית</w:t>
            </w:r>
          </w:p>
        </w:tc>
        <w:tc>
          <w:tcPr>
            <w:tcW w:w="1247" w:type="dxa"/>
          </w:tcPr>
          <w:p w14:paraId="31BE539B" w14:textId="77777777" w:rsidR="00290902" w:rsidRDefault="00290902">
            <w:pPr>
              <w:spacing w:line="240" w:lineRule="auto"/>
              <w:rPr>
                <w:sz w:val="24"/>
              </w:rPr>
            </w:pPr>
          </w:p>
        </w:tc>
      </w:tr>
      <w:tr w:rsidR="00290902" w14:paraId="0451D76E" w14:textId="77777777">
        <w:tblPrEx>
          <w:tblCellMar>
            <w:top w:w="0" w:type="dxa"/>
            <w:bottom w:w="0" w:type="dxa"/>
          </w:tblCellMar>
        </w:tblPrEx>
        <w:tc>
          <w:tcPr>
            <w:tcW w:w="850" w:type="dxa"/>
          </w:tcPr>
          <w:p w14:paraId="4E7A8DE5" w14:textId="77777777" w:rsidR="00290902" w:rsidRDefault="00290902">
            <w:pPr>
              <w:spacing w:line="240" w:lineRule="auto"/>
              <w:rPr>
                <w:sz w:val="24"/>
              </w:rPr>
            </w:pPr>
            <w:r>
              <w:rPr>
                <w:sz w:val="24"/>
                <w:rtl/>
              </w:rPr>
              <w:fldChar w:fldCharType="begin"/>
            </w:r>
            <w:r>
              <w:rPr>
                <w:sz w:val="24"/>
                <w:rtl/>
              </w:rPr>
              <w:instrText xml:space="preserve"> </w:instrText>
            </w:r>
            <w:r>
              <w:rPr>
                <w:sz w:val="24"/>
              </w:rPr>
              <w:instrText>PAGEREF med4</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14:paraId="4EA25B0A" w14:textId="77777777" w:rsidR="00290902" w:rsidRDefault="00290902">
            <w:pPr>
              <w:spacing w:line="240" w:lineRule="auto"/>
              <w:rPr>
                <w:sz w:val="24"/>
              </w:rPr>
            </w:pPr>
            <w:hyperlink w:anchor="med4" w:tooltip="תוספת חמישית" w:history="1">
              <w:r>
                <w:rPr>
                  <w:rStyle w:val="Hyperlink"/>
                </w:rPr>
                <w:t>Go</w:t>
              </w:r>
            </w:hyperlink>
          </w:p>
        </w:tc>
        <w:tc>
          <w:tcPr>
            <w:tcW w:w="5669" w:type="dxa"/>
          </w:tcPr>
          <w:p w14:paraId="458B6819" w14:textId="77777777" w:rsidR="00290902" w:rsidRDefault="00290902">
            <w:pPr>
              <w:spacing w:line="240" w:lineRule="auto"/>
              <w:rPr>
                <w:sz w:val="24"/>
              </w:rPr>
            </w:pPr>
            <w:r>
              <w:rPr>
                <w:sz w:val="24"/>
                <w:rtl/>
              </w:rPr>
              <w:t>תוספת חמישית</w:t>
            </w:r>
          </w:p>
        </w:tc>
        <w:tc>
          <w:tcPr>
            <w:tcW w:w="1247" w:type="dxa"/>
          </w:tcPr>
          <w:p w14:paraId="10255C47" w14:textId="77777777" w:rsidR="00290902" w:rsidRDefault="00290902">
            <w:pPr>
              <w:spacing w:line="240" w:lineRule="auto"/>
              <w:rPr>
                <w:sz w:val="24"/>
              </w:rPr>
            </w:pPr>
          </w:p>
        </w:tc>
      </w:tr>
    </w:tbl>
    <w:p w14:paraId="52C23CF3" w14:textId="77777777" w:rsidR="00290902" w:rsidRDefault="00290902" w:rsidP="007A07CD">
      <w:pPr>
        <w:pStyle w:val="big-header"/>
        <w:ind w:left="0" w:right="1134"/>
        <w:rPr>
          <w:rStyle w:val="default"/>
          <w:rFonts w:cs="FrankRuehl" w:hint="cs"/>
          <w:rtl/>
        </w:rPr>
      </w:pPr>
      <w:r>
        <w:rPr>
          <w:rtl/>
        </w:rPr>
        <w:lastRenderedPageBreak/>
        <w:t>ת</w:t>
      </w:r>
      <w:r>
        <w:rPr>
          <w:rFonts w:hint="cs"/>
          <w:rtl/>
        </w:rPr>
        <w:t>קנות מס רכוש וקרן פיצויים (נוהל וסדרי דין בועדות ערר), תשל"ט-1979</w:t>
      </w:r>
      <w:r>
        <w:rPr>
          <w:rStyle w:val="default"/>
          <w:rtl/>
        </w:rPr>
        <w:footnoteReference w:customMarkFollows="1" w:id="1"/>
        <w:t>*</w:t>
      </w:r>
    </w:p>
    <w:p w14:paraId="00A913A4" w14:textId="77777777" w:rsidR="00290902" w:rsidRDefault="00290902">
      <w:pPr>
        <w:pStyle w:val="P00"/>
        <w:spacing w:before="0"/>
        <w:ind w:left="0" w:right="1134"/>
        <w:rPr>
          <w:rStyle w:val="default"/>
          <w:rFonts w:cs="FrankRuehl" w:hint="cs"/>
          <w:vanish/>
          <w:color w:val="FF0000"/>
          <w:szCs w:val="20"/>
          <w:shd w:val="clear" w:color="auto" w:fill="FFFF99"/>
          <w:rtl/>
        </w:rPr>
      </w:pPr>
      <w:bookmarkStart w:id="0" w:name="Rov37"/>
      <w:r>
        <w:rPr>
          <w:rStyle w:val="default"/>
          <w:rFonts w:cs="FrankRuehl" w:hint="cs"/>
          <w:vanish/>
          <w:color w:val="FF0000"/>
          <w:szCs w:val="20"/>
          <w:shd w:val="clear" w:color="auto" w:fill="FFFF99"/>
          <w:rtl/>
        </w:rPr>
        <w:t>מיום 29.5.1979</w:t>
      </w:r>
    </w:p>
    <w:p w14:paraId="71633A7D" w14:textId="77777777" w:rsidR="00290902" w:rsidRDefault="00290902">
      <w:pPr>
        <w:pStyle w:val="P00"/>
        <w:spacing w:before="0"/>
        <w:ind w:left="0" w:right="1134"/>
        <w:rPr>
          <w:rStyle w:val="default"/>
          <w:rFonts w:cs="FrankRuehl" w:hint="cs"/>
          <w:vanish/>
          <w:color w:val="FF0000"/>
          <w:szCs w:val="20"/>
          <w:shd w:val="clear" w:color="auto" w:fill="FFFF99"/>
          <w:rtl/>
        </w:rPr>
      </w:pPr>
      <w:r>
        <w:rPr>
          <w:rStyle w:val="default"/>
          <w:rFonts w:cs="FrankRuehl" w:hint="cs"/>
          <w:b/>
          <w:bCs/>
          <w:vanish/>
          <w:szCs w:val="20"/>
          <w:shd w:val="clear" w:color="auto" w:fill="FFFF99"/>
          <w:rtl/>
        </w:rPr>
        <w:t>ת"ט תשל"ט-1979</w:t>
      </w:r>
    </w:p>
    <w:p w14:paraId="06C7CB4B" w14:textId="77777777" w:rsidR="00290902" w:rsidRDefault="00290902">
      <w:pPr>
        <w:pStyle w:val="P00"/>
        <w:spacing w:before="0"/>
        <w:ind w:left="0" w:right="1134"/>
        <w:rPr>
          <w:rStyle w:val="default"/>
          <w:rFonts w:cs="FrankRuehl" w:hint="cs"/>
          <w:vanish/>
          <w:color w:val="FF0000"/>
          <w:szCs w:val="20"/>
          <w:shd w:val="clear" w:color="auto" w:fill="FFFF99"/>
          <w:rtl/>
        </w:rPr>
      </w:pPr>
      <w:hyperlink r:id="rId6" w:history="1">
        <w:r>
          <w:rPr>
            <w:rStyle w:val="Hyperlink"/>
            <w:rFonts w:hint="cs"/>
            <w:vanish/>
            <w:szCs w:val="20"/>
            <w:shd w:val="clear" w:color="auto" w:fill="FFFF99"/>
            <w:rtl/>
          </w:rPr>
          <w:t>ק"ת תשל"ט מס' 3986</w:t>
        </w:r>
      </w:hyperlink>
      <w:r>
        <w:rPr>
          <w:rStyle w:val="default"/>
          <w:rFonts w:cs="FrankRuehl" w:hint="cs"/>
          <w:vanish/>
          <w:szCs w:val="20"/>
          <w:shd w:val="clear" w:color="auto" w:fill="FFFF99"/>
          <w:rtl/>
        </w:rPr>
        <w:t xml:space="preserve"> מיום 29.5.1979 עמ' 1304</w:t>
      </w:r>
    </w:p>
    <w:p w14:paraId="39CEC141" w14:textId="77777777" w:rsidR="00290902" w:rsidRDefault="00290902">
      <w:pPr>
        <w:pStyle w:val="P00"/>
        <w:ind w:left="0" w:right="1134"/>
        <w:rPr>
          <w:rStyle w:val="default"/>
          <w:rFonts w:cs="FrankRuehl" w:hint="cs"/>
          <w:sz w:val="2"/>
          <w:szCs w:val="2"/>
          <w:rtl/>
        </w:rPr>
      </w:pPr>
      <w:r>
        <w:rPr>
          <w:rStyle w:val="default"/>
          <w:rFonts w:cs="FrankRuehl" w:hint="cs"/>
          <w:vanish/>
          <w:sz w:val="22"/>
          <w:szCs w:val="22"/>
          <w:shd w:val="clear" w:color="auto" w:fill="FFFF99"/>
          <w:rtl/>
        </w:rPr>
        <w:t xml:space="preserve">תקנות מס רכוש וקרן פיצויים </w:t>
      </w:r>
      <w:r>
        <w:rPr>
          <w:rStyle w:val="default"/>
          <w:rFonts w:cs="FrankRuehl" w:hint="cs"/>
          <w:strike/>
          <w:vanish/>
          <w:sz w:val="22"/>
          <w:szCs w:val="22"/>
          <w:shd w:val="clear" w:color="auto" w:fill="FFFF99"/>
          <w:rtl/>
        </w:rPr>
        <w:t>(נוהל סדרי דין בועדות ערר)</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(נוהל וסדרי דין בועדות ערר)</w:t>
      </w:r>
      <w:r>
        <w:rPr>
          <w:rStyle w:val="default"/>
          <w:rFonts w:cs="FrankRuehl" w:hint="cs"/>
          <w:vanish/>
          <w:sz w:val="22"/>
          <w:szCs w:val="22"/>
          <w:shd w:val="clear" w:color="auto" w:fill="FFFF99"/>
          <w:rtl/>
        </w:rPr>
        <w:t xml:space="preserve">, תשל"ט </w:t>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 1979. </w:t>
      </w:r>
      <w:bookmarkEnd w:id="0"/>
    </w:p>
    <w:p w14:paraId="4BD8BF9E" w14:textId="77777777" w:rsidR="00290902" w:rsidRDefault="00290902">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סמכותי לפי סעיף 61 לחוק מס רכוש וקרן פיצויים, תשכ"א-1961 (להלן - החוק), אני </w:t>
      </w:r>
      <w:r>
        <w:rPr>
          <w:rStyle w:val="default"/>
          <w:rFonts w:cs="FrankRuehl"/>
          <w:rtl/>
        </w:rPr>
        <w:t>מ</w:t>
      </w:r>
      <w:r>
        <w:rPr>
          <w:rStyle w:val="default"/>
          <w:rFonts w:cs="FrankRuehl" w:hint="cs"/>
          <w:rtl/>
        </w:rPr>
        <w:t>תקין תקנות אלה:</w:t>
      </w:r>
    </w:p>
    <w:p w14:paraId="553BE48B" w14:textId="77777777" w:rsidR="00290902" w:rsidRDefault="00290902">
      <w:pPr>
        <w:pStyle w:val="P00"/>
        <w:spacing w:before="72"/>
        <w:ind w:left="0" w:right="1134"/>
        <w:rPr>
          <w:rStyle w:val="default"/>
          <w:rFonts w:cs="FrankRuehl" w:hint="cs"/>
          <w:rtl/>
        </w:rPr>
      </w:pPr>
      <w:bookmarkStart w:id="1" w:name="Seif0"/>
      <w:bookmarkEnd w:id="1"/>
      <w:r>
        <w:rPr>
          <w:lang w:val="he-IL"/>
        </w:rPr>
        <w:pict w14:anchorId="415BBE22">
          <v:rect id="_x0000_s1026" style="position:absolute;left:0;text-align:left;margin-left:464.5pt;margin-top:8.05pt;width:75.05pt;height:8pt;z-index:251640320" o:allowincell="f" filled="f" stroked="f" strokecolor="lime" strokeweight=".25pt">
            <v:textbox style="mso-next-textbox:#_x0000_s1026" inset="0,0,0,0">
              <w:txbxContent>
                <w:p w14:paraId="5E939C3A" w14:textId="77777777" w:rsidR="00290902" w:rsidRDefault="00290902">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14:paraId="75BB81A8" w14:textId="77777777" w:rsidR="00290902" w:rsidRDefault="0029090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ועדה" - ועדת ערר שנתמנתה לפי סעיף 29(א) לחוק;</w:t>
      </w:r>
    </w:p>
    <w:p w14:paraId="356A1014" w14:textId="77777777" w:rsidR="00290902" w:rsidRDefault="0029090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יושב ראש תורן" - מי שנתמנה לפי תקנה 24(א);</w:t>
      </w:r>
    </w:p>
    <w:p w14:paraId="40F7A775" w14:textId="77777777" w:rsidR="00290902" w:rsidRDefault="0029090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משיב" - המנהל או מי שהמנהל אצל לו את סמכותו לפי סעיף 26 לחוק.</w:t>
      </w:r>
    </w:p>
    <w:p w14:paraId="77E00553" w14:textId="77777777" w:rsidR="00290902" w:rsidRDefault="00290902">
      <w:pPr>
        <w:pStyle w:val="P00"/>
        <w:spacing w:before="72"/>
        <w:ind w:left="0" w:right="1134"/>
        <w:rPr>
          <w:rStyle w:val="default"/>
          <w:rFonts w:cs="FrankRuehl"/>
          <w:rtl/>
        </w:rPr>
      </w:pPr>
      <w:bookmarkStart w:id="2" w:name="Seif1"/>
      <w:bookmarkEnd w:id="2"/>
      <w:r>
        <w:rPr>
          <w:lang w:val="he-IL"/>
        </w:rPr>
        <w:pict w14:anchorId="779A0048">
          <v:rect id="_x0000_s1027" style="position:absolute;left:0;text-align:left;margin-left:464.5pt;margin-top:8.05pt;width:75.05pt;height:11.05pt;z-index:251641344" o:allowincell="f" filled="f" stroked="f" strokecolor="lime" strokeweight=".25pt">
            <v:textbox inset="0,0,0,0">
              <w:txbxContent>
                <w:p w14:paraId="45F4CA48" w14:textId="77777777" w:rsidR="00290902" w:rsidRDefault="00290902">
                  <w:pPr>
                    <w:spacing w:line="160" w:lineRule="exact"/>
                    <w:jc w:val="left"/>
                    <w:rPr>
                      <w:rFonts w:cs="Miriam"/>
                      <w:noProof/>
                      <w:szCs w:val="18"/>
                      <w:rtl/>
                    </w:rPr>
                  </w:pPr>
                  <w:r>
                    <w:rPr>
                      <w:rFonts w:cs="Miriam"/>
                      <w:szCs w:val="18"/>
                      <w:rtl/>
                    </w:rPr>
                    <w:t>ה</w:t>
                  </w:r>
                  <w:r>
                    <w:rPr>
                      <w:rFonts w:cs="Miriam" w:hint="cs"/>
                      <w:szCs w:val="18"/>
                      <w:rtl/>
                    </w:rPr>
                    <w:t>גשת ערר</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ערר לפי סעיף 27 לחוק ייערך לפי הטופס </w:t>
      </w:r>
      <w:r>
        <w:rPr>
          <w:rStyle w:val="default"/>
          <w:rFonts w:cs="FrankRuehl"/>
          <w:rtl/>
        </w:rPr>
        <w:t>ש</w:t>
      </w:r>
      <w:r>
        <w:rPr>
          <w:rStyle w:val="default"/>
          <w:rFonts w:cs="FrankRuehl" w:hint="cs"/>
          <w:rtl/>
        </w:rPr>
        <w:t>בתוספת הראשונה ושניתן להשיגו במשרדי מס רכוש וקרן פיצויים; בערר יצויינו כל הפרטים המפורטים בטופס; הוא יוגש בארבעה עתקים לועדה שבאזור שיפוטה נמצא הנכס, לפי מענה שפורסם ברשומות, במסירה או על ידי משלוח בדואר רשום.</w:t>
      </w:r>
    </w:p>
    <w:p w14:paraId="6839287A" w14:textId="77777777" w:rsidR="00290902" w:rsidRDefault="0029090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הערר יודפס במכונת כתיבה וייחתם ביד העורר</w:t>
      </w:r>
      <w:r>
        <w:rPr>
          <w:rStyle w:val="default"/>
          <w:rFonts w:cs="FrankRuehl"/>
          <w:rtl/>
        </w:rPr>
        <w:t xml:space="preserve">; </w:t>
      </w:r>
      <w:r>
        <w:rPr>
          <w:rStyle w:val="default"/>
          <w:rFonts w:cs="FrankRuehl" w:hint="cs"/>
          <w:rtl/>
        </w:rPr>
        <w:t>לכתב הערר יצורפו ההחלטה שעליה עוררים וכל הראיות שבכתב התומכות בערר, או העתקים מהן.</w:t>
      </w:r>
    </w:p>
    <w:p w14:paraId="73D2BCBD" w14:textId="77777777" w:rsidR="00290902" w:rsidRDefault="00290902">
      <w:pPr>
        <w:pStyle w:val="P00"/>
        <w:spacing w:before="72"/>
        <w:ind w:left="0" w:right="1134"/>
        <w:rPr>
          <w:rStyle w:val="default"/>
          <w:rFonts w:cs="FrankRuehl"/>
          <w:rtl/>
        </w:rPr>
      </w:pPr>
      <w:bookmarkStart w:id="3" w:name="Seif2"/>
      <w:bookmarkEnd w:id="3"/>
      <w:r>
        <w:rPr>
          <w:lang w:val="he-IL"/>
        </w:rPr>
        <w:pict w14:anchorId="6A09B381">
          <v:rect id="_x0000_s1028" style="position:absolute;left:0;text-align:left;margin-left:464.5pt;margin-top:8.05pt;width:75.05pt;height:16pt;z-index:251642368" o:allowincell="f" filled="f" stroked="f" strokecolor="lime" strokeweight=".25pt">
            <v:textbox inset="0,0,0,0">
              <w:txbxContent>
                <w:p w14:paraId="4F672F4B" w14:textId="77777777" w:rsidR="00290902" w:rsidRDefault="00290902">
                  <w:pPr>
                    <w:spacing w:line="160" w:lineRule="exact"/>
                    <w:jc w:val="left"/>
                    <w:rPr>
                      <w:rFonts w:cs="Miriam"/>
                      <w:noProof/>
                      <w:szCs w:val="18"/>
                      <w:rtl/>
                    </w:rPr>
                  </w:pPr>
                  <w:r>
                    <w:rPr>
                      <w:rFonts w:cs="Miriam"/>
                      <w:szCs w:val="18"/>
                      <w:rtl/>
                    </w:rPr>
                    <w:t>מ</w:t>
                  </w:r>
                  <w:r>
                    <w:rPr>
                      <w:rFonts w:cs="Miriam" w:hint="cs"/>
                      <w:szCs w:val="18"/>
                      <w:rtl/>
                    </w:rPr>
                    <w:t xml:space="preserve">סירת הערר </w:t>
                  </w:r>
                  <w:r>
                    <w:rPr>
                      <w:rFonts w:cs="Miriam"/>
                      <w:szCs w:val="18"/>
                      <w:rtl/>
                    </w:rPr>
                    <w:t>ל</w:t>
                  </w:r>
                  <w:r>
                    <w:rPr>
                      <w:rFonts w:cs="Miriam" w:hint="cs"/>
                      <w:szCs w:val="18"/>
                      <w:rtl/>
                    </w:rPr>
                    <w:t>משיב</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ועדה תמסור למשיב עותק אחד של כתב הערר, על צירופיו.</w:t>
      </w:r>
    </w:p>
    <w:p w14:paraId="769F987E" w14:textId="77777777" w:rsidR="00290902" w:rsidRDefault="00290902">
      <w:pPr>
        <w:pStyle w:val="P00"/>
        <w:spacing w:before="72"/>
        <w:ind w:left="0" w:right="1134"/>
        <w:rPr>
          <w:rStyle w:val="default"/>
          <w:rFonts w:cs="FrankRuehl"/>
          <w:rtl/>
        </w:rPr>
      </w:pPr>
      <w:bookmarkStart w:id="4" w:name="Seif3"/>
      <w:bookmarkEnd w:id="4"/>
      <w:r>
        <w:rPr>
          <w:lang w:val="he-IL"/>
        </w:rPr>
        <w:pict w14:anchorId="113844B1">
          <v:rect id="_x0000_s1029" style="position:absolute;left:0;text-align:left;margin-left:464.5pt;margin-top:8.05pt;width:75.05pt;height:8pt;z-index:251643392" o:allowincell="f" filled="f" stroked="f" strokecolor="lime" strokeweight=".25pt">
            <v:textbox inset="0,0,0,0">
              <w:txbxContent>
                <w:p w14:paraId="1E614F1D" w14:textId="77777777" w:rsidR="00290902" w:rsidRDefault="00290902">
                  <w:pPr>
                    <w:spacing w:line="160" w:lineRule="exact"/>
                    <w:jc w:val="left"/>
                    <w:rPr>
                      <w:rFonts w:cs="Miriam"/>
                      <w:noProof/>
                      <w:szCs w:val="18"/>
                      <w:rtl/>
                    </w:rPr>
                  </w:pPr>
                  <w:r>
                    <w:rPr>
                      <w:rFonts w:cs="Miriam"/>
                      <w:szCs w:val="18"/>
                      <w:rtl/>
                    </w:rPr>
                    <w:t>ת</w:t>
                  </w:r>
                  <w:r>
                    <w:rPr>
                      <w:rFonts w:cs="Miriam" w:hint="cs"/>
                      <w:szCs w:val="18"/>
                      <w:rtl/>
                    </w:rPr>
                    <w:t>שובת המשיב</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המשיב יגיש לועדה, לא יאוחר מששים יום מהיום שנמסר לו עותק כתב הערר, תשובה מ</w:t>
      </w:r>
      <w:r>
        <w:rPr>
          <w:rStyle w:val="default"/>
          <w:rFonts w:cs="FrankRuehl"/>
          <w:rtl/>
        </w:rPr>
        <w:t>נ</w:t>
      </w:r>
      <w:r>
        <w:rPr>
          <w:rStyle w:val="default"/>
          <w:rFonts w:cs="FrankRuehl" w:hint="cs"/>
          <w:rtl/>
        </w:rPr>
        <w:t>ומקת בארבעה עתקים, מודפסת במכונת כתיבה, וחתומה בידו לפי הטופס שבתוספת השניה בציון כל הפרטים המפורטים בו.</w:t>
      </w:r>
    </w:p>
    <w:p w14:paraId="63AA0119" w14:textId="77777777" w:rsidR="00290902" w:rsidRDefault="0029090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לכתב התשובה יצ</w:t>
      </w:r>
      <w:r>
        <w:rPr>
          <w:rStyle w:val="default"/>
          <w:rFonts w:cs="FrankRuehl"/>
          <w:rtl/>
        </w:rPr>
        <w:t>ו</w:t>
      </w:r>
      <w:r>
        <w:rPr>
          <w:rStyle w:val="default"/>
          <w:rFonts w:cs="FrankRuehl" w:hint="cs"/>
          <w:rtl/>
        </w:rPr>
        <w:t>רפו כל הראיות שבכתב התומכות בתשובה, או העתק מהן.</w:t>
      </w:r>
    </w:p>
    <w:p w14:paraId="0BF90882" w14:textId="77777777" w:rsidR="00290902" w:rsidRDefault="00290902">
      <w:pPr>
        <w:pStyle w:val="P00"/>
        <w:spacing w:before="72"/>
        <w:ind w:left="0" w:right="1134"/>
        <w:rPr>
          <w:rStyle w:val="default"/>
          <w:rFonts w:cs="FrankRuehl"/>
          <w:rtl/>
        </w:rPr>
      </w:pPr>
      <w:bookmarkStart w:id="5" w:name="Seif4"/>
      <w:bookmarkEnd w:id="5"/>
      <w:r>
        <w:rPr>
          <w:lang w:val="he-IL"/>
        </w:rPr>
        <w:pict w14:anchorId="36AFF233">
          <v:rect id="_x0000_s1030" style="position:absolute;left:0;text-align:left;margin-left:464.5pt;margin-top:8.05pt;width:75.05pt;height:16pt;z-index:251644416" o:allowincell="f" filled="f" stroked="f" strokecolor="lime" strokeweight=".25pt">
            <v:textbox inset="0,0,0,0">
              <w:txbxContent>
                <w:p w14:paraId="1C1F57FD" w14:textId="77777777" w:rsidR="00290902" w:rsidRDefault="00290902">
                  <w:pPr>
                    <w:spacing w:line="160" w:lineRule="exact"/>
                    <w:jc w:val="left"/>
                    <w:rPr>
                      <w:rFonts w:cs="Miriam"/>
                      <w:noProof/>
                      <w:szCs w:val="18"/>
                      <w:rtl/>
                    </w:rPr>
                  </w:pPr>
                  <w:r>
                    <w:rPr>
                      <w:rFonts w:cs="Miriam"/>
                      <w:szCs w:val="18"/>
                      <w:rtl/>
                    </w:rPr>
                    <w:t>מ</w:t>
                  </w:r>
                  <w:r>
                    <w:rPr>
                      <w:rFonts w:cs="Miriam" w:hint="cs"/>
                      <w:szCs w:val="18"/>
                      <w:rtl/>
                    </w:rPr>
                    <w:t xml:space="preserve">סירת התשובה </w:t>
                  </w:r>
                  <w:r>
                    <w:rPr>
                      <w:rFonts w:cs="Miriam"/>
                      <w:szCs w:val="18"/>
                      <w:rtl/>
                    </w:rPr>
                    <w:t>ל</w:t>
                  </w:r>
                  <w:r>
                    <w:rPr>
                      <w:rFonts w:cs="Miriam" w:hint="cs"/>
                      <w:szCs w:val="18"/>
                      <w:rtl/>
                    </w:rPr>
                    <w:t>עורר</w:t>
                  </w:r>
                </w:p>
              </w:txbxContent>
            </v:textbox>
            <w10:anchorlock/>
          </v:rect>
        </w:pict>
      </w:r>
      <w:r>
        <w:rPr>
          <w:rStyle w:val="big-number"/>
          <w:rtl/>
        </w:rPr>
        <w:t>5.</w:t>
      </w:r>
      <w:r>
        <w:rPr>
          <w:rStyle w:val="big-number"/>
          <w:rtl/>
        </w:rPr>
        <w:tab/>
      </w:r>
      <w:r>
        <w:rPr>
          <w:rStyle w:val="default"/>
          <w:rFonts w:cs="FrankRuehl"/>
          <w:rtl/>
        </w:rPr>
        <w:t>ה</w:t>
      </w:r>
      <w:r>
        <w:rPr>
          <w:rStyle w:val="default"/>
          <w:rFonts w:cs="FrankRuehl" w:hint="cs"/>
          <w:rtl/>
        </w:rPr>
        <w:t>ועדה תמסור לעורר עותק אחד של תשובת המשיב, על צירופיה.</w:t>
      </w:r>
    </w:p>
    <w:p w14:paraId="6BC81055" w14:textId="77777777" w:rsidR="00290902" w:rsidRDefault="00290902">
      <w:pPr>
        <w:pStyle w:val="P00"/>
        <w:spacing w:before="72"/>
        <w:ind w:left="0" w:right="1134"/>
        <w:rPr>
          <w:rStyle w:val="default"/>
          <w:rFonts w:cs="FrankRuehl"/>
          <w:rtl/>
        </w:rPr>
      </w:pPr>
      <w:bookmarkStart w:id="6" w:name="Seif5"/>
      <w:bookmarkEnd w:id="6"/>
      <w:r>
        <w:rPr>
          <w:lang w:val="he-IL"/>
        </w:rPr>
        <w:pict w14:anchorId="16EB5556">
          <v:rect id="_x0000_s1031" style="position:absolute;left:0;text-align:left;margin-left:464.5pt;margin-top:8.05pt;width:75.05pt;height:21.75pt;z-index:251645440" o:allowincell="f" filled="f" stroked="f" strokecolor="lime" strokeweight=".25pt">
            <v:textbox inset="0,0,0,0">
              <w:txbxContent>
                <w:p w14:paraId="1FF68766" w14:textId="77777777" w:rsidR="00290902" w:rsidRDefault="00290902">
                  <w:pPr>
                    <w:spacing w:line="160" w:lineRule="exact"/>
                    <w:jc w:val="left"/>
                    <w:rPr>
                      <w:rFonts w:cs="Miriam"/>
                      <w:noProof/>
                      <w:szCs w:val="18"/>
                      <w:rtl/>
                    </w:rPr>
                  </w:pPr>
                  <w:r>
                    <w:rPr>
                      <w:rFonts w:cs="Miriam"/>
                      <w:szCs w:val="18"/>
                      <w:rtl/>
                    </w:rPr>
                    <w:t>ה</w:t>
                  </w:r>
                  <w:r>
                    <w:rPr>
                      <w:rFonts w:cs="Miriam" w:hint="cs"/>
                      <w:szCs w:val="18"/>
                      <w:rtl/>
                    </w:rPr>
                    <w:t xml:space="preserve">תייצבות בעלי </w:t>
                  </w:r>
                  <w:r>
                    <w:rPr>
                      <w:rFonts w:cs="Miriam"/>
                      <w:szCs w:val="18"/>
                      <w:rtl/>
                    </w:rPr>
                    <w:t>ה</w:t>
                  </w:r>
                  <w:r>
                    <w:rPr>
                      <w:rFonts w:cs="Miriam" w:hint="cs"/>
                      <w:szCs w:val="18"/>
                      <w:rtl/>
                    </w:rPr>
                    <w:t>דין לפני הועדה</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ביקשו העורר או המשיב, בכתב, להתייצב לפני הועדה ולטעון טענות, רשאית הועדה לדון בערר </w:t>
      </w:r>
      <w:r>
        <w:rPr>
          <w:rStyle w:val="default"/>
          <w:rFonts w:cs="FrankRuehl"/>
          <w:rtl/>
        </w:rPr>
        <w:t>ו</w:t>
      </w:r>
      <w:r>
        <w:rPr>
          <w:rStyle w:val="default"/>
          <w:rFonts w:cs="FrankRuehl" w:hint="cs"/>
          <w:rtl/>
        </w:rPr>
        <w:t>להחליט בו על יסוד החומר שבכתב שהוגש לה ובהיעדרם של הצדדים.</w:t>
      </w:r>
    </w:p>
    <w:p w14:paraId="7527740D" w14:textId="77777777" w:rsidR="00290902" w:rsidRDefault="0029090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ביקשו העורר או המשיב בכתב להתייצב לפני הועדה ולטעון טענות, ייערך הדיון לפני הועדה כאמור בתקנות שלהלן.</w:t>
      </w:r>
    </w:p>
    <w:p w14:paraId="059C1B93" w14:textId="77777777" w:rsidR="00290902" w:rsidRDefault="00290902">
      <w:pPr>
        <w:pStyle w:val="P00"/>
        <w:spacing w:before="72"/>
        <w:ind w:left="0" w:right="1134"/>
        <w:rPr>
          <w:rStyle w:val="default"/>
          <w:rFonts w:cs="FrankRuehl"/>
          <w:rtl/>
        </w:rPr>
      </w:pPr>
      <w:bookmarkStart w:id="7" w:name="Seif6"/>
      <w:bookmarkEnd w:id="7"/>
      <w:r>
        <w:rPr>
          <w:lang w:val="he-IL"/>
        </w:rPr>
        <w:pict w14:anchorId="5D3590AB">
          <v:rect id="_x0000_s1032" style="position:absolute;left:0;text-align:left;margin-left:464.5pt;margin-top:8.05pt;width:75.05pt;height:8pt;z-index:251646464" o:allowincell="f" filled="f" stroked="f" strokecolor="lime" strokeweight=".25pt">
            <v:textbox inset="0,0,0,0">
              <w:txbxContent>
                <w:p w14:paraId="7172A11B" w14:textId="77777777" w:rsidR="00290902" w:rsidRDefault="00290902">
                  <w:pPr>
                    <w:spacing w:line="160" w:lineRule="exact"/>
                    <w:jc w:val="left"/>
                    <w:rPr>
                      <w:rFonts w:cs="Miriam"/>
                      <w:noProof/>
                      <w:szCs w:val="18"/>
                      <w:rtl/>
                    </w:rPr>
                  </w:pPr>
                  <w:r>
                    <w:rPr>
                      <w:rFonts w:cs="Miriam"/>
                      <w:szCs w:val="18"/>
                      <w:rtl/>
                    </w:rPr>
                    <w:t>מ</w:t>
                  </w:r>
                  <w:r>
                    <w:rPr>
                      <w:rFonts w:cs="Miriam" w:hint="cs"/>
                      <w:szCs w:val="18"/>
                      <w:rtl/>
                    </w:rPr>
                    <w:t>ועד לדיון</w:t>
                  </w:r>
                </w:p>
              </w:txbxContent>
            </v:textbox>
            <w10:anchorlock/>
          </v:rect>
        </w:pict>
      </w:r>
      <w:r>
        <w:rPr>
          <w:rStyle w:val="big-number"/>
          <w:rtl/>
        </w:rPr>
        <w:t>7.</w:t>
      </w:r>
      <w:r>
        <w:rPr>
          <w:rStyle w:val="big-number"/>
          <w:rtl/>
        </w:rPr>
        <w:tab/>
      </w:r>
      <w:r>
        <w:rPr>
          <w:rStyle w:val="default"/>
          <w:rFonts w:cs="FrankRuehl"/>
          <w:rtl/>
        </w:rPr>
        <w:t>ה</w:t>
      </w:r>
      <w:r>
        <w:rPr>
          <w:rStyle w:val="default"/>
          <w:rFonts w:cs="FrankRuehl" w:hint="cs"/>
          <w:rtl/>
        </w:rPr>
        <w:t>יושב-ראש התורן יקבע את המועד לדיון בערר; הודעה על המועד תימסר לבעלי הדי</w:t>
      </w:r>
      <w:r>
        <w:rPr>
          <w:rStyle w:val="default"/>
          <w:rFonts w:cs="FrankRuehl"/>
          <w:rtl/>
        </w:rPr>
        <w:t>ן</w:t>
      </w:r>
      <w:r>
        <w:rPr>
          <w:rStyle w:val="default"/>
          <w:rFonts w:cs="FrankRuehl" w:hint="cs"/>
          <w:rtl/>
        </w:rPr>
        <w:t xml:space="preserve"> על ידי הועדה בטופס שבתוספת השלישית, לפחות חמישה-עשר יום לפני אותו מועד.</w:t>
      </w:r>
    </w:p>
    <w:p w14:paraId="50DA8BD3" w14:textId="77777777" w:rsidR="00290902" w:rsidRDefault="00290902">
      <w:pPr>
        <w:pStyle w:val="P00"/>
        <w:spacing w:before="72"/>
        <w:ind w:left="0" w:right="1134"/>
        <w:rPr>
          <w:rStyle w:val="default"/>
          <w:rFonts w:cs="FrankRuehl"/>
          <w:rtl/>
        </w:rPr>
      </w:pPr>
      <w:bookmarkStart w:id="8" w:name="Seif7"/>
      <w:bookmarkEnd w:id="8"/>
      <w:r>
        <w:rPr>
          <w:lang w:val="he-IL"/>
        </w:rPr>
        <w:pict w14:anchorId="6AFBD473">
          <v:rect id="_x0000_s1033" style="position:absolute;left:0;text-align:left;margin-left:464.5pt;margin-top:8.05pt;width:75.05pt;height:16pt;z-index:251647488" o:allowincell="f" filled="f" stroked="f" strokecolor="lime" strokeweight=".25pt">
            <v:textbox inset="0,0,0,0">
              <w:txbxContent>
                <w:p w14:paraId="4A76CEC0" w14:textId="77777777" w:rsidR="00290902" w:rsidRDefault="00290902">
                  <w:pPr>
                    <w:spacing w:line="160" w:lineRule="exact"/>
                    <w:jc w:val="left"/>
                    <w:rPr>
                      <w:rFonts w:cs="Miriam"/>
                      <w:noProof/>
                      <w:szCs w:val="18"/>
                      <w:rtl/>
                    </w:rPr>
                  </w:pPr>
                  <w:r>
                    <w:rPr>
                      <w:rFonts w:cs="Miriam"/>
                      <w:szCs w:val="18"/>
                      <w:rtl/>
                    </w:rPr>
                    <w:t>ב</w:t>
                  </w:r>
                  <w:r>
                    <w:rPr>
                      <w:rFonts w:cs="Miriam" w:hint="cs"/>
                      <w:szCs w:val="18"/>
                      <w:rtl/>
                    </w:rPr>
                    <w:t xml:space="preserve">על דין </w:t>
                  </w:r>
                  <w:r>
                    <w:rPr>
                      <w:rFonts w:cs="Miriam"/>
                      <w:szCs w:val="18"/>
                      <w:rtl/>
                    </w:rPr>
                    <w:t>ש</w:t>
                  </w:r>
                  <w:r>
                    <w:rPr>
                      <w:rFonts w:cs="Miriam" w:hint="cs"/>
                      <w:szCs w:val="18"/>
                      <w:rtl/>
                    </w:rPr>
                    <w:t>לא התייצב</w:t>
                  </w:r>
                </w:p>
              </w:txbxContent>
            </v:textbox>
            <w10:anchorlock/>
          </v:rect>
        </w:pict>
      </w:r>
      <w:r>
        <w:rPr>
          <w:rStyle w:val="big-number"/>
          <w:rtl/>
        </w:rPr>
        <w:t>8.</w:t>
      </w:r>
      <w:r>
        <w:rPr>
          <w:rStyle w:val="big-number"/>
          <w:rtl/>
        </w:rPr>
        <w:tab/>
      </w:r>
      <w:r>
        <w:rPr>
          <w:rStyle w:val="default"/>
          <w:rFonts w:cs="FrankRuehl"/>
          <w:rtl/>
        </w:rPr>
        <w:t>ל</w:t>
      </w:r>
      <w:r>
        <w:rPr>
          <w:rStyle w:val="default"/>
          <w:rFonts w:cs="FrankRuehl" w:hint="cs"/>
          <w:rtl/>
        </w:rPr>
        <w:t>א התייצב אחד מבעלי הדין לפני הועדה במועד שנקבע בערר ונוכחה הועדה שההזמנה נמסרה לו לפי תקנות אלה, רשאית הועדה לדון בערר ולהחליט בו שלא בפניו.</w:t>
      </w:r>
    </w:p>
    <w:p w14:paraId="6B330B0C" w14:textId="77777777" w:rsidR="00290902" w:rsidRDefault="00290902">
      <w:pPr>
        <w:pStyle w:val="P00"/>
        <w:spacing w:before="72"/>
        <w:ind w:left="0" w:right="1134"/>
        <w:rPr>
          <w:rStyle w:val="default"/>
          <w:rFonts w:cs="FrankRuehl"/>
          <w:rtl/>
        </w:rPr>
      </w:pPr>
      <w:bookmarkStart w:id="9" w:name="Seif8"/>
      <w:bookmarkEnd w:id="9"/>
      <w:r>
        <w:rPr>
          <w:lang w:val="he-IL"/>
        </w:rPr>
        <w:pict w14:anchorId="5A1221EF">
          <v:rect id="_x0000_s1034" style="position:absolute;left:0;text-align:left;margin-left:464.5pt;margin-top:8.05pt;width:75.05pt;height:8pt;z-index:251648512" o:allowincell="f" filled="f" stroked="f" strokecolor="lime" strokeweight=".25pt">
            <v:textbox inset="0,0,0,0">
              <w:txbxContent>
                <w:p w14:paraId="07ACC2D9" w14:textId="77777777" w:rsidR="00290902" w:rsidRDefault="00290902">
                  <w:pPr>
                    <w:spacing w:line="160" w:lineRule="exact"/>
                    <w:jc w:val="left"/>
                    <w:rPr>
                      <w:rFonts w:cs="Miriam"/>
                      <w:noProof/>
                      <w:szCs w:val="18"/>
                      <w:rtl/>
                    </w:rPr>
                  </w:pPr>
                  <w:r>
                    <w:rPr>
                      <w:rFonts w:cs="Miriam"/>
                      <w:szCs w:val="18"/>
                      <w:rtl/>
                    </w:rPr>
                    <w:t>ס</w:t>
                  </w:r>
                  <w:r>
                    <w:rPr>
                      <w:rFonts w:cs="Miriam" w:hint="cs"/>
                      <w:szCs w:val="18"/>
                      <w:rtl/>
                    </w:rPr>
                    <w:t>דר הטיעון</w:t>
                  </w:r>
                </w:p>
              </w:txbxContent>
            </v:textbox>
            <w10:anchorlock/>
          </v:rect>
        </w:pict>
      </w:r>
      <w:r>
        <w:rPr>
          <w:rStyle w:val="big-number"/>
          <w:rtl/>
        </w:rPr>
        <w:t>9.</w:t>
      </w:r>
      <w:r>
        <w:rPr>
          <w:rStyle w:val="big-number"/>
          <w:rtl/>
        </w:rPr>
        <w:tab/>
      </w:r>
      <w:r>
        <w:rPr>
          <w:rStyle w:val="default"/>
          <w:rFonts w:cs="FrankRuehl"/>
          <w:rtl/>
        </w:rPr>
        <w:t>ה</w:t>
      </w:r>
      <w:r>
        <w:rPr>
          <w:rStyle w:val="default"/>
          <w:rFonts w:cs="FrankRuehl" w:hint="cs"/>
          <w:rtl/>
        </w:rPr>
        <w:t>ועדה תשמע תחילה את טענות העורר ולאחר מכן את טענות המשיב; הועדה רשאית, ככל שהדבר ייראה לה, להתיר לעורר להשיב לטענות המשיב.</w:t>
      </w:r>
    </w:p>
    <w:p w14:paraId="203BACB2" w14:textId="77777777" w:rsidR="00290902" w:rsidRDefault="00290902">
      <w:pPr>
        <w:pStyle w:val="P00"/>
        <w:spacing w:before="72"/>
        <w:ind w:left="0" w:right="1134"/>
        <w:rPr>
          <w:rStyle w:val="default"/>
          <w:rFonts w:cs="FrankRuehl"/>
          <w:rtl/>
        </w:rPr>
      </w:pPr>
      <w:bookmarkStart w:id="10" w:name="Seif9"/>
      <w:bookmarkEnd w:id="10"/>
      <w:r>
        <w:rPr>
          <w:lang w:val="he-IL"/>
        </w:rPr>
        <w:pict w14:anchorId="04ACA5DE">
          <v:rect id="_x0000_s1035" style="position:absolute;left:0;text-align:left;margin-left:464.5pt;margin-top:8.05pt;width:75.05pt;height:8pt;z-index:251649536" o:allowincell="f" filled="f" stroked="f" strokecolor="lime" strokeweight=".25pt">
            <v:textbox inset="0,0,0,0">
              <w:txbxContent>
                <w:p w14:paraId="0174E9B6" w14:textId="77777777" w:rsidR="00290902" w:rsidRDefault="00290902">
                  <w:pPr>
                    <w:spacing w:line="160" w:lineRule="exact"/>
                    <w:jc w:val="left"/>
                    <w:rPr>
                      <w:rFonts w:cs="Miriam"/>
                      <w:noProof/>
                      <w:szCs w:val="18"/>
                      <w:rtl/>
                    </w:rPr>
                  </w:pPr>
                  <w:r>
                    <w:rPr>
                      <w:rFonts w:cs="Miriam"/>
                      <w:szCs w:val="18"/>
                      <w:rtl/>
                    </w:rPr>
                    <w:t>ש</w:t>
                  </w:r>
                  <w:r>
                    <w:rPr>
                      <w:rFonts w:cs="Miriam" w:hint="cs"/>
                      <w:szCs w:val="18"/>
                      <w:rtl/>
                    </w:rPr>
                    <w:t>מיעת עדים</w:t>
                  </w:r>
                </w:p>
              </w:txbxContent>
            </v:textbox>
            <w10:anchorlock/>
          </v:rect>
        </w:pict>
      </w:r>
      <w:r>
        <w:rPr>
          <w:rStyle w:val="big-number"/>
          <w:rtl/>
        </w:rPr>
        <w:t>10.</w:t>
      </w:r>
      <w:r>
        <w:rPr>
          <w:rStyle w:val="big-number"/>
          <w:rtl/>
        </w:rPr>
        <w:tab/>
      </w:r>
      <w:r>
        <w:rPr>
          <w:rStyle w:val="default"/>
          <w:rFonts w:cs="FrankRuehl"/>
          <w:rtl/>
        </w:rPr>
        <w:t>ל</w:t>
      </w:r>
      <w:r>
        <w:rPr>
          <w:rStyle w:val="default"/>
          <w:rFonts w:cs="FrankRuehl" w:hint="cs"/>
          <w:rtl/>
        </w:rPr>
        <w:t>א תשמע הועדה עדות של עד אלא אם שוכנעה כי הדבר חיוני להחלטתה בערר; החליטה הועדה לשמוע עדותו של עד, תשלח לו הזמנה</w:t>
      </w:r>
      <w:r>
        <w:rPr>
          <w:rStyle w:val="default"/>
          <w:rFonts w:cs="FrankRuehl"/>
          <w:rtl/>
        </w:rPr>
        <w:t xml:space="preserve">, </w:t>
      </w:r>
      <w:r>
        <w:rPr>
          <w:rStyle w:val="default"/>
          <w:rFonts w:cs="FrankRuehl" w:hint="cs"/>
          <w:rtl/>
        </w:rPr>
        <w:t>בטופס שבתוספת הרביעית, ויכול שהזמנתו של עד תהיה בדרך אחרת שעליה החליטה הועדה.</w:t>
      </w:r>
    </w:p>
    <w:p w14:paraId="2C5CDA58" w14:textId="77777777" w:rsidR="00290902" w:rsidRDefault="00290902">
      <w:pPr>
        <w:pStyle w:val="P00"/>
        <w:spacing w:before="72"/>
        <w:ind w:left="0" w:right="1134"/>
        <w:rPr>
          <w:rStyle w:val="default"/>
          <w:rFonts w:cs="FrankRuehl"/>
          <w:rtl/>
        </w:rPr>
      </w:pPr>
      <w:bookmarkStart w:id="11" w:name="Seif10"/>
      <w:bookmarkEnd w:id="11"/>
      <w:r>
        <w:rPr>
          <w:lang w:val="he-IL"/>
        </w:rPr>
        <w:pict w14:anchorId="6E63F988">
          <v:rect id="_x0000_s1036" style="position:absolute;left:0;text-align:left;margin-left:464.5pt;margin-top:8.05pt;width:75.05pt;height:8pt;z-index:251650560" o:allowincell="f" filled="f" stroked="f" strokecolor="lime" strokeweight=".25pt">
            <v:textbox inset="0,0,0,0">
              <w:txbxContent>
                <w:p w14:paraId="323B6CBB" w14:textId="77777777" w:rsidR="00290902" w:rsidRDefault="00290902">
                  <w:pPr>
                    <w:spacing w:line="160" w:lineRule="exact"/>
                    <w:jc w:val="left"/>
                    <w:rPr>
                      <w:rFonts w:cs="Miriam"/>
                      <w:noProof/>
                      <w:szCs w:val="18"/>
                      <w:rtl/>
                    </w:rPr>
                  </w:pPr>
                  <w:r>
                    <w:rPr>
                      <w:rFonts w:cs="Miriam"/>
                      <w:szCs w:val="18"/>
                      <w:rtl/>
                    </w:rPr>
                    <w:t>ד</w:t>
                  </w:r>
                  <w:r>
                    <w:rPr>
                      <w:rFonts w:cs="Miriam" w:hint="cs"/>
                      <w:szCs w:val="18"/>
                      <w:rtl/>
                    </w:rPr>
                    <w:t>חיית הדיון</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הועדה תקיים את הדיון בערר ותסיימו בו ביום; ואולם, רשאית היא לדחות את המשך הדיון בערר למועד אחר אם ראתה שהדבר דרוש למען הצדק.</w:t>
      </w:r>
    </w:p>
    <w:p w14:paraId="013125DC" w14:textId="77777777" w:rsidR="00290902" w:rsidRDefault="0029090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המועד להמשך הדיון בערר </w:t>
      </w:r>
      <w:r>
        <w:rPr>
          <w:rStyle w:val="default"/>
          <w:rFonts w:cs="FrankRuehl"/>
          <w:rtl/>
        </w:rPr>
        <w:t>י</w:t>
      </w:r>
      <w:r>
        <w:rPr>
          <w:rStyle w:val="default"/>
          <w:rFonts w:cs="FrankRuehl" w:hint="cs"/>
          <w:rtl/>
        </w:rPr>
        <w:t>יקבע בתיאום עם היושב-ראש התורן והודעה עליו לבעלי הדין תינתן בכל דרך שתחליט עליה הועדה.</w:t>
      </w:r>
    </w:p>
    <w:p w14:paraId="55860BC3" w14:textId="77777777" w:rsidR="00290902" w:rsidRDefault="00290902">
      <w:pPr>
        <w:pStyle w:val="P00"/>
        <w:spacing w:before="72"/>
        <w:ind w:left="0" w:right="1134"/>
        <w:rPr>
          <w:rStyle w:val="default"/>
          <w:rFonts w:cs="FrankRuehl"/>
          <w:rtl/>
        </w:rPr>
      </w:pPr>
      <w:bookmarkStart w:id="12" w:name="Seif11"/>
      <w:bookmarkEnd w:id="12"/>
      <w:r>
        <w:rPr>
          <w:lang w:val="he-IL"/>
        </w:rPr>
        <w:pict w14:anchorId="0C68C5FA">
          <v:rect id="_x0000_s1037" style="position:absolute;left:0;text-align:left;margin-left:464.5pt;margin-top:8.05pt;width:75.05pt;height:8pt;z-index:251651584" o:allowincell="f" filled="f" stroked="f" strokecolor="lime" strokeweight=".25pt">
            <v:textbox inset="0,0,0,0">
              <w:txbxContent>
                <w:p w14:paraId="6C451AD3" w14:textId="77777777" w:rsidR="00290902" w:rsidRDefault="00290902">
                  <w:pPr>
                    <w:spacing w:line="160" w:lineRule="exact"/>
                    <w:jc w:val="left"/>
                    <w:rPr>
                      <w:rFonts w:cs="Miriam"/>
                      <w:noProof/>
                      <w:szCs w:val="18"/>
                      <w:rtl/>
                    </w:rPr>
                  </w:pPr>
                  <w:r>
                    <w:rPr>
                      <w:rFonts w:cs="Miriam"/>
                      <w:szCs w:val="18"/>
                      <w:rtl/>
                    </w:rPr>
                    <w:t>ת</w:t>
                  </w:r>
                  <w:r>
                    <w:rPr>
                      <w:rFonts w:cs="Miriam" w:hint="cs"/>
                      <w:szCs w:val="18"/>
                      <w:rtl/>
                    </w:rPr>
                    <w:t>צהיר</w:t>
                  </w:r>
                </w:p>
              </w:txbxContent>
            </v:textbox>
            <w10:anchorlock/>
          </v:rect>
        </w:pict>
      </w:r>
      <w:r>
        <w:rPr>
          <w:rStyle w:val="big-number"/>
          <w:rtl/>
        </w:rPr>
        <w:t>12.</w:t>
      </w:r>
      <w:r>
        <w:rPr>
          <w:rStyle w:val="big-number"/>
          <w:rtl/>
        </w:rPr>
        <w:tab/>
      </w:r>
      <w:r>
        <w:rPr>
          <w:rStyle w:val="default"/>
          <w:rFonts w:cs="FrankRuehl"/>
          <w:rtl/>
        </w:rPr>
        <w:t>ה</w:t>
      </w:r>
      <w:r>
        <w:rPr>
          <w:rStyle w:val="default"/>
          <w:rFonts w:cs="FrankRuehl" w:hint="cs"/>
          <w:rtl/>
        </w:rPr>
        <w:t>ועדה רשאית לדרוש מבעל דין שיגיש לה תצהיר לאימות עובדות שציין בערר או בתשובה.</w:t>
      </w:r>
    </w:p>
    <w:p w14:paraId="127E2371" w14:textId="77777777" w:rsidR="00290902" w:rsidRDefault="00290902">
      <w:pPr>
        <w:pStyle w:val="P00"/>
        <w:spacing w:before="72"/>
        <w:ind w:left="0" w:right="1134"/>
        <w:rPr>
          <w:rStyle w:val="default"/>
          <w:rFonts w:cs="FrankRuehl"/>
          <w:rtl/>
        </w:rPr>
      </w:pPr>
      <w:bookmarkStart w:id="13" w:name="Seif12"/>
      <w:bookmarkEnd w:id="13"/>
      <w:r>
        <w:rPr>
          <w:lang w:val="he-IL"/>
        </w:rPr>
        <w:lastRenderedPageBreak/>
        <w:pict w14:anchorId="2A7FCD21">
          <v:rect id="_x0000_s1038" style="position:absolute;left:0;text-align:left;margin-left:464.5pt;margin-top:8.05pt;width:75.05pt;height:8pt;z-index:251652608" o:allowincell="f" filled="f" stroked="f" strokecolor="lime" strokeweight=".25pt">
            <v:textbox inset="0,0,0,0">
              <w:txbxContent>
                <w:p w14:paraId="052B003E" w14:textId="77777777" w:rsidR="00290902" w:rsidRDefault="00290902">
                  <w:pPr>
                    <w:spacing w:line="160" w:lineRule="exact"/>
                    <w:jc w:val="left"/>
                    <w:rPr>
                      <w:rFonts w:cs="Miriam"/>
                      <w:noProof/>
                      <w:szCs w:val="18"/>
                      <w:rtl/>
                    </w:rPr>
                  </w:pPr>
                  <w:r>
                    <w:rPr>
                      <w:rFonts w:cs="Miriam"/>
                      <w:szCs w:val="18"/>
                      <w:rtl/>
                    </w:rPr>
                    <w:t>ח</w:t>
                  </w:r>
                  <w:r>
                    <w:rPr>
                      <w:rFonts w:cs="Miriam" w:hint="cs"/>
                      <w:szCs w:val="18"/>
                      <w:rtl/>
                    </w:rPr>
                    <w:t>קירת תצהיר</w:t>
                  </w:r>
                </w:p>
              </w:txbxContent>
            </v:textbox>
            <w10:anchorlock/>
          </v:rect>
        </w:pict>
      </w:r>
      <w:r>
        <w:rPr>
          <w:rStyle w:val="big-number"/>
          <w:rtl/>
        </w:rPr>
        <w:t>13.</w:t>
      </w:r>
      <w:r>
        <w:rPr>
          <w:rStyle w:val="big-number"/>
          <w:rtl/>
        </w:rPr>
        <w:tab/>
      </w:r>
      <w:r>
        <w:rPr>
          <w:rStyle w:val="default"/>
          <w:rFonts w:cs="FrankRuehl"/>
          <w:rtl/>
        </w:rPr>
        <w:t>ר</w:t>
      </w:r>
      <w:r>
        <w:rPr>
          <w:rStyle w:val="default"/>
          <w:rFonts w:cs="FrankRuehl" w:hint="cs"/>
          <w:rtl/>
        </w:rPr>
        <w:t xml:space="preserve">צה אחד מבעלי הדין לחקור חקירה </w:t>
      </w:r>
      <w:r>
        <w:rPr>
          <w:rStyle w:val="default"/>
          <w:rFonts w:cs="FrankRuehl"/>
          <w:rtl/>
        </w:rPr>
        <w:t>ש</w:t>
      </w:r>
      <w:r>
        <w:rPr>
          <w:rStyle w:val="default"/>
          <w:rFonts w:cs="FrankRuehl" w:hint="cs"/>
          <w:rtl/>
        </w:rPr>
        <w:t>כנגד אדם שמסר תצהיר בהתאם לתקנה 12, יודיע על כך בכתב לבעל הדין השני ארבעה ימים לפחות לפני מועד השמיעה וימסור העתק של הודעתו לועדה.</w:t>
      </w:r>
    </w:p>
    <w:p w14:paraId="0C225EB3" w14:textId="77777777" w:rsidR="00290902" w:rsidRDefault="00290902">
      <w:pPr>
        <w:pStyle w:val="P00"/>
        <w:spacing w:before="72"/>
        <w:ind w:left="0" w:right="1134"/>
        <w:rPr>
          <w:rStyle w:val="default"/>
          <w:rFonts w:cs="FrankRuehl"/>
          <w:rtl/>
        </w:rPr>
      </w:pPr>
      <w:bookmarkStart w:id="14" w:name="Seif13"/>
      <w:bookmarkEnd w:id="14"/>
      <w:r>
        <w:rPr>
          <w:lang w:val="he-IL"/>
        </w:rPr>
        <w:pict w14:anchorId="03ED4581">
          <v:rect id="_x0000_s1039" style="position:absolute;left:0;text-align:left;margin-left:464.5pt;margin-top:8.05pt;width:75.05pt;height:8pt;z-index:251653632" o:allowincell="f" filled="f" stroked="f" strokecolor="lime" strokeweight=".25pt">
            <v:textbox inset="0,0,0,0">
              <w:txbxContent>
                <w:p w14:paraId="02FFBD7F" w14:textId="77777777" w:rsidR="00290902" w:rsidRDefault="00290902">
                  <w:pPr>
                    <w:spacing w:line="160" w:lineRule="exact"/>
                    <w:jc w:val="left"/>
                    <w:rPr>
                      <w:rFonts w:cs="Miriam"/>
                      <w:noProof/>
                      <w:szCs w:val="18"/>
                      <w:rtl/>
                    </w:rPr>
                  </w:pPr>
                  <w:r>
                    <w:rPr>
                      <w:rFonts w:cs="Miriam"/>
                      <w:szCs w:val="18"/>
                      <w:rtl/>
                    </w:rPr>
                    <w:t>ת</w:t>
                  </w:r>
                  <w:r>
                    <w:rPr>
                      <w:rFonts w:cs="Miriam" w:hint="cs"/>
                      <w:szCs w:val="18"/>
                      <w:rtl/>
                    </w:rPr>
                    <w:t>צהיר כראיה</w:t>
                  </w:r>
                </w:p>
              </w:txbxContent>
            </v:textbox>
            <w10:anchorlock/>
          </v:rect>
        </w:pict>
      </w:r>
      <w:r>
        <w:rPr>
          <w:rStyle w:val="big-number"/>
          <w:rtl/>
        </w:rPr>
        <w:t>14.</w:t>
      </w:r>
      <w:r>
        <w:rPr>
          <w:rStyle w:val="big-number"/>
          <w:rtl/>
        </w:rPr>
        <w:tab/>
      </w:r>
      <w:r>
        <w:rPr>
          <w:rStyle w:val="default"/>
          <w:rFonts w:cs="FrankRuehl"/>
          <w:rtl/>
        </w:rPr>
        <w:t>ה</w:t>
      </w:r>
      <w:r>
        <w:rPr>
          <w:rStyle w:val="default"/>
          <w:rFonts w:cs="FrankRuehl" w:hint="cs"/>
          <w:rtl/>
        </w:rPr>
        <w:t>ודיע אחד מבעלי הדין כאמור בתקנה 13, לא ישמש התצהיר שעליו ניתנה ההודעה כראיה, אלא אם נוכח המצהיר בעת שמיע</w:t>
      </w:r>
      <w:r>
        <w:rPr>
          <w:rStyle w:val="default"/>
          <w:rFonts w:cs="FrankRuehl"/>
          <w:rtl/>
        </w:rPr>
        <w:t>ת</w:t>
      </w:r>
      <w:r>
        <w:rPr>
          <w:rStyle w:val="default"/>
          <w:rFonts w:cs="FrankRuehl" w:hint="cs"/>
          <w:rtl/>
        </w:rPr>
        <w:t xml:space="preserve"> הערר כשהוא מוכן לחקירה שכנגד, זולת אם היתה הועדה משוכנעת שקבלת התצהיר כראיה דרושה למען הצדק.</w:t>
      </w:r>
    </w:p>
    <w:p w14:paraId="1D97B8CB" w14:textId="77777777" w:rsidR="00290902" w:rsidRDefault="00290902">
      <w:pPr>
        <w:pStyle w:val="P00"/>
        <w:spacing w:before="72"/>
        <w:ind w:left="0" w:right="1134"/>
        <w:rPr>
          <w:rStyle w:val="default"/>
          <w:rFonts w:cs="FrankRuehl"/>
          <w:rtl/>
        </w:rPr>
      </w:pPr>
      <w:bookmarkStart w:id="15" w:name="Seif14"/>
      <w:bookmarkEnd w:id="15"/>
      <w:r>
        <w:rPr>
          <w:lang w:val="he-IL"/>
        </w:rPr>
        <w:pict w14:anchorId="40902986">
          <v:rect id="_x0000_s1040" style="position:absolute;left:0;text-align:left;margin-left:464.5pt;margin-top:8.05pt;width:75.05pt;height:16pt;z-index:251654656" o:allowincell="f" filled="f" stroked="f" strokecolor="lime" strokeweight=".25pt">
            <v:textbox inset="0,0,0,0">
              <w:txbxContent>
                <w:p w14:paraId="56BC187A" w14:textId="77777777" w:rsidR="00290902" w:rsidRDefault="00290902">
                  <w:pPr>
                    <w:spacing w:line="160" w:lineRule="exact"/>
                    <w:jc w:val="left"/>
                    <w:rPr>
                      <w:rFonts w:cs="Miriam"/>
                      <w:noProof/>
                      <w:szCs w:val="18"/>
                      <w:rtl/>
                    </w:rPr>
                  </w:pPr>
                  <w:r>
                    <w:rPr>
                      <w:rFonts w:cs="Miriam"/>
                      <w:szCs w:val="18"/>
                      <w:rtl/>
                    </w:rPr>
                    <w:t>ה</w:t>
                  </w:r>
                  <w:r>
                    <w:rPr>
                      <w:rFonts w:cs="Miriam" w:hint="cs"/>
                      <w:szCs w:val="18"/>
                      <w:rtl/>
                    </w:rPr>
                    <w:t xml:space="preserve">גבלת הדיון </w:t>
                  </w:r>
                  <w:r>
                    <w:rPr>
                      <w:rFonts w:cs="Miriam"/>
                      <w:szCs w:val="18"/>
                      <w:rtl/>
                    </w:rPr>
                    <w:t>ל</w:t>
                  </w:r>
                  <w:r>
                    <w:rPr>
                      <w:rFonts w:cs="Miriam" w:hint="cs"/>
                      <w:szCs w:val="18"/>
                      <w:rtl/>
                    </w:rPr>
                    <w:t>נימוקים שצויינו</w:t>
                  </w:r>
                </w:p>
              </w:txbxContent>
            </v:textbox>
            <w10:anchorlock/>
          </v:rect>
        </w:pict>
      </w:r>
      <w:r>
        <w:rPr>
          <w:rStyle w:val="big-number"/>
          <w:rtl/>
        </w:rPr>
        <w:t>15.</w:t>
      </w:r>
      <w:r>
        <w:rPr>
          <w:rStyle w:val="big-number"/>
          <w:rtl/>
        </w:rPr>
        <w:tab/>
      </w:r>
      <w:r>
        <w:rPr>
          <w:rStyle w:val="default"/>
          <w:rFonts w:cs="FrankRuehl"/>
          <w:rtl/>
        </w:rPr>
        <w:t>ב</w:t>
      </w:r>
      <w:r>
        <w:rPr>
          <w:rStyle w:val="default"/>
          <w:rFonts w:cs="FrankRuehl" w:hint="cs"/>
          <w:rtl/>
        </w:rPr>
        <w:t>שמיעת הערר לא תיזקק הועדה לכל נימוק שלא הוזכר בכתב הערר או בתשובה, אלא אם היא משוכנעת שהדבר דרוש למען הצדק.</w:t>
      </w:r>
    </w:p>
    <w:p w14:paraId="60990D53" w14:textId="77777777" w:rsidR="00290902" w:rsidRDefault="00290902">
      <w:pPr>
        <w:pStyle w:val="P00"/>
        <w:spacing w:before="72"/>
        <w:ind w:left="0" w:right="1134"/>
        <w:rPr>
          <w:rStyle w:val="default"/>
          <w:rFonts w:cs="FrankRuehl"/>
          <w:rtl/>
        </w:rPr>
      </w:pPr>
      <w:bookmarkStart w:id="16" w:name="Seif15"/>
      <w:bookmarkEnd w:id="16"/>
      <w:r>
        <w:rPr>
          <w:lang w:val="he-IL"/>
        </w:rPr>
        <w:pict w14:anchorId="7595D457">
          <v:rect id="_x0000_s1041" style="position:absolute;left:0;text-align:left;margin-left:464.5pt;margin-top:8.05pt;width:75.05pt;height:8pt;z-index:251655680" o:allowincell="f" filled="f" stroked="f" strokecolor="lime" strokeweight=".25pt">
            <v:textbox inset="0,0,0,0">
              <w:txbxContent>
                <w:p w14:paraId="75EBD082" w14:textId="77777777" w:rsidR="00290902" w:rsidRDefault="00290902">
                  <w:pPr>
                    <w:spacing w:line="160" w:lineRule="exact"/>
                    <w:jc w:val="left"/>
                    <w:rPr>
                      <w:rFonts w:cs="Miriam"/>
                      <w:noProof/>
                      <w:szCs w:val="18"/>
                      <w:rtl/>
                    </w:rPr>
                  </w:pPr>
                  <w:r>
                    <w:rPr>
                      <w:rFonts w:cs="Miriam"/>
                      <w:szCs w:val="18"/>
                      <w:rtl/>
                    </w:rPr>
                    <w:t>פ</w:t>
                  </w:r>
                  <w:r>
                    <w:rPr>
                      <w:rFonts w:cs="Miriam" w:hint="cs"/>
                      <w:szCs w:val="18"/>
                      <w:rtl/>
                    </w:rPr>
                    <w:t>רטים נוספים</w:t>
                  </w:r>
                </w:p>
              </w:txbxContent>
            </v:textbox>
            <w10:anchorlock/>
          </v:rect>
        </w:pict>
      </w:r>
      <w:r>
        <w:rPr>
          <w:rStyle w:val="big-number"/>
          <w:rtl/>
        </w:rPr>
        <w:t>16.</w:t>
      </w:r>
      <w:r>
        <w:rPr>
          <w:rStyle w:val="big-number"/>
          <w:rtl/>
        </w:rPr>
        <w:tab/>
      </w:r>
      <w:r>
        <w:rPr>
          <w:rStyle w:val="default"/>
          <w:rFonts w:cs="FrankRuehl"/>
          <w:rtl/>
        </w:rPr>
        <w:t>ה</w:t>
      </w:r>
      <w:r>
        <w:rPr>
          <w:rStyle w:val="default"/>
          <w:rFonts w:cs="FrankRuehl" w:hint="cs"/>
          <w:rtl/>
        </w:rPr>
        <w:t>ועדה רשאית להורות לבעל דין שיגיש לה פרטים נוספים בכל ענין או בקשר לכל נימוק שהועדה החליטה להיזקק לו לפי תקנה 15.</w:t>
      </w:r>
    </w:p>
    <w:p w14:paraId="6AA1113A" w14:textId="77777777" w:rsidR="00290902" w:rsidRDefault="00290902">
      <w:pPr>
        <w:pStyle w:val="P00"/>
        <w:spacing w:before="72"/>
        <w:ind w:left="0" w:right="1134"/>
        <w:rPr>
          <w:rStyle w:val="default"/>
          <w:rFonts w:cs="FrankRuehl"/>
          <w:rtl/>
        </w:rPr>
      </w:pPr>
      <w:bookmarkStart w:id="17" w:name="Seif16"/>
      <w:bookmarkEnd w:id="17"/>
      <w:r>
        <w:rPr>
          <w:lang w:val="he-IL"/>
        </w:rPr>
        <w:pict w14:anchorId="10000592">
          <v:rect id="_x0000_s1042" style="position:absolute;left:0;text-align:left;margin-left:464.5pt;margin-top:8.05pt;width:75.05pt;height:8pt;z-index:251656704" o:allowincell="f" filled="f" stroked="f" strokecolor="lime" strokeweight=".25pt">
            <v:textbox inset="0,0,0,0">
              <w:txbxContent>
                <w:p w14:paraId="26EDCC31" w14:textId="77777777" w:rsidR="00290902" w:rsidRDefault="00290902">
                  <w:pPr>
                    <w:spacing w:line="160" w:lineRule="exact"/>
                    <w:jc w:val="left"/>
                    <w:rPr>
                      <w:rFonts w:cs="Miriam"/>
                      <w:noProof/>
                      <w:szCs w:val="18"/>
                      <w:rtl/>
                    </w:rPr>
                  </w:pPr>
                  <w:r>
                    <w:rPr>
                      <w:rFonts w:cs="Miriam"/>
                      <w:szCs w:val="18"/>
                      <w:rtl/>
                    </w:rPr>
                    <w:t>מ</w:t>
                  </w:r>
                  <w:r>
                    <w:rPr>
                      <w:rFonts w:cs="Miriam" w:hint="cs"/>
                      <w:szCs w:val="18"/>
                      <w:rtl/>
                    </w:rPr>
                    <w:t>יזוג עררים</w:t>
                  </w:r>
                </w:p>
              </w:txbxContent>
            </v:textbox>
            <w10:anchorlock/>
          </v:rect>
        </w:pict>
      </w:r>
      <w:r>
        <w:rPr>
          <w:rStyle w:val="big-number"/>
          <w:rtl/>
        </w:rPr>
        <w:t>17.</w:t>
      </w:r>
      <w:r>
        <w:rPr>
          <w:rStyle w:val="big-number"/>
          <w:rtl/>
        </w:rPr>
        <w:tab/>
      </w:r>
      <w:r>
        <w:rPr>
          <w:rStyle w:val="default"/>
          <w:rFonts w:cs="FrankRuehl"/>
          <w:rtl/>
        </w:rPr>
        <w:t>ה</w:t>
      </w:r>
      <w:r>
        <w:rPr>
          <w:rStyle w:val="default"/>
          <w:rFonts w:cs="FrankRuehl" w:hint="cs"/>
          <w:rtl/>
        </w:rPr>
        <w:t>ועדה רשאית לאחד עררים התלויים ועומדים לפניה, לדון בהם במשותף ולתת החלטה אחת בכולם, אם נתקיים בהם טעם מהטעמים האמורים ב</w:t>
      </w:r>
      <w:r>
        <w:rPr>
          <w:rStyle w:val="default"/>
          <w:rFonts w:cs="FrankRuehl"/>
          <w:rtl/>
        </w:rPr>
        <w:t>ת</w:t>
      </w:r>
      <w:r>
        <w:rPr>
          <w:rStyle w:val="default"/>
          <w:rFonts w:cs="FrankRuehl" w:hint="cs"/>
          <w:rtl/>
        </w:rPr>
        <w:t>קנה 25(א)(2) עד (7).</w:t>
      </w:r>
    </w:p>
    <w:p w14:paraId="401EC360" w14:textId="77777777" w:rsidR="00290902" w:rsidRDefault="00290902">
      <w:pPr>
        <w:pStyle w:val="P00"/>
        <w:spacing w:before="72"/>
        <w:ind w:left="0" w:right="1134"/>
        <w:rPr>
          <w:rStyle w:val="default"/>
          <w:rFonts w:cs="FrankRuehl"/>
          <w:rtl/>
        </w:rPr>
      </w:pPr>
      <w:bookmarkStart w:id="18" w:name="Seif17"/>
      <w:bookmarkEnd w:id="18"/>
      <w:r>
        <w:rPr>
          <w:lang w:val="he-IL"/>
        </w:rPr>
        <w:pict w14:anchorId="6BE25E2B">
          <v:rect id="_x0000_s1043" style="position:absolute;left:0;text-align:left;margin-left:464.5pt;margin-top:8.05pt;width:75.05pt;height:13.8pt;z-index:251657728" o:allowincell="f" filled="f" stroked="f" strokecolor="lime" strokeweight=".25pt">
            <v:textbox inset="0,0,0,0">
              <w:txbxContent>
                <w:p w14:paraId="4396EF52" w14:textId="77777777" w:rsidR="00290902" w:rsidRDefault="00290902">
                  <w:pPr>
                    <w:spacing w:line="160" w:lineRule="exact"/>
                    <w:jc w:val="left"/>
                    <w:rPr>
                      <w:rFonts w:cs="Miriam"/>
                      <w:noProof/>
                      <w:szCs w:val="18"/>
                      <w:rtl/>
                    </w:rPr>
                  </w:pPr>
                  <w:r>
                    <w:rPr>
                      <w:rFonts w:cs="Miriam"/>
                      <w:szCs w:val="18"/>
                      <w:rtl/>
                    </w:rPr>
                    <w:t>ה</w:t>
                  </w:r>
                  <w:r>
                    <w:rPr>
                      <w:rFonts w:cs="Miriam" w:hint="cs"/>
                      <w:szCs w:val="18"/>
                      <w:rtl/>
                    </w:rPr>
                    <w:t>חלטת הועדה</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החלטת הועדה בערר תיערך בכתב לפי הטופס שבתוספת</w:t>
      </w:r>
      <w:r>
        <w:rPr>
          <w:rtl/>
        </w:rPr>
        <w:t> </w:t>
      </w:r>
      <w:r>
        <w:rPr>
          <w:rStyle w:val="default"/>
          <w:rFonts w:cs="FrankRuehl"/>
          <w:rtl/>
        </w:rPr>
        <w:t xml:space="preserve"> </w:t>
      </w:r>
      <w:r>
        <w:rPr>
          <w:rStyle w:val="default"/>
          <w:rFonts w:cs="FrankRuehl" w:hint="cs"/>
          <w:rtl/>
        </w:rPr>
        <w:t xml:space="preserve">החמישית ותפרט את הנימוקים לה; ההחלטה תינתן ככל האפשר סמוך לאחר תום הדיון ולא יאוחר מ-30 יום לאחריו, זולת אם ראה היושב-ראש התורן להאריך את המועד מסיבות המצדיקות זאת </w:t>
      </w:r>
      <w:r>
        <w:rPr>
          <w:rStyle w:val="default"/>
          <w:rFonts w:cs="FrankRuehl"/>
          <w:rtl/>
        </w:rPr>
        <w:t>ל</w:t>
      </w:r>
      <w:r>
        <w:rPr>
          <w:rStyle w:val="default"/>
          <w:rFonts w:cs="FrankRuehl" w:hint="cs"/>
          <w:rtl/>
        </w:rPr>
        <w:t>דעתו.</w:t>
      </w:r>
    </w:p>
    <w:p w14:paraId="773A0387" w14:textId="77777777" w:rsidR="00290902" w:rsidRDefault="0029090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החלטת הועדה תיחתם בידי היושב-ראש והחברים; דעת מיעוט תיחתם ביד מי שנתן אותה.</w:t>
      </w:r>
    </w:p>
    <w:p w14:paraId="07A64117" w14:textId="77777777" w:rsidR="00290902" w:rsidRDefault="00290902">
      <w:pPr>
        <w:pStyle w:val="P00"/>
        <w:spacing w:before="72"/>
        <w:ind w:left="0" w:right="1134"/>
        <w:rPr>
          <w:rStyle w:val="default"/>
          <w:rFonts w:cs="FrankRuehl"/>
          <w:rtl/>
        </w:rPr>
      </w:pPr>
      <w:bookmarkStart w:id="19" w:name="Seif18"/>
      <w:bookmarkEnd w:id="19"/>
      <w:r>
        <w:rPr>
          <w:lang w:val="he-IL"/>
        </w:rPr>
        <w:pict w14:anchorId="6643974C">
          <v:rect id="_x0000_s1044" style="position:absolute;left:0;text-align:left;margin-left:464.5pt;margin-top:8.05pt;width:75.05pt;height:8pt;z-index:251658752" o:allowincell="f" filled="f" stroked="f" strokecolor="lime" strokeweight=".25pt">
            <v:textbox inset="0,0,0,0">
              <w:txbxContent>
                <w:p w14:paraId="0064850B" w14:textId="77777777" w:rsidR="00290902" w:rsidRDefault="00290902">
                  <w:pPr>
                    <w:spacing w:line="160" w:lineRule="exact"/>
                    <w:jc w:val="left"/>
                    <w:rPr>
                      <w:rFonts w:cs="Miriam"/>
                      <w:noProof/>
                      <w:szCs w:val="18"/>
                      <w:rtl/>
                    </w:rPr>
                  </w:pPr>
                  <w:r>
                    <w:rPr>
                      <w:rFonts w:cs="Miriam"/>
                      <w:szCs w:val="18"/>
                      <w:rtl/>
                    </w:rPr>
                    <w:t>פ</w:t>
                  </w:r>
                  <w:r>
                    <w:rPr>
                      <w:rFonts w:cs="Miriam" w:hint="cs"/>
                      <w:szCs w:val="18"/>
                      <w:rtl/>
                    </w:rPr>
                    <w:t>רוטוקול</w:t>
                  </w:r>
                </w:p>
              </w:txbxContent>
            </v:textbox>
            <w10:anchorlock/>
          </v:rect>
        </w:pict>
      </w:r>
      <w:r>
        <w:rPr>
          <w:rStyle w:val="big-number"/>
          <w:rtl/>
        </w:rPr>
        <w:t>19.</w:t>
      </w:r>
      <w:r>
        <w:rPr>
          <w:rStyle w:val="big-number"/>
          <w:rtl/>
        </w:rPr>
        <w:tab/>
      </w:r>
      <w:r>
        <w:rPr>
          <w:rStyle w:val="default"/>
          <w:rFonts w:cs="FrankRuehl"/>
          <w:rtl/>
        </w:rPr>
        <w:t>י</w:t>
      </w:r>
      <w:r>
        <w:rPr>
          <w:rStyle w:val="default"/>
          <w:rFonts w:cs="FrankRuehl" w:hint="cs"/>
          <w:rtl/>
        </w:rPr>
        <w:t>ושב-ראש הועדה ינהל רישום תמציתי של דיוני הועדה והוא יחתום עליו.</w:t>
      </w:r>
    </w:p>
    <w:p w14:paraId="101BCA54" w14:textId="77777777" w:rsidR="00290902" w:rsidRDefault="00290902">
      <w:pPr>
        <w:pStyle w:val="P00"/>
        <w:spacing w:before="72"/>
        <w:ind w:left="0" w:right="1134"/>
        <w:rPr>
          <w:rStyle w:val="default"/>
          <w:rFonts w:cs="FrankRuehl"/>
          <w:rtl/>
        </w:rPr>
      </w:pPr>
      <w:bookmarkStart w:id="20" w:name="Seif19"/>
      <w:bookmarkEnd w:id="20"/>
      <w:r>
        <w:rPr>
          <w:lang w:val="he-IL"/>
        </w:rPr>
        <w:pict w14:anchorId="4A102C3B">
          <v:rect id="_x0000_s1045" style="position:absolute;left:0;text-align:left;margin-left:464.5pt;margin-top:8.05pt;width:75.05pt;height:16pt;z-index:251659776" o:allowincell="f" filled="f" stroked="f" strokecolor="lime" strokeweight=".25pt">
            <v:textbox inset="0,0,0,0">
              <w:txbxContent>
                <w:p w14:paraId="4F38C62F" w14:textId="77777777" w:rsidR="00290902" w:rsidRDefault="00290902">
                  <w:pPr>
                    <w:spacing w:line="160" w:lineRule="exact"/>
                    <w:jc w:val="left"/>
                    <w:rPr>
                      <w:rFonts w:cs="Miriam"/>
                      <w:noProof/>
                      <w:szCs w:val="18"/>
                      <w:rtl/>
                    </w:rPr>
                  </w:pPr>
                  <w:r>
                    <w:rPr>
                      <w:rFonts w:cs="Miriam"/>
                      <w:szCs w:val="18"/>
                      <w:rtl/>
                    </w:rPr>
                    <w:t>מ</w:t>
                  </w:r>
                  <w:r>
                    <w:rPr>
                      <w:rFonts w:cs="Miriam" w:hint="cs"/>
                      <w:szCs w:val="18"/>
                      <w:rtl/>
                    </w:rPr>
                    <w:t xml:space="preserve">סירת העתק </w:t>
                  </w:r>
                  <w:r>
                    <w:rPr>
                      <w:rFonts w:cs="Miriam"/>
                      <w:szCs w:val="18"/>
                      <w:rtl/>
                    </w:rPr>
                    <w:t>ה</w:t>
                  </w:r>
                  <w:r>
                    <w:rPr>
                      <w:rFonts w:cs="Miriam" w:hint="cs"/>
                      <w:szCs w:val="18"/>
                      <w:rtl/>
                    </w:rPr>
                    <w:t>החלטה</w:t>
                  </w:r>
                </w:p>
              </w:txbxContent>
            </v:textbox>
            <w10:anchorlock/>
          </v:rect>
        </w:pict>
      </w:r>
      <w:r>
        <w:rPr>
          <w:rStyle w:val="big-number"/>
          <w:rtl/>
        </w:rPr>
        <w:t>20.</w:t>
      </w:r>
      <w:r>
        <w:rPr>
          <w:rStyle w:val="big-number"/>
          <w:rtl/>
        </w:rPr>
        <w:tab/>
      </w:r>
      <w:r>
        <w:rPr>
          <w:rStyle w:val="default"/>
          <w:rFonts w:cs="FrankRuehl"/>
          <w:rtl/>
        </w:rPr>
        <w:t>ס</w:t>
      </w:r>
      <w:r>
        <w:rPr>
          <w:rStyle w:val="default"/>
          <w:rFonts w:cs="FrankRuehl" w:hint="cs"/>
          <w:rtl/>
        </w:rPr>
        <w:t>מוך לאחר נתינת החלטתה בערר תמסור הועדה העתקים ממנה לעורר ולמש</w:t>
      </w:r>
      <w:r>
        <w:rPr>
          <w:rStyle w:val="default"/>
          <w:rFonts w:cs="FrankRuehl"/>
          <w:rtl/>
        </w:rPr>
        <w:t>י</w:t>
      </w:r>
      <w:r>
        <w:rPr>
          <w:rStyle w:val="default"/>
          <w:rFonts w:cs="FrankRuehl" w:hint="cs"/>
          <w:rtl/>
        </w:rPr>
        <w:t>ב.</w:t>
      </w:r>
    </w:p>
    <w:p w14:paraId="152DAA1F" w14:textId="77777777" w:rsidR="00290902" w:rsidRDefault="00290902">
      <w:pPr>
        <w:pStyle w:val="P00"/>
        <w:spacing w:before="72"/>
        <w:ind w:left="0" w:right="1134"/>
        <w:rPr>
          <w:rStyle w:val="default"/>
          <w:rFonts w:cs="FrankRuehl"/>
          <w:rtl/>
        </w:rPr>
      </w:pPr>
      <w:bookmarkStart w:id="21" w:name="Seif20"/>
      <w:bookmarkEnd w:id="21"/>
      <w:r>
        <w:rPr>
          <w:lang w:val="he-IL"/>
        </w:rPr>
        <w:pict w14:anchorId="697DA34E">
          <v:rect id="_x0000_s1046" style="position:absolute;left:0;text-align:left;margin-left:464.5pt;margin-top:8.05pt;width:75.05pt;height:16pt;z-index:251660800" o:allowincell="f" filled="f" stroked="f" strokecolor="lime" strokeweight=".25pt">
            <v:textbox inset="0,0,0,0">
              <w:txbxContent>
                <w:p w14:paraId="3DA9E52E" w14:textId="77777777" w:rsidR="00290902" w:rsidRDefault="00290902">
                  <w:pPr>
                    <w:spacing w:line="160" w:lineRule="exact"/>
                    <w:jc w:val="left"/>
                    <w:rPr>
                      <w:rFonts w:cs="Miriam"/>
                      <w:noProof/>
                      <w:szCs w:val="18"/>
                      <w:rtl/>
                    </w:rPr>
                  </w:pPr>
                  <w:r>
                    <w:rPr>
                      <w:rFonts w:cs="Miriam"/>
                      <w:szCs w:val="18"/>
                      <w:rtl/>
                    </w:rPr>
                    <w:t>ה</w:t>
                  </w:r>
                  <w:r>
                    <w:rPr>
                      <w:rFonts w:cs="Miriam" w:hint="cs"/>
                      <w:szCs w:val="18"/>
                      <w:rtl/>
                    </w:rPr>
                    <w:t>ארכת מועדי</w:t>
                  </w:r>
                  <w:r>
                    <w:rPr>
                      <w:rFonts w:cs="Miriam"/>
                      <w:szCs w:val="18"/>
                      <w:rtl/>
                    </w:rPr>
                    <w:t>ם</w:t>
                  </w:r>
                </w:p>
                <w:p w14:paraId="39C9E642" w14:textId="77777777" w:rsidR="00290902" w:rsidRDefault="00290902">
                  <w:pPr>
                    <w:spacing w:line="160" w:lineRule="exact"/>
                    <w:jc w:val="left"/>
                    <w:rPr>
                      <w:rFonts w:cs="Miriam"/>
                      <w:noProof/>
                      <w:szCs w:val="18"/>
                      <w:rtl/>
                    </w:rPr>
                  </w:pPr>
                  <w:r>
                    <w:rPr>
                      <w:rFonts w:cs="Miriam"/>
                      <w:szCs w:val="18"/>
                      <w:rtl/>
                    </w:rPr>
                    <w:t>ת</w:t>
                  </w:r>
                  <w:r>
                    <w:rPr>
                      <w:rFonts w:cs="Miriam" w:hint="cs"/>
                      <w:szCs w:val="18"/>
                      <w:rtl/>
                    </w:rPr>
                    <w:t>"ט תשל"ט-1979</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היושב-ראש התורן או יושב ראש הועדה שהיושב-ראש התורן קבעו לכך רשאי, על פי בקשה מנומקת בכתב של העורר, ומנימוקים מיוחדים שיירשמו, להאריך את המועד הקבוע להגשת עררים בסעיף 27 לחוק; ובלבד שלא ת</w:t>
      </w:r>
      <w:r>
        <w:rPr>
          <w:rStyle w:val="default"/>
          <w:rFonts w:cs="FrankRuehl"/>
          <w:rtl/>
        </w:rPr>
        <w:t>ק</w:t>
      </w:r>
      <w:r>
        <w:rPr>
          <w:rStyle w:val="default"/>
          <w:rFonts w:cs="FrankRuehl" w:hint="cs"/>
          <w:rtl/>
        </w:rPr>
        <w:t>ובל בקשה שהוגשה לאחר שעברו שישים יום מתום אותו מועד.</w:t>
      </w:r>
    </w:p>
    <w:p w14:paraId="13E4242E" w14:textId="77777777" w:rsidR="00290902" w:rsidRDefault="0029090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הועדה רשאית, על פי בקשה מנומקת בכתב של המשיב, ומנימוקים מיוחדים שיירשמו, להאריך את המועד הקבוע בתקנה 4(א) להגשת תשובת המשיב, ובלבד שלא תקובל בקשה שהוגשה לאחר שעברו שישים יום מתום אותו מועד.</w:t>
      </w:r>
    </w:p>
    <w:p w14:paraId="324CC60A" w14:textId="77777777" w:rsidR="00290902" w:rsidRDefault="0029090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w:t>
      </w:r>
      <w:r>
        <w:rPr>
          <w:rStyle w:val="default"/>
          <w:rFonts w:cs="FrankRuehl"/>
          <w:rtl/>
        </w:rPr>
        <w:t>ל</w:t>
      </w:r>
      <w:r>
        <w:rPr>
          <w:rStyle w:val="default"/>
          <w:rFonts w:cs="FrankRuehl" w:hint="cs"/>
          <w:rtl/>
        </w:rPr>
        <w:t>טה להאריך מועד לפי תקנה זו תימסר גם למשיב או</w:t>
      </w:r>
      <w:r>
        <w:rPr>
          <w:rtl/>
        </w:rPr>
        <w:t> </w:t>
      </w:r>
      <w:r>
        <w:rPr>
          <w:rStyle w:val="default"/>
          <w:rFonts w:cs="FrankRuehl"/>
          <w:rtl/>
        </w:rPr>
        <w:t xml:space="preserve"> </w:t>
      </w:r>
      <w:r>
        <w:rPr>
          <w:rStyle w:val="default"/>
          <w:rFonts w:cs="FrankRuehl" w:hint="cs"/>
          <w:rtl/>
        </w:rPr>
        <w:t>לעורר, לפי הענין.</w:t>
      </w:r>
    </w:p>
    <w:p w14:paraId="4656327E" w14:textId="77777777" w:rsidR="00290902" w:rsidRDefault="00290902">
      <w:pPr>
        <w:pStyle w:val="P00"/>
        <w:spacing w:before="0"/>
        <w:ind w:left="0" w:right="1134"/>
        <w:rPr>
          <w:rStyle w:val="default"/>
          <w:rFonts w:cs="FrankRuehl" w:hint="cs"/>
          <w:vanish/>
          <w:color w:val="FF0000"/>
          <w:szCs w:val="20"/>
          <w:shd w:val="clear" w:color="auto" w:fill="FFFF99"/>
          <w:rtl/>
        </w:rPr>
      </w:pPr>
      <w:bookmarkStart w:id="22" w:name="Rov38"/>
      <w:r>
        <w:rPr>
          <w:rStyle w:val="default"/>
          <w:rFonts w:cs="FrankRuehl" w:hint="cs"/>
          <w:vanish/>
          <w:color w:val="FF0000"/>
          <w:szCs w:val="20"/>
          <w:shd w:val="clear" w:color="auto" w:fill="FFFF99"/>
          <w:rtl/>
        </w:rPr>
        <w:t>מיום 29.5.1979</w:t>
      </w:r>
    </w:p>
    <w:p w14:paraId="73DBE2D6" w14:textId="77777777" w:rsidR="00290902" w:rsidRDefault="00290902">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ת"ט תשל"ט-1979</w:t>
      </w:r>
    </w:p>
    <w:p w14:paraId="559A2E7E" w14:textId="77777777" w:rsidR="00290902" w:rsidRDefault="00290902">
      <w:pPr>
        <w:pStyle w:val="P00"/>
        <w:spacing w:before="0"/>
        <w:ind w:left="0" w:right="1134"/>
        <w:rPr>
          <w:rStyle w:val="default"/>
          <w:rFonts w:cs="FrankRuehl" w:hint="cs"/>
          <w:vanish/>
          <w:szCs w:val="20"/>
          <w:shd w:val="clear" w:color="auto" w:fill="FFFF99"/>
          <w:rtl/>
        </w:rPr>
      </w:pPr>
      <w:hyperlink r:id="rId7" w:history="1">
        <w:r>
          <w:rPr>
            <w:rStyle w:val="Hyperlink"/>
            <w:rFonts w:hint="cs"/>
            <w:vanish/>
            <w:szCs w:val="20"/>
            <w:shd w:val="clear" w:color="auto" w:fill="FFFF99"/>
            <w:rtl/>
          </w:rPr>
          <w:t>ק"ת תשל"ט מס' 3986</w:t>
        </w:r>
      </w:hyperlink>
      <w:r>
        <w:rPr>
          <w:rStyle w:val="default"/>
          <w:rFonts w:cs="FrankRuehl" w:hint="cs"/>
          <w:vanish/>
          <w:szCs w:val="20"/>
          <w:shd w:val="clear" w:color="auto" w:fill="FFFF99"/>
          <w:rtl/>
        </w:rPr>
        <w:t xml:space="preserve"> מיום 29.5.1979 עמ' 1304</w:t>
      </w:r>
    </w:p>
    <w:p w14:paraId="16F67044" w14:textId="77777777" w:rsidR="00290902" w:rsidRDefault="00290902">
      <w:pPr>
        <w:pStyle w:val="P00"/>
        <w:ind w:left="0" w:right="1134"/>
        <w:rPr>
          <w:rStyle w:val="default"/>
          <w:rFonts w:cs="FrankRuehl" w:hint="cs"/>
          <w:sz w:val="2"/>
          <w:szCs w:val="2"/>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א)</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היושב-ראש התורן או יושב ראש הועדה שהיושב-ראש התורן קבעו לכך רשאי, על פי בקשה מנומקת בכתב של העורר, </w:t>
      </w:r>
      <w:r>
        <w:rPr>
          <w:rStyle w:val="default"/>
          <w:rFonts w:cs="FrankRuehl" w:hint="cs"/>
          <w:strike/>
          <w:vanish/>
          <w:sz w:val="22"/>
          <w:szCs w:val="22"/>
          <w:shd w:val="clear" w:color="auto" w:fill="FFFF99"/>
          <w:rtl/>
        </w:rPr>
        <w:t>ובנימוקים</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ומנימוקים</w:t>
      </w:r>
      <w:r>
        <w:rPr>
          <w:rStyle w:val="default"/>
          <w:rFonts w:cs="FrankRuehl" w:hint="cs"/>
          <w:vanish/>
          <w:sz w:val="22"/>
          <w:szCs w:val="22"/>
          <w:shd w:val="clear" w:color="auto" w:fill="FFFF99"/>
          <w:rtl/>
        </w:rPr>
        <w:t xml:space="preserve"> מיוחדים שיירשמו, להאריך את המועד הקבוע להגשת עררים בסעיף 27 לחוק; ובלבד שלא ת</w:t>
      </w:r>
      <w:r>
        <w:rPr>
          <w:rStyle w:val="default"/>
          <w:rFonts w:cs="FrankRuehl"/>
          <w:vanish/>
          <w:sz w:val="22"/>
          <w:szCs w:val="22"/>
          <w:shd w:val="clear" w:color="auto" w:fill="FFFF99"/>
          <w:rtl/>
        </w:rPr>
        <w:t>ק</w:t>
      </w:r>
      <w:r>
        <w:rPr>
          <w:rStyle w:val="default"/>
          <w:rFonts w:cs="FrankRuehl" w:hint="cs"/>
          <w:vanish/>
          <w:sz w:val="22"/>
          <w:szCs w:val="22"/>
          <w:shd w:val="clear" w:color="auto" w:fill="FFFF99"/>
          <w:rtl/>
        </w:rPr>
        <w:t>ובל בקשה שהוגשה לאחר שעברו שישים יום מתום אותו מועד.</w:t>
      </w:r>
      <w:bookmarkEnd w:id="22"/>
    </w:p>
    <w:p w14:paraId="073DA80A" w14:textId="77777777" w:rsidR="00290902" w:rsidRDefault="00290902">
      <w:pPr>
        <w:pStyle w:val="P00"/>
        <w:spacing w:before="72"/>
        <w:ind w:left="0" w:right="1134"/>
        <w:rPr>
          <w:rStyle w:val="default"/>
          <w:rFonts w:cs="FrankRuehl"/>
          <w:rtl/>
        </w:rPr>
      </w:pPr>
      <w:bookmarkStart w:id="23" w:name="Seif21"/>
      <w:bookmarkEnd w:id="23"/>
      <w:r>
        <w:rPr>
          <w:lang w:val="he-IL"/>
        </w:rPr>
        <w:pict w14:anchorId="13EED94E">
          <v:rect id="_x0000_s1047" style="position:absolute;left:0;text-align:left;margin-left:464.5pt;margin-top:8.05pt;width:75.05pt;height:24pt;z-index:251661824" o:allowincell="f" filled="f" stroked="f" strokecolor="lime" strokeweight=".25pt">
            <v:textbox inset="0,0,0,0">
              <w:txbxContent>
                <w:p w14:paraId="5C547123" w14:textId="77777777" w:rsidR="00290902" w:rsidRDefault="00290902">
                  <w:pPr>
                    <w:spacing w:line="160" w:lineRule="exact"/>
                    <w:jc w:val="left"/>
                    <w:rPr>
                      <w:rFonts w:cs="Miriam"/>
                      <w:noProof/>
                      <w:szCs w:val="18"/>
                      <w:rtl/>
                    </w:rPr>
                  </w:pPr>
                  <w:r>
                    <w:rPr>
                      <w:rFonts w:cs="Miriam"/>
                      <w:szCs w:val="18"/>
                      <w:rtl/>
                    </w:rPr>
                    <w:t>א</w:t>
                  </w:r>
                  <w:r>
                    <w:rPr>
                      <w:rFonts w:cs="Miriam" w:hint="cs"/>
                      <w:szCs w:val="18"/>
                      <w:rtl/>
                    </w:rPr>
                    <w:t xml:space="preserve">ופן מסירת </w:t>
                  </w:r>
                  <w:r>
                    <w:rPr>
                      <w:rFonts w:cs="Miriam"/>
                      <w:szCs w:val="18"/>
                      <w:rtl/>
                    </w:rPr>
                    <w:t>מ</w:t>
                  </w:r>
                  <w:r>
                    <w:rPr>
                      <w:rFonts w:cs="Miriam" w:hint="cs"/>
                      <w:szCs w:val="18"/>
                      <w:rtl/>
                    </w:rPr>
                    <w:t xml:space="preserve">סמכים על ידי </w:t>
                  </w:r>
                  <w:r>
                    <w:rPr>
                      <w:rFonts w:cs="Miriam"/>
                      <w:szCs w:val="18"/>
                      <w:rtl/>
                    </w:rPr>
                    <w:t>ה</w:t>
                  </w:r>
                  <w:r>
                    <w:rPr>
                      <w:rFonts w:cs="Miriam" w:hint="cs"/>
                      <w:szCs w:val="18"/>
                      <w:rtl/>
                    </w:rPr>
                    <w:t>ועדה</w:t>
                  </w:r>
                </w:p>
              </w:txbxContent>
            </v:textbox>
            <w10:anchorlock/>
          </v:rect>
        </w:pict>
      </w:r>
      <w:r>
        <w:rPr>
          <w:rStyle w:val="big-number"/>
          <w:rtl/>
        </w:rPr>
        <w:t>22.</w:t>
      </w:r>
      <w:r>
        <w:rPr>
          <w:rStyle w:val="big-number"/>
          <w:rtl/>
        </w:rPr>
        <w:tab/>
      </w:r>
      <w:r>
        <w:rPr>
          <w:rStyle w:val="default"/>
          <w:rFonts w:cs="FrankRuehl"/>
          <w:rtl/>
        </w:rPr>
        <w:t>מ</w:t>
      </w:r>
      <w:r>
        <w:rPr>
          <w:rStyle w:val="default"/>
          <w:rFonts w:cs="FrankRuehl" w:hint="cs"/>
          <w:rtl/>
        </w:rPr>
        <w:t>סירת מסמכים על ידי הועדה לעורר תיעשה במסירה לידו או במשלוח בדואר רשום למען שצויין בערר; מסירת מסמכים על ידי הועדה למשיב תהיה במסירה לידו כנגד אישור בכתב</w:t>
      </w:r>
      <w:r>
        <w:rPr>
          <w:rStyle w:val="default"/>
          <w:rFonts w:cs="FrankRuehl"/>
          <w:rtl/>
        </w:rPr>
        <w:t xml:space="preserve"> </w:t>
      </w:r>
      <w:r>
        <w:rPr>
          <w:rStyle w:val="default"/>
          <w:rFonts w:cs="FrankRuehl" w:hint="cs"/>
          <w:rtl/>
        </w:rPr>
        <w:t>של קבלתם.</w:t>
      </w:r>
    </w:p>
    <w:p w14:paraId="6364381C" w14:textId="77777777" w:rsidR="00290902" w:rsidRDefault="00290902">
      <w:pPr>
        <w:pStyle w:val="P00"/>
        <w:spacing w:before="72"/>
        <w:ind w:left="0" w:right="1134"/>
        <w:rPr>
          <w:rStyle w:val="default"/>
          <w:rFonts w:cs="FrankRuehl"/>
          <w:rtl/>
        </w:rPr>
      </w:pPr>
      <w:bookmarkStart w:id="24" w:name="Seif22"/>
      <w:bookmarkEnd w:id="24"/>
      <w:r>
        <w:rPr>
          <w:lang w:val="he-IL"/>
        </w:rPr>
        <w:pict w14:anchorId="4D134360">
          <v:rect id="_x0000_s1048" style="position:absolute;left:0;text-align:left;margin-left:464.5pt;margin-top:8.05pt;width:75.05pt;height:16pt;z-index:251662848" o:allowincell="f" filled="f" stroked="f" strokecolor="lime" strokeweight=".25pt">
            <v:textbox inset="0,0,0,0">
              <w:txbxContent>
                <w:p w14:paraId="47CA4A0E" w14:textId="77777777" w:rsidR="00290902" w:rsidRDefault="00290902">
                  <w:pPr>
                    <w:spacing w:line="160" w:lineRule="exact"/>
                    <w:jc w:val="left"/>
                    <w:rPr>
                      <w:rFonts w:cs="Miriam"/>
                      <w:noProof/>
                      <w:szCs w:val="18"/>
                      <w:rtl/>
                    </w:rPr>
                  </w:pPr>
                  <w:r>
                    <w:rPr>
                      <w:rFonts w:cs="Miriam"/>
                      <w:szCs w:val="18"/>
                      <w:rtl/>
                    </w:rPr>
                    <w:t>ע</w:t>
                  </w:r>
                  <w:r>
                    <w:rPr>
                      <w:rFonts w:cs="Miriam" w:hint="cs"/>
                      <w:szCs w:val="18"/>
                      <w:rtl/>
                    </w:rPr>
                    <w:t xml:space="preserve">רר או תשובה </w:t>
                  </w:r>
                  <w:r>
                    <w:rPr>
                      <w:rFonts w:cs="Miriam"/>
                      <w:szCs w:val="18"/>
                      <w:rtl/>
                    </w:rPr>
                    <w:t>ש</w:t>
                  </w:r>
                  <w:r>
                    <w:rPr>
                      <w:rFonts w:cs="Miriam" w:hint="cs"/>
                      <w:szCs w:val="18"/>
                      <w:rtl/>
                    </w:rPr>
                    <w:t>הוגשו באיחור</w:t>
                  </w:r>
                </w:p>
              </w:txbxContent>
            </v:textbox>
            <w10:anchorlock/>
          </v:rect>
        </w:pict>
      </w:r>
      <w:r>
        <w:rPr>
          <w:rStyle w:val="big-number"/>
          <w:rtl/>
        </w:rPr>
        <w:t>23.</w:t>
      </w:r>
      <w:r>
        <w:rPr>
          <w:rStyle w:val="big-number"/>
          <w:rtl/>
        </w:rPr>
        <w:tab/>
      </w:r>
      <w:r>
        <w:rPr>
          <w:rStyle w:val="default"/>
          <w:rFonts w:cs="FrankRuehl"/>
          <w:rtl/>
        </w:rPr>
        <w:t>ע</w:t>
      </w:r>
      <w:r>
        <w:rPr>
          <w:rStyle w:val="default"/>
          <w:rFonts w:cs="FrankRuehl" w:hint="cs"/>
          <w:rtl/>
        </w:rPr>
        <w:t>רר או תשובה שהוגשו אחרי המועד שנקבע בסעיף 27 לחוק או בתקנות אלה או אחרי המועד שהוארך לפי תקנה 21 - לא יקובלו; אולם רשאי מגיש ערר או תשובה כאמור לבקש שהערר או התשובה יובאו לועדה על-מנת שתחליט אם הוגשו במועד; החל</w:t>
      </w:r>
      <w:r>
        <w:rPr>
          <w:rStyle w:val="default"/>
          <w:rFonts w:cs="FrankRuehl"/>
          <w:rtl/>
        </w:rPr>
        <w:t>י</w:t>
      </w:r>
      <w:r>
        <w:rPr>
          <w:rStyle w:val="default"/>
          <w:rFonts w:cs="FrankRuehl" w:hint="cs"/>
          <w:rtl/>
        </w:rPr>
        <w:t>טה הועדה שהערר או התשובות הוגשו לאחר המועד, תחליט גם בענין ההוצאות, לרבות שכר טרחת עורך-דין.</w:t>
      </w:r>
    </w:p>
    <w:p w14:paraId="16C97805" w14:textId="77777777" w:rsidR="00290902" w:rsidRDefault="00290902">
      <w:pPr>
        <w:pStyle w:val="P00"/>
        <w:spacing w:before="72"/>
        <w:ind w:left="0" w:right="1134"/>
        <w:rPr>
          <w:rStyle w:val="default"/>
          <w:rFonts w:cs="FrankRuehl"/>
          <w:rtl/>
        </w:rPr>
      </w:pPr>
      <w:bookmarkStart w:id="25" w:name="Seif23"/>
      <w:bookmarkEnd w:id="25"/>
      <w:r>
        <w:rPr>
          <w:lang w:val="he-IL"/>
        </w:rPr>
        <w:pict w14:anchorId="770CA2FF">
          <v:rect id="_x0000_s1049" style="position:absolute;left:0;text-align:left;margin-left:464.5pt;margin-top:8.05pt;width:75.05pt;height:10.35pt;z-index:251663872" o:allowincell="f" filled="f" stroked="f" strokecolor="lime" strokeweight=".25pt">
            <v:textbox inset="0,0,0,0">
              <w:txbxContent>
                <w:p w14:paraId="1561E9DE" w14:textId="77777777" w:rsidR="00290902" w:rsidRDefault="00290902">
                  <w:pPr>
                    <w:spacing w:line="160" w:lineRule="exact"/>
                    <w:jc w:val="left"/>
                    <w:rPr>
                      <w:rFonts w:cs="Miriam"/>
                      <w:noProof/>
                      <w:szCs w:val="18"/>
                      <w:rtl/>
                    </w:rPr>
                  </w:pPr>
                  <w:r>
                    <w:rPr>
                      <w:rFonts w:cs="Miriam"/>
                      <w:szCs w:val="18"/>
                      <w:rtl/>
                    </w:rPr>
                    <w:t>י</w:t>
                  </w:r>
                  <w:r>
                    <w:rPr>
                      <w:rFonts w:cs="Miriam" w:hint="cs"/>
                      <w:szCs w:val="18"/>
                      <w:rtl/>
                    </w:rPr>
                    <w:t>ושב-ראש תורן</w:t>
                  </w:r>
                </w:p>
              </w:txbxContent>
            </v:textbox>
            <w10:anchorlock/>
          </v:rect>
        </w:pict>
      </w:r>
      <w:r>
        <w:rPr>
          <w:rStyle w:val="big-number"/>
          <w:rtl/>
        </w:rPr>
        <w:t>24.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באיזור שבו מכהנות יותר מועדה אחת, רשאי שר המשפטים למנות יושב ראש של אחת הועדות, הרשום בפנקס עורכי הדין, להיות יושב-ראש תורן.</w:t>
      </w:r>
    </w:p>
    <w:p w14:paraId="4A0E163B" w14:textId="77777777" w:rsidR="00290902" w:rsidRDefault="0029090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היושב-ר</w:t>
      </w:r>
      <w:r>
        <w:rPr>
          <w:rStyle w:val="default"/>
          <w:rFonts w:cs="FrankRuehl"/>
          <w:rtl/>
        </w:rPr>
        <w:t>א</w:t>
      </w:r>
      <w:r>
        <w:rPr>
          <w:rStyle w:val="default"/>
          <w:rFonts w:cs="FrankRuehl" w:hint="cs"/>
          <w:rtl/>
        </w:rPr>
        <w:t>ש התורן אחראי מבחינה מינהלית על הפעלת</w:t>
      </w:r>
      <w:r>
        <w:rPr>
          <w:rStyle w:val="default"/>
          <w:rFonts w:cs="FrankRuehl"/>
          <w:rtl/>
        </w:rPr>
        <w:t xml:space="preserve"> </w:t>
      </w:r>
      <w:r>
        <w:rPr>
          <w:rStyle w:val="default"/>
          <w:rFonts w:cs="FrankRuehl" w:hint="cs"/>
          <w:rtl/>
        </w:rPr>
        <w:t>הועדות ויקיים מעקב אחר פעילותן הסדירה.</w:t>
      </w:r>
    </w:p>
    <w:p w14:paraId="1977BB0A" w14:textId="77777777" w:rsidR="00290902" w:rsidRDefault="0029090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באזור שבו מכהנת ועדה אחת, יהיו ליושב-ראש הסמכויות של יושב ראש תורן.</w:t>
      </w:r>
    </w:p>
    <w:p w14:paraId="214F2DCD" w14:textId="77777777" w:rsidR="00290902" w:rsidRDefault="00290902">
      <w:pPr>
        <w:pStyle w:val="P00"/>
        <w:spacing w:before="72"/>
        <w:ind w:left="0" w:right="1134"/>
        <w:rPr>
          <w:rStyle w:val="default"/>
          <w:rFonts w:cs="FrankRuehl"/>
          <w:rtl/>
        </w:rPr>
      </w:pPr>
      <w:bookmarkStart w:id="26" w:name="Seif24"/>
      <w:bookmarkEnd w:id="26"/>
      <w:r>
        <w:rPr>
          <w:lang w:val="he-IL"/>
        </w:rPr>
        <w:pict w14:anchorId="3AD60AC5">
          <v:rect id="_x0000_s1050" style="position:absolute;left:0;text-align:left;margin-left:464.5pt;margin-top:8.05pt;width:75.05pt;height:26.4pt;z-index:251664896" o:allowincell="f" filled="f" stroked="f" strokecolor="lime" strokeweight=".25pt">
            <v:textbox inset="0,0,0,0">
              <w:txbxContent>
                <w:p w14:paraId="362F152C" w14:textId="77777777" w:rsidR="00290902" w:rsidRDefault="00290902">
                  <w:pPr>
                    <w:spacing w:line="160" w:lineRule="exact"/>
                    <w:jc w:val="left"/>
                    <w:rPr>
                      <w:rFonts w:cs="Miriam"/>
                      <w:noProof/>
                      <w:szCs w:val="18"/>
                      <w:rtl/>
                    </w:rPr>
                  </w:pPr>
                  <w:r>
                    <w:rPr>
                      <w:rFonts w:cs="Miriam"/>
                      <w:szCs w:val="18"/>
                      <w:rtl/>
                    </w:rPr>
                    <w:t>ק</w:t>
                  </w:r>
                  <w:r>
                    <w:rPr>
                      <w:rFonts w:cs="Miriam" w:hint="cs"/>
                      <w:szCs w:val="18"/>
                      <w:rtl/>
                    </w:rPr>
                    <w:t xml:space="preserve">ביעת מותבים </w:t>
                  </w:r>
                  <w:r>
                    <w:rPr>
                      <w:rFonts w:cs="Miriam"/>
                      <w:szCs w:val="18"/>
                      <w:rtl/>
                    </w:rPr>
                    <w:t>ו</w:t>
                  </w:r>
                  <w:r>
                    <w:rPr>
                      <w:rFonts w:cs="Miriam" w:hint="cs"/>
                      <w:szCs w:val="18"/>
                      <w:rtl/>
                    </w:rPr>
                    <w:t xml:space="preserve">חלוקת תיקי </w:t>
                  </w:r>
                  <w:r>
                    <w:rPr>
                      <w:rFonts w:cs="Miriam"/>
                      <w:szCs w:val="18"/>
                      <w:rtl/>
                    </w:rPr>
                    <w:t>ה</w:t>
                  </w:r>
                  <w:r>
                    <w:rPr>
                      <w:rFonts w:cs="Miriam" w:hint="cs"/>
                      <w:szCs w:val="18"/>
                      <w:rtl/>
                    </w:rPr>
                    <w:t>עררים ביניהם</w:t>
                  </w:r>
                </w:p>
              </w:txbxContent>
            </v:textbox>
            <w10:anchorlock/>
          </v:rect>
        </w:pict>
      </w:r>
      <w:r>
        <w:rPr>
          <w:rStyle w:val="big-number"/>
          <w:rtl/>
        </w:rPr>
        <w:t>25.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היושב-ראש התורן יקבע את המותבים של הועדות מבין ועדות ה</w:t>
      </w:r>
      <w:r>
        <w:rPr>
          <w:rStyle w:val="default"/>
          <w:rFonts w:cs="FrankRuehl"/>
          <w:rtl/>
        </w:rPr>
        <w:t>ע</w:t>
      </w:r>
      <w:r>
        <w:rPr>
          <w:rStyle w:val="default"/>
          <w:rFonts w:cs="FrankRuehl" w:hint="cs"/>
          <w:rtl/>
        </w:rPr>
        <w:t>רר שמינה שר המשפטים ויחלק ביניהם את תיקי העררים על פי סדר הגשתם והוא רשאי לסטות מסדר זה בכל אחד מאלה:</w:t>
      </w:r>
    </w:p>
    <w:p w14:paraId="759CC9AA" w14:textId="77777777" w:rsidR="00290902" w:rsidRDefault="0029090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ערר פלוני נראה לו מסובך ודורש דיון ממושך מהרגיל;</w:t>
      </w:r>
    </w:p>
    <w:p w14:paraId="1AF187CE" w14:textId="77777777" w:rsidR="00290902" w:rsidRDefault="0029090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הוגשו עררים אחדים על אותה החלטה של המנהל;</w:t>
      </w:r>
    </w:p>
    <w:p w14:paraId="3EF3A5DB" w14:textId="77777777" w:rsidR="00290902" w:rsidRDefault="0029090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הוגשו עררים אחדים הנוגעים לנכסים המהווים גוש אחד א</w:t>
      </w:r>
      <w:r>
        <w:rPr>
          <w:rStyle w:val="default"/>
          <w:rFonts w:cs="FrankRuehl"/>
          <w:rtl/>
        </w:rPr>
        <w:t>ו</w:t>
      </w:r>
      <w:r>
        <w:rPr>
          <w:rStyle w:val="default"/>
          <w:rFonts w:cs="FrankRuehl" w:hint="cs"/>
          <w:rtl/>
        </w:rPr>
        <w:t xml:space="preserve"> חלקה אחת, ומן הראוי שיידונו באותו מותב;</w:t>
      </w:r>
    </w:p>
    <w:p w14:paraId="242E88FE" w14:textId="77777777" w:rsidR="00290902" w:rsidRDefault="00290902">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העורר הגיש כתבי ערר אחדים לגבי אותו נכס, על</w:t>
      </w:r>
      <w:r>
        <w:rPr>
          <w:rStyle w:val="default"/>
          <w:rFonts w:cs="FrankRuehl"/>
          <w:rtl/>
        </w:rPr>
        <w:t xml:space="preserve"> </w:t>
      </w:r>
      <w:r>
        <w:rPr>
          <w:rStyle w:val="default"/>
          <w:rFonts w:cs="FrankRuehl" w:hint="cs"/>
          <w:rtl/>
        </w:rPr>
        <w:t>החלטות המנהל המתייחסות לשנים אחדות;</w:t>
      </w:r>
    </w:p>
    <w:p w14:paraId="284A4839" w14:textId="77777777" w:rsidR="00290902" w:rsidRDefault="00290902">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העורר הגיש כתבי ערר לגבי נכסים אחרים והוא או המשיב ביקשו כי יידונו במותב אחד, ובלבד שהיושב ראש התו</w:t>
      </w:r>
      <w:r>
        <w:rPr>
          <w:rStyle w:val="default"/>
          <w:rFonts w:cs="FrankRuehl"/>
          <w:rtl/>
        </w:rPr>
        <w:t>ר</w:t>
      </w:r>
      <w:r>
        <w:rPr>
          <w:rStyle w:val="default"/>
          <w:rFonts w:cs="FrankRuehl" w:hint="cs"/>
          <w:rtl/>
        </w:rPr>
        <w:t>ן ראה כי הדבר לא ישבש את עבודתם התקינה של המותבים השונים;</w:t>
      </w:r>
    </w:p>
    <w:p w14:paraId="44C18547" w14:textId="77777777" w:rsidR="00290902" w:rsidRDefault="00290902">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בעררים אחרים כרוכות אותן בעיות משפטיות או בעיות משפטיות דומות;</w:t>
      </w:r>
    </w:p>
    <w:p w14:paraId="4F22D513" w14:textId="77777777" w:rsidR="00290902" w:rsidRDefault="00290902">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מכל טעם מיוחד אחר.</w:t>
      </w:r>
    </w:p>
    <w:p w14:paraId="06552368" w14:textId="77777777" w:rsidR="00290902" w:rsidRDefault="00290902">
      <w:pPr>
        <w:pStyle w:val="P00"/>
        <w:spacing w:before="72"/>
        <w:ind w:left="0" w:right="1134"/>
        <w:rPr>
          <w:rStyle w:val="default"/>
          <w:rFonts w:cs="FrankRuehl"/>
          <w:rtl/>
        </w:rPr>
      </w:pPr>
      <w:bookmarkStart w:id="27" w:name="Seif25"/>
      <w:bookmarkEnd w:id="27"/>
      <w:r>
        <w:rPr>
          <w:lang w:val="he-IL"/>
        </w:rPr>
        <w:pict w14:anchorId="40680467">
          <v:rect id="_x0000_s1051" style="position:absolute;left:0;text-align:left;margin-left:464.5pt;margin-top:8.05pt;width:75.05pt;height:8pt;z-index:251665920" o:allowincell="f" filled="f" stroked="f" strokecolor="lime" strokeweight=".25pt">
            <v:textbox inset="0,0,0,0">
              <w:txbxContent>
                <w:p w14:paraId="48B245E8" w14:textId="77777777" w:rsidR="00290902" w:rsidRDefault="00290902">
                  <w:pPr>
                    <w:spacing w:line="160" w:lineRule="exact"/>
                    <w:jc w:val="left"/>
                    <w:rPr>
                      <w:rFonts w:cs="Miriam"/>
                      <w:noProof/>
                      <w:szCs w:val="18"/>
                      <w:rtl/>
                    </w:rPr>
                  </w:pPr>
                  <w:r>
                    <w:rPr>
                      <w:rFonts w:cs="Miriam"/>
                      <w:szCs w:val="18"/>
                      <w:rtl/>
                    </w:rPr>
                    <w:t>ט</w:t>
                  </w:r>
                  <w:r>
                    <w:rPr>
                      <w:rFonts w:cs="Miriam" w:hint="cs"/>
                      <w:szCs w:val="18"/>
                      <w:rtl/>
                    </w:rPr>
                    <w:t>עויות סופר</w:t>
                  </w:r>
                </w:p>
              </w:txbxContent>
            </v:textbox>
            <w10:anchorlock/>
          </v:rect>
        </w:pict>
      </w:r>
      <w:r>
        <w:rPr>
          <w:rStyle w:val="big-number"/>
          <w:rtl/>
        </w:rPr>
        <w:t>26.</w:t>
      </w:r>
      <w:r>
        <w:rPr>
          <w:rStyle w:val="big-number"/>
          <w:rtl/>
        </w:rPr>
        <w:tab/>
      </w:r>
      <w:r>
        <w:rPr>
          <w:rStyle w:val="default"/>
          <w:rFonts w:cs="FrankRuehl"/>
          <w:rtl/>
        </w:rPr>
        <w:t>ר</w:t>
      </w:r>
      <w:r>
        <w:rPr>
          <w:rStyle w:val="default"/>
          <w:rFonts w:cs="FrankRuehl" w:hint="cs"/>
          <w:rtl/>
        </w:rPr>
        <w:t>שאית הועדה אם נתבקשה לכך, לתקן, בהחלטה מנומקת בכתב, כל טעות סופר בהחלטה של הועדה או שגי</w:t>
      </w:r>
      <w:r>
        <w:rPr>
          <w:rStyle w:val="default"/>
          <w:rFonts w:cs="FrankRuehl"/>
          <w:rtl/>
        </w:rPr>
        <w:t>א</w:t>
      </w:r>
      <w:r>
        <w:rPr>
          <w:rStyle w:val="default"/>
          <w:rFonts w:cs="FrankRuehl" w:hint="cs"/>
          <w:rtl/>
        </w:rPr>
        <w:t>ות שחלו בה מחמת פליטת קולמוס או השמטה מקרית; הודעה על התיקון תימסר לבעלי הדין.</w:t>
      </w:r>
    </w:p>
    <w:p w14:paraId="0B3BF6AB" w14:textId="77777777" w:rsidR="00290902" w:rsidRDefault="00290902">
      <w:pPr>
        <w:pStyle w:val="P00"/>
        <w:spacing w:before="72"/>
        <w:ind w:left="0" w:right="1134"/>
        <w:rPr>
          <w:rStyle w:val="default"/>
          <w:rFonts w:cs="FrankRuehl"/>
          <w:rtl/>
        </w:rPr>
      </w:pPr>
      <w:bookmarkStart w:id="28" w:name="Seif26"/>
      <w:bookmarkEnd w:id="28"/>
      <w:r>
        <w:rPr>
          <w:lang w:val="he-IL"/>
        </w:rPr>
        <w:pict w14:anchorId="717DBF47">
          <v:rect id="_x0000_s1052" style="position:absolute;left:0;text-align:left;margin-left:464.5pt;margin-top:8.05pt;width:75.05pt;height:8pt;z-index:251666944" o:allowincell="f" filled="f" stroked="f" strokecolor="lime" strokeweight=".25pt">
            <v:textbox inset="0,0,0,0">
              <w:txbxContent>
                <w:p w14:paraId="39D1DD64" w14:textId="77777777" w:rsidR="00290902" w:rsidRDefault="00290902">
                  <w:pPr>
                    <w:spacing w:line="160" w:lineRule="exact"/>
                    <w:jc w:val="left"/>
                    <w:rPr>
                      <w:rFonts w:cs="Miriam"/>
                      <w:noProof/>
                      <w:szCs w:val="18"/>
                      <w:rtl/>
                    </w:rPr>
                  </w:pPr>
                  <w:r>
                    <w:rPr>
                      <w:rFonts w:cs="Miriam"/>
                      <w:szCs w:val="18"/>
                      <w:rtl/>
                    </w:rPr>
                    <w:t>ב</w:t>
                  </w:r>
                  <w:r>
                    <w:rPr>
                      <w:rFonts w:cs="Miriam" w:hint="cs"/>
                      <w:szCs w:val="18"/>
                      <w:rtl/>
                    </w:rPr>
                    <w:t>יטול ערר</w:t>
                  </w:r>
                </w:p>
              </w:txbxContent>
            </v:textbox>
            <w10:anchorlock/>
          </v:rect>
        </w:pict>
      </w:r>
      <w:r>
        <w:rPr>
          <w:rStyle w:val="big-number"/>
          <w:rtl/>
        </w:rPr>
        <w:t>27.</w:t>
      </w:r>
      <w:r>
        <w:rPr>
          <w:rStyle w:val="big-number"/>
          <w:rtl/>
        </w:rPr>
        <w:tab/>
      </w:r>
      <w:r>
        <w:rPr>
          <w:rStyle w:val="default"/>
          <w:rFonts w:cs="FrankRuehl"/>
          <w:rtl/>
        </w:rPr>
        <w:t>ב</w:t>
      </w:r>
      <w:r>
        <w:rPr>
          <w:rStyle w:val="default"/>
          <w:rFonts w:cs="FrankRuehl" w:hint="cs"/>
          <w:rtl/>
        </w:rPr>
        <w:t>יקש העורר לבטל את עררו והמשיב לא דרש שיפסקו לו הוצאות, לרבות שכר טרחת עורך-דין, הוצאות נסיעה או שכר בטלה של עדים, יורה יושב-ראש הועדה, ואם טרם החל הדיון בערר - היושב-ראש התורן על רישום דבר הביטול.</w:t>
      </w:r>
    </w:p>
    <w:p w14:paraId="1672C634" w14:textId="77777777" w:rsidR="00290902" w:rsidRDefault="00290902">
      <w:pPr>
        <w:pStyle w:val="P00"/>
        <w:spacing w:before="72"/>
        <w:ind w:left="0" w:right="1134"/>
        <w:rPr>
          <w:rStyle w:val="default"/>
          <w:rFonts w:cs="FrankRuehl"/>
          <w:rtl/>
        </w:rPr>
      </w:pPr>
      <w:bookmarkStart w:id="29" w:name="Seif27"/>
      <w:bookmarkEnd w:id="29"/>
      <w:r>
        <w:rPr>
          <w:lang w:val="he-IL"/>
        </w:rPr>
        <w:pict w14:anchorId="001FFB29">
          <v:rect id="_x0000_s1053" style="position:absolute;left:0;text-align:left;margin-left:464.5pt;margin-top:8.05pt;width:75.05pt;height:8pt;z-index:251667968" o:allowincell="f" filled="f" stroked="f" strokecolor="lime" strokeweight=".25pt">
            <v:textbox inset="0,0,0,0">
              <w:txbxContent>
                <w:p w14:paraId="4C6B22BF" w14:textId="77777777" w:rsidR="00290902" w:rsidRDefault="00290902">
                  <w:pPr>
                    <w:spacing w:line="160" w:lineRule="exact"/>
                    <w:jc w:val="left"/>
                    <w:rPr>
                      <w:rFonts w:cs="Miriam"/>
                      <w:noProof/>
                      <w:szCs w:val="18"/>
                      <w:rtl/>
                    </w:rPr>
                  </w:pPr>
                  <w:r>
                    <w:rPr>
                      <w:rFonts w:cs="Miriam"/>
                      <w:szCs w:val="18"/>
                      <w:rtl/>
                    </w:rPr>
                    <w:t>ב</w:t>
                  </w:r>
                  <w:r>
                    <w:rPr>
                      <w:rFonts w:cs="Miriam" w:hint="cs"/>
                      <w:szCs w:val="18"/>
                      <w:rtl/>
                    </w:rPr>
                    <w:t>יט</w:t>
                  </w:r>
                  <w:r>
                    <w:rPr>
                      <w:rFonts w:cs="Miriam"/>
                      <w:szCs w:val="18"/>
                      <w:rtl/>
                    </w:rPr>
                    <w:t>ו</w:t>
                  </w:r>
                  <w:r>
                    <w:rPr>
                      <w:rFonts w:cs="Miriam" w:hint="cs"/>
                      <w:szCs w:val="18"/>
                      <w:rtl/>
                    </w:rPr>
                    <w:t>ל</w:t>
                  </w:r>
                </w:p>
              </w:txbxContent>
            </v:textbox>
            <w10:anchorlock/>
          </v:rect>
        </w:pict>
      </w:r>
      <w:r>
        <w:rPr>
          <w:rStyle w:val="big-number"/>
          <w:rtl/>
        </w:rPr>
        <w:t>28.</w:t>
      </w:r>
      <w:r>
        <w:rPr>
          <w:rStyle w:val="big-number"/>
          <w:rtl/>
        </w:rPr>
        <w:tab/>
      </w:r>
      <w:r>
        <w:rPr>
          <w:rStyle w:val="default"/>
          <w:rFonts w:cs="FrankRuehl"/>
          <w:rtl/>
        </w:rPr>
        <w:t>ת</w:t>
      </w:r>
      <w:r>
        <w:rPr>
          <w:rStyle w:val="default"/>
          <w:rFonts w:cs="FrankRuehl" w:hint="cs"/>
          <w:rtl/>
        </w:rPr>
        <w:t>קנות מס רכוש וקרן פיצויים (הנוהל בועדות ערר), תשל"ו-1976 - בטלות.</w:t>
      </w:r>
    </w:p>
    <w:p w14:paraId="4C2A88B0" w14:textId="77777777" w:rsidR="00290902" w:rsidRDefault="00290902">
      <w:pPr>
        <w:pStyle w:val="P00"/>
        <w:spacing w:before="72"/>
        <w:ind w:left="0" w:right="1134"/>
        <w:rPr>
          <w:rStyle w:val="default"/>
          <w:rFonts w:cs="FrankRuehl" w:hint="cs"/>
          <w:rtl/>
        </w:rPr>
      </w:pPr>
      <w:bookmarkStart w:id="30" w:name="Seif28"/>
      <w:bookmarkEnd w:id="30"/>
      <w:r>
        <w:rPr>
          <w:lang w:val="he-IL"/>
        </w:rPr>
        <w:pict w14:anchorId="65F30AD1">
          <v:rect id="_x0000_s1054" style="position:absolute;left:0;text-align:left;margin-left:464.5pt;margin-top:8.05pt;width:75.05pt;height:8pt;z-index:251668992" o:allowincell="f" filled="f" stroked="f" strokecolor="lime" strokeweight=".25pt">
            <v:textbox inset="0,0,0,0">
              <w:txbxContent>
                <w:p w14:paraId="152682D6" w14:textId="77777777" w:rsidR="00290902" w:rsidRDefault="00290902">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29.</w:t>
      </w:r>
      <w:r>
        <w:rPr>
          <w:rStyle w:val="big-number"/>
          <w:rtl/>
        </w:rPr>
        <w:tab/>
      </w:r>
      <w:r>
        <w:rPr>
          <w:rStyle w:val="default"/>
          <w:rFonts w:cs="FrankRuehl"/>
          <w:rtl/>
        </w:rPr>
        <w:t>ת</w:t>
      </w:r>
      <w:r>
        <w:rPr>
          <w:rStyle w:val="default"/>
          <w:rFonts w:cs="FrankRuehl" w:hint="cs"/>
          <w:rtl/>
        </w:rPr>
        <w:t>חילתן של תקנות אלה כעבור 30 יום מיום פרסומן.</w:t>
      </w:r>
    </w:p>
    <w:p w14:paraId="16CAB2F0" w14:textId="77777777" w:rsidR="00290902" w:rsidRDefault="00290902">
      <w:pPr>
        <w:pStyle w:val="P00"/>
        <w:spacing w:before="72"/>
        <w:ind w:left="0" w:right="1134"/>
        <w:rPr>
          <w:rStyle w:val="default"/>
          <w:rFonts w:cs="FrankRuehl"/>
          <w:rtl/>
        </w:rPr>
      </w:pPr>
    </w:p>
    <w:p w14:paraId="793F6359" w14:textId="77777777" w:rsidR="00290902" w:rsidRDefault="00290902">
      <w:pPr>
        <w:pStyle w:val="P00"/>
        <w:spacing w:before="72"/>
        <w:ind w:left="0" w:right="1134"/>
        <w:jc w:val="center"/>
        <w:rPr>
          <w:rStyle w:val="default"/>
          <w:rFonts w:cs="FrankRuehl"/>
          <w:b/>
          <w:bCs/>
          <w:rtl/>
        </w:rPr>
      </w:pPr>
      <w:r>
        <w:rPr>
          <w:rStyle w:val="default"/>
          <w:rFonts w:cs="FrankRuehl"/>
          <w:b/>
          <w:bCs/>
          <w:rtl/>
        </w:rPr>
        <w:t>ת</w:t>
      </w:r>
      <w:r>
        <w:rPr>
          <w:rStyle w:val="default"/>
          <w:rFonts w:cs="FrankRuehl" w:hint="cs"/>
          <w:b/>
          <w:bCs/>
          <w:rtl/>
        </w:rPr>
        <w:t>וספת ראשונה</w:t>
      </w:r>
    </w:p>
    <w:p w14:paraId="0FD33616" w14:textId="77777777" w:rsidR="00290902" w:rsidRDefault="00290902">
      <w:pPr>
        <w:pStyle w:val="medium-header"/>
        <w:keepNext w:val="0"/>
        <w:keepLines w:val="0"/>
        <w:ind w:left="0" w:right="1134"/>
        <w:rPr>
          <w:sz w:val="24"/>
          <w:szCs w:val="24"/>
          <w:rtl/>
        </w:rPr>
      </w:pPr>
      <w:r>
        <w:rPr>
          <w:sz w:val="24"/>
          <w:szCs w:val="24"/>
          <w:rtl/>
        </w:rPr>
        <w:t>(</w:t>
      </w:r>
      <w:r>
        <w:rPr>
          <w:rFonts w:hint="cs"/>
          <w:sz w:val="24"/>
          <w:szCs w:val="24"/>
          <w:rtl/>
        </w:rPr>
        <w:t>תקנה 2)</w:t>
      </w:r>
    </w:p>
    <w:p w14:paraId="34CE9B12" w14:textId="77777777" w:rsidR="00290902" w:rsidRDefault="00290902">
      <w:pPr>
        <w:pStyle w:val="medium-header"/>
        <w:keepNext w:val="0"/>
        <w:keepLines w:val="0"/>
        <w:tabs>
          <w:tab w:val="clear" w:pos="2835"/>
          <w:tab w:val="left" w:pos="3969"/>
        </w:tabs>
        <w:ind w:left="720" w:right="1134"/>
        <w:jc w:val="left"/>
        <w:rPr>
          <w:rStyle w:val="default"/>
          <w:rFonts w:cs="FrankRuehl"/>
          <w:rtl/>
        </w:rPr>
      </w:pP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hint="cs"/>
          <w:rtl/>
        </w:rPr>
        <w:t xml:space="preserve">טופס זה יוגש במקור </w:t>
      </w:r>
    </w:p>
    <w:p w14:paraId="751FDA67" w14:textId="77777777" w:rsidR="00290902" w:rsidRDefault="00290902">
      <w:pPr>
        <w:pStyle w:val="medium-header"/>
        <w:keepNext w:val="0"/>
        <w:keepLines w:val="0"/>
        <w:tabs>
          <w:tab w:val="clear" w:pos="2835"/>
          <w:tab w:val="left" w:pos="3969"/>
        </w:tabs>
        <w:ind w:left="720" w:right="1134"/>
        <w:jc w:val="left"/>
        <w:rPr>
          <w:rStyle w:val="default"/>
          <w:rFonts w:cs="FrankRuehl"/>
          <w:rtl/>
        </w:rPr>
      </w:pP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hint="cs"/>
          <w:rtl/>
        </w:rPr>
        <w:t>ושלושה העתקים</w:t>
      </w:r>
    </w:p>
    <w:p w14:paraId="620A8B97" w14:textId="77777777" w:rsidR="00290902" w:rsidRDefault="00290902">
      <w:pPr>
        <w:pStyle w:val="P00"/>
        <w:spacing w:before="72"/>
        <w:ind w:left="0" w:right="1134"/>
        <w:rPr>
          <w:rtl/>
        </w:rPr>
      </w:pPr>
      <w:r>
        <w:rPr>
          <w:rtl/>
        </w:rPr>
        <w:t>ל</w:t>
      </w:r>
      <w:r>
        <w:rPr>
          <w:rFonts w:hint="cs"/>
          <w:rtl/>
        </w:rPr>
        <w:t>כבוד</w:t>
      </w:r>
    </w:p>
    <w:p w14:paraId="499A0888" w14:textId="77777777" w:rsidR="00290902" w:rsidRDefault="00290902">
      <w:pPr>
        <w:pStyle w:val="P00"/>
        <w:spacing w:before="72"/>
        <w:ind w:left="0" w:right="1134"/>
        <w:rPr>
          <w:rtl/>
        </w:rPr>
      </w:pPr>
      <w:r>
        <w:rPr>
          <w:rtl/>
        </w:rPr>
        <w:t>ו</w:t>
      </w:r>
      <w:r>
        <w:rPr>
          <w:rFonts w:hint="cs"/>
          <w:rtl/>
        </w:rPr>
        <w:t>עדת ע</w:t>
      </w:r>
      <w:r>
        <w:rPr>
          <w:rtl/>
        </w:rPr>
        <w:t>ר</w:t>
      </w:r>
      <w:r>
        <w:rPr>
          <w:rFonts w:hint="cs"/>
          <w:rtl/>
        </w:rPr>
        <w:t>ר</w:t>
      </w:r>
    </w:p>
    <w:p w14:paraId="354619BB" w14:textId="77777777" w:rsidR="00290902" w:rsidRDefault="00290902">
      <w:pPr>
        <w:pStyle w:val="P00"/>
        <w:spacing w:before="72"/>
        <w:ind w:left="0" w:right="1134"/>
        <w:rPr>
          <w:rtl/>
        </w:rPr>
      </w:pPr>
      <w:r>
        <w:rPr>
          <w:rtl/>
        </w:rPr>
        <w:t>ל</w:t>
      </w:r>
      <w:r>
        <w:rPr>
          <w:rFonts w:hint="cs"/>
          <w:rtl/>
        </w:rPr>
        <w:t>פי חוק מס רכוש וקרן פיצויים, תשכ"א-1961</w:t>
      </w:r>
    </w:p>
    <w:p w14:paraId="5D55E9FB" w14:textId="77777777" w:rsidR="00290902" w:rsidRDefault="00290902">
      <w:pPr>
        <w:pStyle w:val="P00"/>
        <w:spacing w:before="72"/>
        <w:ind w:left="0" w:right="1134"/>
        <w:rPr>
          <w:rtl/>
        </w:rPr>
      </w:pPr>
      <w:r>
        <w:rPr>
          <w:rtl/>
        </w:rPr>
        <w:t>ל</w:t>
      </w:r>
      <w:r>
        <w:rPr>
          <w:rFonts w:hint="cs"/>
          <w:rtl/>
        </w:rPr>
        <w:t>אזור</w:t>
      </w:r>
      <w:r>
        <w:rPr>
          <w:rtl/>
        </w:rPr>
        <w:t> </w:t>
      </w:r>
      <w:r>
        <w:rPr>
          <w:rtl/>
        </w:rPr>
        <w:t>…</w:t>
      </w:r>
      <w:r>
        <w:rPr>
          <w:rFonts w:hint="cs"/>
          <w:rtl/>
        </w:rPr>
        <w:t>………………………….</w:t>
      </w:r>
      <w:r>
        <w:rPr>
          <w:rtl/>
        </w:rPr>
        <w:t> </w:t>
      </w:r>
      <w:r>
        <w:rPr>
          <w:rtl/>
        </w:rPr>
        <w:t> </w:t>
      </w:r>
      <w:r>
        <w:rPr>
          <w:rtl/>
        </w:rPr>
        <w:t> </w:t>
      </w:r>
      <w:r>
        <w:rPr>
          <w:rtl/>
        </w:rPr>
        <w:t> </w:t>
      </w:r>
      <w:r>
        <w:rPr>
          <w:rtl/>
        </w:rPr>
        <w:t> </w:t>
      </w:r>
    </w:p>
    <w:p w14:paraId="43FE3439" w14:textId="77777777" w:rsidR="00290902" w:rsidRDefault="00290902">
      <w:pPr>
        <w:pStyle w:val="page"/>
        <w:widowControl/>
        <w:ind w:right="1134"/>
        <w:rPr>
          <w:position w:val="0"/>
          <w:rtl/>
        </w:rPr>
      </w:pPr>
      <w:r>
        <w:rPr>
          <w:position w:val="0"/>
          <w:rtl/>
        </w:rPr>
        <w:t xml:space="preserve"> </w:t>
      </w:r>
    </w:p>
    <w:p w14:paraId="0A265A15" w14:textId="77777777" w:rsidR="00290902" w:rsidRDefault="00290902">
      <w:pPr>
        <w:pStyle w:val="medium2-header"/>
        <w:keepLines w:val="0"/>
        <w:spacing w:before="72"/>
        <w:ind w:left="0" w:right="1134"/>
        <w:rPr>
          <w:noProof/>
          <w:sz w:val="20"/>
          <w:rtl/>
        </w:rPr>
      </w:pPr>
      <w:r>
        <w:rPr>
          <w:rtl/>
        </w:rPr>
        <w:t> </w:t>
      </w:r>
      <w:r>
        <w:rPr>
          <w:rtl/>
        </w:rPr>
        <w:t> </w:t>
      </w:r>
      <w:r>
        <w:rPr>
          <w:rtl/>
        </w:rPr>
        <w:t> </w:t>
      </w:r>
      <w:r>
        <w:rPr>
          <w:rtl/>
        </w:rPr>
        <w:t> </w:t>
      </w:r>
      <w:r>
        <w:rPr>
          <w:rtl/>
        </w:rPr>
        <w:t> </w:t>
      </w:r>
      <w:r>
        <w:rPr>
          <w:noProof/>
          <w:sz w:val="20"/>
          <w:rtl/>
        </w:rPr>
        <w:t>כ</w:t>
      </w:r>
      <w:r>
        <w:rPr>
          <w:rFonts w:hint="cs"/>
          <w:noProof/>
          <w:sz w:val="20"/>
          <w:rtl/>
        </w:rPr>
        <w:t>תב ערר לשנת המס ………….19</w:t>
      </w:r>
      <w:r>
        <w:rPr>
          <w:rtl/>
        </w:rPr>
        <w:t> </w:t>
      </w:r>
      <w:r>
        <w:rPr>
          <w:rtl/>
        </w:rPr>
        <w:t> </w:t>
      </w:r>
      <w:r>
        <w:rPr>
          <w:rtl/>
        </w:rPr>
        <w:t> </w:t>
      </w:r>
      <w:r>
        <w:rPr>
          <w:rtl/>
        </w:rPr>
        <w:t> </w:t>
      </w:r>
      <w:r>
        <w:rPr>
          <w:rtl/>
        </w:rPr>
        <w:t> </w:t>
      </w:r>
      <w:r>
        <w:rPr>
          <w:rtl/>
        </w:rPr>
        <w:t> </w:t>
      </w:r>
    </w:p>
    <w:p w14:paraId="7C5A9644" w14:textId="77777777" w:rsidR="00290902" w:rsidRDefault="00290902">
      <w:pPr>
        <w:pStyle w:val="P00"/>
        <w:spacing w:before="72"/>
        <w:ind w:left="0" w:right="1134"/>
        <w:rPr>
          <w:rStyle w:val="default"/>
          <w:rFonts w:cs="FrankRuehl"/>
          <w:rtl/>
        </w:rPr>
      </w:pPr>
      <w:r>
        <w:rPr>
          <w:lang w:val="he-IL"/>
        </w:rPr>
        <w:pict w14:anchorId="37F2D3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5" type="#_x0000_t75" style="position:absolute;left:0;text-align:left;margin-left:79.65pt;margin-top:26.3pt;width:400.75pt;height:458.35pt;z-index:251670016" o:allowincell="f">
            <v:imagedata r:id="rId8" o:title="238~1"/>
            <w10:wrap type="topAndBottom"/>
            <w10:anchorlock/>
          </v:shape>
        </w:pict>
      </w:r>
      <w:r>
        <w:rPr>
          <w:rStyle w:val="default"/>
          <w:rFonts w:cs="FrankRuehl"/>
          <w:rtl/>
        </w:rPr>
        <w:t>א</w:t>
      </w:r>
      <w:r>
        <w:rPr>
          <w:rStyle w:val="default"/>
          <w:rFonts w:cs="FrankRuehl" w:hint="cs"/>
          <w:rtl/>
        </w:rPr>
        <w:t>ני החתום מטה</w:t>
      </w:r>
    </w:p>
    <w:p w14:paraId="3A43A936" w14:textId="77777777" w:rsidR="00290902" w:rsidRDefault="00290902">
      <w:pPr>
        <w:pStyle w:val="P00"/>
        <w:spacing w:before="72"/>
        <w:ind w:left="0" w:right="1134"/>
        <w:rPr>
          <w:rStyle w:val="default"/>
          <w:rFonts w:cs="FrankRuehl"/>
          <w:rtl/>
        </w:rPr>
      </w:pPr>
    </w:p>
    <w:p w14:paraId="50BF55DB" w14:textId="77777777" w:rsidR="00290902" w:rsidRDefault="00290902">
      <w:pPr>
        <w:pStyle w:val="page"/>
        <w:widowControl/>
        <w:ind w:right="1134"/>
        <w:rPr>
          <w:position w:val="0"/>
          <w:rtl/>
        </w:rPr>
      </w:pPr>
      <w:r>
        <w:rPr>
          <w:position w:val="0"/>
          <w:rtl/>
        </w:rPr>
        <w:t xml:space="preserve"> </w:t>
      </w:r>
    </w:p>
    <w:p w14:paraId="574D9936" w14:textId="77777777" w:rsidR="00290902" w:rsidRDefault="00290902">
      <w:pPr>
        <w:pStyle w:val="medium2-header"/>
        <w:keepLines w:val="0"/>
        <w:spacing w:before="72"/>
        <w:ind w:left="0" w:right="1134"/>
        <w:rPr>
          <w:noProof/>
          <w:sz w:val="20"/>
          <w:rtl/>
        </w:rPr>
      </w:pPr>
      <w:bookmarkStart w:id="31" w:name="med1"/>
      <w:bookmarkEnd w:id="31"/>
      <w:r>
        <w:rPr>
          <w:noProof/>
          <w:sz w:val="20"/>
          <w:rtl/>
        </w:rPr>
        <w:t>ת</w:t>
      </w:r>
      <w:r>
        <w:rPr>
          <w:rFonts w:hint="cs"/>
          <w:noProof/>
          <w:sz w:val="20"/>
          <w:rtl/>
        </w:rPr>
        <w:t>וספת שניה</w:t>
      </w:r>
    </w:p>
    <w:p w14:paraId="56FB809C" w14:textId="77777777" w:rsidR="00290902" w:rsidRDefault="00290902">
      <w:pPr>
        <w:pStyle w:val="medium-header"/>
        <w:keepNext w:val="0"/>
        <w:keepLines w:val="0"/>
        <w:ind w:left="0" w:right="1134"/>
        <w:rPr>
          <w:rtl/>
        </w:rPr>
      </w:pPr>
      <w:r>
        <w:rPr>
          <w:rtl/>
        </w:rPr>
        <w:t>(</w:t>
      </w:r>
      <w:r>
        <w:rPr>
          <w:rFonts w:hint="cs"/>
          <w:rtl/>
        </w:rPr>
        <w:t>תקנה 4)</w:t>
      </w:r>
    </w:p>
    <w:p w14:paraId="0981D244" w14:textId="77777777" w:rsidR="00290902" w:rsidRDefault="00290902">
      <w:pPr>
        <w:pStyle w:val="medium-header"/>
        <w:keepNext w:val="0"/>
        <w:keepLines w:val="0"/>
        <w:tabs>
          <w:tab w:val="clear" w:pos="2835"/>
          <w:tab w:val="left" w:pos="3969"/>
        </w:tabs>
        <w:ind w:left="0" w:right="1134"/>
        <w:jc w:val="both"/>
        <w:rPr>
          <w:rtl/>
        </w:rPr>
      </w:pPr>
      <w:r>
        <w:rPr>
          <w:rtl/>
        </w:rPr>
        <w:tab/>
      </w:r>
      <w:r>
        <w:rPr>
          <w:rtl/>
        </w:rPr>
        <w:tab/>
      </w:r>
      <w:r>
        <w:rPr>
          <w:rtl/>
        </w:rPr>
        <w:tab/>
      </w:r>
      <w:r>
        <w:rPr>
          <w:rtl/>
        </w:rPr>
        <w:tab/>
      </w:r>
      <w:r>
        <w:rPr>
          <w:rtl/>
        </w:rPr>
        <w:tab/>
      </w:r>
      <w:r>
        <w:rPr>
          <w:rtl/>
        </w:rPr>
        <w:tab/>
      </w:r>
      <w:r>
        <w:rPr>
          <w:rFonts w:hint="cs"/>
          <w:rtl/>
        </w:rPr>
        <w:t>טופ</w:t>
      </w:r>
      <w:r>
        <w:rPr>
          <w:rtl/>
        </w:rPr>
        <w:t>ס</w:t>
      </w:r>
      <w:r>
        <w:rPr>
          <w:rFonts w:hint="cs"/>
          <w:rtl/>
        </w:rPr>
        <w:t xml:space="preserve"> זה יוגש במקור </w:t>
      </w:r>
    </w:p>
    <w:p w14:paraId="546C3C44" w14:textId="77777777" w:rsidR="00290902" w:rsidRDefault="00290902">
      <w:pPr>
        <w:pStyle w:val="medium-header"/>
        <w:keepNext w:val="0"/>
        <w:keepLines w:val="0"/>
        <w:tabs>
          <w:tab w:val="clear" w:pos="2835"/>
          <w:tab w:val="left" w:pos="3969"/>
        </w:tabs>
        <w:ind w:left="0" w:right="1134"/>
        <w:jc w:val="both"/>
        <w:rPr>
          <w:rtl/>
        </w:rPr>
      </w:pPr>
      <w:r>
        <w:rPr>
          <w:rtl/>
        </w:rPr>
        <w:tab/>
      </w:r>
      <w:r>
        <w:rPr>
          <w:rtl/>
        </w:rPr>
        <w:tab/>
      </w:r>
      <w:r>
        <w:rPr>
          <w:rtl/>
        </w:rPr>
        <w:tab/>
      </w:r>
      <w:r>
        <w:rPr>
          <w:rtl/>
        </w:rPr>
        <w:tab/>
      </w:r>
      <w:r>
        <w:rPr>
          <w:rtl/>
        </w:rPr>
        <w:tab/>
      </w:r>
      <w:r>
        <w:rPr>
          <w:rtl/>
        </w:rPr>
        <w:tab/>
      </w:r>
      <w:r>
        <w:rPr>
          <w:rFonts w:hint="cs"/>
          <w:rtl/>
        </w:rPr>
        <w:t>ושלושה העתקים</w:t>
      </w:r>
    </w:p>
    <w:p w14:paraId="5750D412" w14:textId="77777777" w:rsidR="00290902" w:rsidRDefault="00290902">
      <w:pPr>
        <w:pStyle w:val="header-2"/>
        <w:ind w:left="0" w:right="1134"/>
        <w:rPr>
          <w:rtl/>
        </w:rPr>
      </w:pPr>
      <w:r>
        <w:rPr>
          <w:rtl/>
        </w:rPr>
        <w:t>מ</w:t>
      </w:r>
      <w:r>
        <w:rPr>
          <w:rFonts w:hint="cs"/>
          <w:rtl/>
        </w:rPr>
        <w:t>דינת ישראל</w:t>
      </w:r>
    </w:p>
    <w:p w14:paraId="52E4886F" w14:textId="77777777" w:rsidR="00290902" w:rsidRDefault="00290902">
      <w:pPr>
        <w:pStyle w:val="medium-header"/>
        <w:keepNext w:val="0"/>
        <w:keepLines w:val="0"/>
        <w:ind w:left="0" w:right="1134"/>
        <w:rPr>
          <w:rtl/>
        </w:rPr>
      </w:pPr>
      <w:r>
        <w:rPr>
          <w:rtl/>
        </w:rPr>
        <w:t>ה</w:t>
      </w:r>
      <w:r>
        <w:rPr>
          <w:rFonts w:hint="cs"/>
          <w:rtl/>
        </w:rPr>
        <w:t>אוצר/אגף מס הכנסה ומס רכוש</w:t>
      </w:r>
    </w:p>
    <w:p w14:paraId="2452F89F" w14:textId="77777777" w:rsidR="00290902" w:rsidRDefault="00290902">
      <w:pPr>
        <w:pStyle w:val="medium-header"/>
        <w:keepNext w:val="0"/>
        <w:keepLines w:val="0"/>
        <w:ind w:left="0" w:right="1134"/>
        <w:rPr>
          <w:rtl/>
        </w:rPr>
      </w:pPr>
      <w:r>
        <w:rPr>
          <w:rtl/>
        </w:rPr>
        <w:t> </w:t>
      </w:r>
      <w:r>
        <w:rPr>
          <w:rtl/>
        </w:rPr>
        <w:t> </w:t>
      </w:r>
      <w:r>
        <w:rPr>
          <w:rtl/>
        </w:rPr>
        <w:t> </w:t>
      </w:r>
      <w:r>
        <w:rPr>
          <w:rtl/>
        </w:rPr>
        <w:t> </w:t>
      </w:r>
      <w:r>
        <w:rPr>
          <w:rtl/>
        </w:rPr>
        <w:t> </w:t>
      </w:r>
      <w:r>
        <w:rPr>
          <w:rtl/>
        </w:rPr>
        <w:t> </w:t>
      </w:r>
      <w:r>
        <w:rPr>
          <w:rtl/>
        </w:rPr>
        <w:t> </w:t>
      </w:r>
      <w:r>
        <w:rPr>
          <w:rtl/>
        </w:rPr>
        <w:t> </w:t>
      </w:r>
      <w:r>
        <w:rPr>
          <w:rtl/>
        </w:rPr>
        <w:t>א</w:t>
      </w:r>
      <w:r>
        <w:rPr>
          <w:rFonts w:hint="cs"/>
          <w:rtl/>
        </w:rPr>
        <w:t>זור ………………..</w:t>
      </w:r>
      <w:r>
        <w:rPr>
          <w:rtl/>
        </w:rPr>
        <w:t> </w:t>
      </w:r>
      <w:r>
        <w:rPr>
          <w:rtl/>
        </w:rPr>
        <w:t> </w:t>
      </w:r>
      <w:r>
        <w:rPr>
          <w:rtl/>
        </w:rPr>
        <w:t> </w:t>
      </w:r>
      <w:r>
        <w:rPr>
          <w:rtl/>
        </w:rPr>
        <w:t> </w:t>
      </w:r>
      <w:r>
        <w:rPr>
          <w:rtl/>
        </w:rPr>
        <w:t> </w:t>
      </w:r>
      <w:r>
        <w:rPr>
          <w:rtl/>
        </w:rPr>
        <w:t> </w:t>
      </w:r>
      <w:r>
        <w:rPr>
          <w:rtl/>
        </w:rPr>
        <w:t> </w:t>
      </w:r>
      <w:r>
        <w:rPr>
          <w:rtl/>
        </w:rPr>
        <w:t> </w:t>
      </w:r>
    </w:p>
    <w:p w14:paraId="1E18ADA0" w14:textId="77777777" w:rsidR="00290902" w:rsidRDefault="00290902">
      <w:pPr>
        <w:pStyle w:val="P00"/>
        <w:spacing w:before="72"/>
        <w:ind w:left="0" w:right="1134"/>
        <w:rPr>
          <w:rtl/>
        </w:rPr>
      </w:pPr>
      <w:r>
        <w:rPr>
          <w:rtl/>
        </w:rPr>
        <w:t>ל</w:t>
      </w:r>
      <w:r>
        <w:rPr>
          <w:rFonts w:hint="cs"/>
          <w:rtl/>
        </w:rPr>
        <w:t>כבוד</w:t>
      </w:r>
    </w:p>
    <w:p w14:paraId="33C9A001" w14:textId="77777777" w:rsidR="00290902" w:rsidRDefault="00290902">
      <w:pPr>
        <w:pStyle w:val="P00"/>
        <w:spacing w:before="72"/>
        <w:ind w:left="0" w:right="1134"/>
        <w:rPr>
          <w:rtl/>
        </w:rPr>
      </w:pPr>
      <w:r>
        <w:rPr>
          <w:rtl/>
        </w:rPr>
        <w:t>ו</w:t>
      </w:r>
      <w:r>
        <w:rPr>
          <w:rFonts w:hint="cs"/>
          <w:rtl/>
        </w:rPr>
        <w:t>עדת ערר</w:t>
      </w:r>
    </w:p>
    <w:p w14:paraId="590C07C6" w14:textId="77777777" w:rsidR="00290902" w:rsidRDefault="00290902">
      <w:pPr>
        <w:pStyle w:val="P00"/>
        <w:spacing w:before="72"/>
        <w:ind w:left="0" w:right="1134"/>
        <w:rPr>
          <w:rtl/>
        </w:rPr>
      </w:pPr>
      <w:r>
        <w:rPr>
          <w:rtl/>
        </w:rPr>
        <w:t>ל</w:t>
      </w:r>
      <w:r>
        <w:rPr>
          <w:rFonts w:hint="cs"/>
          <w:rtl/>
        </w:rPr>
        <w:t>פי חוק מס רכוש וקרן פיצויים, תשכ"א</w:t>
      </w:r>
      <w:r>
        <w:rPr>
          <w:rtl/>
        </w:rPr>
        <w:t>–</w:t>
      </w:r>
      <w:r>
        <w:rPr>
          <w:rFonts w:hint="cs"/>
          <w:rtl/>
        </w:rPr>
        <w:t>1961</w:t>
      </w:r>
    </w:p>
    <w:p w14:paraId="3D9326B9" w14:textId="77777777" w:rsidR="00290902" w:rsidRDefault="00290902">
      <w:pPr>
        <w:pStyle w:val="P00"/>
        <w:spacing w:before="72"/>
        <w:ind w:left="0" w:right="1134"/>
        <w:rPr>
          <w:rtl/>
        </w:rPr>
      </w:pPr>
      <w:r>
        <w:rPr>
          <w:rtl/>
        </w:rPr>
        <w:t>ל</w:t>
      </w:r>
      <w:r>
        <w:rPr>
          <w:rFonts w:hint="cs"/>
          <w:rtl/>
        </w:rPr>
        <w:t>אזור ……………………………………………</w:t>
      </w:r>
    </w:p>
    <w:p w14:paraId="51416158" w14:textId="77777777" w:rsidR="00290902" w:rsidRDefault="00290902">
      <w:pPr>
        <w:pStyle w:val="P00"/>
        <w:spacing w:before="72"/>
        <w:ind w:left="0" w:right="1134"/>
        <w:rPr>
          <w:rtl/>
        </w:rPr>
      </w:pPr>
      <w:r>
        <w:rPr>
          <w:rtl/>
        </w:rPr>
        <w:t>ש</w:t>
      </w:r>
      <w:r>
        <w:rPr>
          <w:rFonts w:hint="cs"/>
          <w:rtl/>
        </w:rPr>
        <w:t>ם העורר …………………………. מס' זהות/תיק …………………………</w:t>
      </w:r>
    </w:p>
    <w:p w14:paraId="54405A83" w14:textId="77777777" w:rsidR="00290902" w:rsidRDefault="00290902">
      <w:pPr>
        <w:pStyle w:val="P00"/>
        <w:spacing w:before="72"/>
        <w:ind w:left="0" w:right="1134"/>
        <w:rPr>
          <w:rtl/>
        </w:rPr>
      </w:pPr>
      <w:r>
        <w:rPr>
          <w:rtl/>
        </w:rPr>
        <w:t>כ</w:t>
      </w:r>
      <w:r>
        <w:rPr>
          <w:rFonts w:hint="cs"/>
          <w:rtl/>
        </w:rPr>
        <w:t>תובת העורר ………………………………</w:t>
      </w:r>
      <w:r>
        <w:rPr>
          <w:rtl/>
        </w:rPr>
        <w:t>…</w:t>
      </w:r>
      <w:r>
        <w:rPr>
          <w:rFonts w:hint="cs"/>
          <w:rtl/>
        </w:rPr>
        <w:t>………………………………</w:t>
      </w:r>
    </w:p>
    <w:p w14:paraId="43DD42DC" w14:textId="77777777" w:rsidR="00290902" w:rsidRDefault="00290902">
      <w:pPr>
        <w:pStyle w:val="medium-header"/>
        <w:keepNext w:val="0"/>
        <w:keepLines w:val="0"/>
        <w:ind w:left="0" w:right="1134"/>
        <w:rPr>
          <w:rStyle w:val="default"/>
          <w:rFonts w:cs="FrankRuehl"/>
          <w:rtl/>
        </w:rPr>
      </w:pPr>
      <w:r>
        <w:rPr>
          <w:rtl/>
        </w:rPr>
        <w:t> </w:t>
      </w:r>
      <w:r>
        <w:rPr>
          <w:rStyle w:val="default"/>
          <w:rFonts w:cs="FrankRuehl"/>
          <w:rtl/>
        </w:rPr>
        <w:t>ת</w:t>
      </w:r>
      <w:r>
        <w:rPr>
          <w:rStyle w:val="default"/>
          <w:rFonts w:cs="FrankRuehl" w:hint="cs"/>
          <w:rtl/>
        </w:rPr>
        <w:t>שובת המשיב לערר מס'……………..לשנת המס ………..19</w:t>
      </w:r>
      <w:r>
        <w:rPr>
          <w:rtl/>
        </w:rPr>
        <w:t> </w:t>
      </w:r>
    </w:p>
    <w:p w14:paraId="1A5AC1A6" w14:textId="77777777" w:rsidR="00290902" w:rsidRDefault="00290902">
      <w:pPr>
        <w:pStyle w:val="P00"/>
        <w:spacing w:before="72"/>
        <w:ind w:left="0" w:right="1134"/>
        <w:rPr>
          <w:rtl/>
        </w:rPr>
      </w:pPr>
      <w:r>
        <w:rPr>
          <w:rtl/>
        </w:rPr>
        <w:t>ב</w:t>
      </w:r>
      <w:r>
        <w:rPr>
          <w:rFonts w:hint="cs"/>
          <w:rtl/>
        </w:rPr>
        <w:t>התאם לתקנות מס רכוש וקרן פיצויים (נוהל וסדרי דין בועדות ערר), תשל"ט</w:t>
      </w:r>
      <w:r>
        <w:rPr>
          <w:rtl/>
        </w:rPr>
        <w:t>–</w:t>
      </w:r>
      <w:r>
        <w:rPr>
          <w:rFonts w:hint="cs"/>
          <w:rtl/>
        </w:rPr>
        <w:t>1979, מוגשת בזה תשובת המשיב לערר שהוגש לפי סעיף 27 לחוק מס רכוש וקרן פיצויים, כמפורט להלן:</w:t>
      </w:r>
    </w:p>
    <w:p w14:paraId="26C3BAF9" w14:textId="77777777" w:rsidR="00290902" w:rsidRDefault="00290902">
      <w:pPr>
        <w:pStyle w:val="P00"/>
        <w:spacing w:before="72"/>
        <w:ind w:left="0" w:right="1134"/>
        <w:rPr>
          <w:rtl/>
        </w:rPr>
      </w:pPr>
      <w:r>
        <w:rPr>
          <w:lang w:val="he-IL"/>
        </w:rPr>
        <w:pict w14:anchorId="799E8ED1">
          <v:shape id="_x0000_s1056" type="#_x0000_t75" style="position:absolute;left:0;text-align:left;margin-left:115.65pt;margin-top:10.9pt;width:366.5pt;height:305.15pt;z-index:251671040" o:allowincell="f">
            <v:imagedata r:id="rId9" o:title="239~1"/>
            <w10:wrap type="topAndBottom"/>
            <w10:anchorlock/>
          </v:shape>
        </w:pict>
      </w:r>
    </w:p>
    <w:p w14:paraId="3DE8A8BD" w14:textId="77777777" w:rsidR="00290902" w:rsidRDefault="00290902">
      <w:pPr>
        <w:pStyle w:val="page"/>
        <w:widowControl/>
        <w:ind w:right="1134"/>
        <w:rPr>
          <w:position w:val="0"/>
          <w:rtl/>
        </w:rPr>
      </w:pPr>
      <w:r>
        <w:rPr>
          <w:position w:val="0"/>
          <w:rtl/>
        </w:rPr>
        <w:t xml:space="preserve"> </w:t>
      </w:r>
    </w:p>
    <w:p w14:paraId="219E430A" w14:textId="77777777" w:rsidR="00290902" w:rsidRDefault="00290902">
      <w:pPr>
        <w:pStyle w:val="medium2-header"/>
        <w:keepLines w:val="0"/>
        <w:spacing w:before="72"/>
        <w:ind w:left="0" w:right="1134"/>
        <w:rPr>
          <w:noProof/>
          <w:sz w:val="20"/>
          <w:rtl/>
        </w:rPr>
      </w:pPr>
      <w:bookmarkStart w:id="32" w:name="med2"/>
      <w:bookmarkEnd w:id="32"/>
      <w:r>
        <w:rPr>
          <w:noProof/>
          <w:sz w:val="20"/>
          <w:rtl/>
        </w:rPr>
        <w:t>ת</w:t>
      </w:r>
      <w:r>
        <w:rPr>
          <w:rFonts w:hint="cs"/>
          <w:noProof/>
          <w:sz w:val="20"/>
          <w:rtl/>
        </w:rPr>
        <w:t>וספת שלישית</w:t>
      </w:r>
    </w:p>
    <w:p w14:paraId="4F7E8B15" w14:textId="77777777" w:rsidR="00290902" w:rsidRDefault="00290902">
      <w:pPr>
        <w:pStyle w:val="medium-header"/>
        <w:keepNext w:val="0"/>
        <w:keepLines w:val="0"/>
        <w:ind w:left="0" w:right="1134"/>
        <w:rPr>
          <w:rtl/>
        </w:rPr>
      </w:pPr>
      <w:r>
        <w:rPr>
          <w:rtl/>
        </w:rPr>
        <w:t>(</w:t>
      </w:r>
      <w:r>
        <w:rPr>
          <w:rFonts w:hint="cs"/>
          <w:rtl/>
        </w:rPr>
        <w:t>תקנה 7)</w:t>
      </w:r>
    </w:p>
    <w:p w14:paraId="44AA842A" w14:textId="77777777" w:rsidR="00290902" w:rsidRDefault="00290902">
      <w:pPr>
        <w:pStyle w:val="medium-header"/>
        <w:keepNext w:val="0"/>
        <w:keepLines w:val="0"/>
        <w:ind w:left="0" w:right="1134"/>
        <w:rPr>
          <w:rtl/>
        </w:rPr>
      </w:pPr>
      <w:r>
        <w:rPr>
          <w:rtl/>
        </w:rPr>
        <w:t>מ</w:t>
      </w:r>
      <w:r>
        <w:rPr>
          <w:rFonts w:hint="cs"/>
          <w:rtl/>
        </w:rPr>
        <w:t>דינת ישראל</w:t>
      </w:r>
    </w:p>
    <w:p w14:paraId="5C9D096F" w14:textId="77777777" w:rsidR="00290902" w:rsidRDefault="00290902">
      <w:pPr>
        <w:pStyle w:val="medium-header"/>
        <w:keepNext w:val="0"/>
        <w:keepLines w:val="0"/>
        <w:ind w:left="0" w:right="1134"/>
        <w:rPr>
          <w:rtl/>
        </w:rPr>
      </w:pPr>
      <w:r>
        <w:rPr>
          <w:lang w:val="he-IL"/>
        </w:rPr>
        <w:pict w14:anchorId="52D9E8F4">
          <v:shape id="_x0000_s1057" type="#_x0000_t75" style="position:absolute;left:0;text-align:left;margin-left:122.85pt;margin-top:23.5pt;width:347.05pt;height:472.2pt;z-index:251672064" o:allowincell="f">
            <v:imagedata r:id="rId10" o:title="2310~2"/>
            <w10:wrap type="topAndBottom"/>
            <w10:anchorlock/>
          </v:shape>
        </w:pict>
      </w:r>
      <w:r>
        <w:rPr>
          <w:rtl/>
        </w:rPr>
        <w:t>ו</w:t>
      </w:r>
      <w:r>
        <w:rPr>
          <w:rFonts w:hint="cs"/>
          <w:rtl/>
        </w:rPr>
        <w:t>עדת ערר לפי חוק מס רכוש וקרן פיצויים, תשכ"א</w:t>
      </w:r>
      <w:r>
        <w:rPr>
          <w:rtl/>
        </w:rPr>
        <w:t>–</w:t>
      </w:r>
      <w:r>
        <w:rPr>
          <w:rFonts w:hint="cs"/>
          <w:rtl/>
        </w:rPr>
        <w:t>1961</w:t>
      </w:r>
    </w:p>
    <w:p w14:paraId="0F7FE0C9" w14:textId="77777777" w:rsidR="00290902" w:rsidRDefault="00290902">
      <w:pPr>
        <w:pStyle w:val="medium-header"/>
        <w:keepNext w:val="0"/>
        <w:keepLines w:val="0"/>
        <w:ind w:left="0" w:right="1134"/>
        <w:rPr>
          <w:rStyle w:val="default"/>
          <w:rFonts w:cs="FrankRuehl"/>
          <w:rtl/>
        </w:rPr>
      </w:pPr>
    </w:p>
    <w:p w14:paraId="37DF435B" w14:textId="77777777" w:rsidR="00290902" w:rsidRDefault="00290902">
      <w:pPr>
        <w:pStyle w:val="page"/>
        <w:widowControl/>
        <w:ind w:right="1134"/>
        <w:rPr>
          <w:position w:val="0"/>
          <w:rtl/>
        </w:rPr>
      </w:pPr>
      <w:r>
        <w:rPr>
          <w:position w:val="0"/>
          <w:rtl/>
        </w:rPr>
        <w:t xml:space="preserve"> </w:t>
      </w:r>
    </w:p>
    <w:p w14:paraId="0B27C6B7" w14:textId="77777777" w:rsidR="00290902" w:rsidRDefault="00290902">
      <w:pPr>
        <w:pStyle w:val="medium2-header"/>
        <w:keepLines w:val="0"/>
        <w:spacing w:before="72"/>
        <w:ind w:left="0" w:right="1134"/>
        <w:rPr>
          <w:noProof/>
          <w:sz w:val="20"/>
          <w:rtl/>
        </w:rPr>
      </w:pPr>
      <w:bookmarkStart w:id="33" w:name="med3"/>
      <w:bookmarkEnd w:id="33"/>
      <w:r>
        <w:rPr>
          <w:noProof/>
          <w:sz w:val="20"/>
          <w:rtl/>
        </w:rPr>
        <w:t>ת</w:t>
      </w:r>
      <w:r>
        <w:rPr>
          <w:rFonts w:hint="cs"/>
          <w:noProof/>
          <w:sz w:val="20"/>
          <w:rtl/>
        </w:rPr>
        <w:t>וספת רביעית</w:t>
      </w:r>
    </w:p>
    <w:p w14:paraId="0FFF06FE" w14:textId="77777777" w:rsidR="00290902" w:rsidRDefault="00290902">
      <w:pPr>
        <w:pStyle w:val="medium-header"/>
        <w:keepNext w:val="0"/>
        <w:keepLines w:val="0"/>
        <w:ind w:left="0" w:right="1134"/>
        <w:rPr>
          <w:rtl/>
        </w:rPr>
      </w:pPr>
      <w:r>
        <w:rPr>
          <w:rtl/>
        </w:rPr>
        <w:t>(</w:t>
      </w:r>
      <w:r>
        <w:rPr>
          <w:rFonts w:hint="cs"/>
          <w:rtl/>
        </w:rPr>
        <w:t>תקנה 10)</w:t>
      </w:r>
    </w:p>
    <w:p w14:paraId="45BBEDB4" w14:textId="77777777" w:rsidR="00290902" w:rsidRDefault="00290902">
      <w:pPr>
        <w:pStyle w:val="medium-header"/>
        <w:keepNext w:val="0"/>
        <w:keepLines w:val="0"/>
        <w:ind w:left="0" w:right="1134"/>
        <w:rPr>
          <w:rtl/>
        </w:rPr>
      </w:pPr>
      <w:r>
        <w:rPr>
          <w:rtl/>
        </w:rPr>
        <w:t>מ</w:t>
      </w:r>
      <w:r>
        <w:rPr>
          <w:rFonts w:hint="cs"/>
          <w:rtl/>
        </w:rPr>
        <w:t>דינת ישראל</w:t>
      </w:r>
    </w:p>
    <w:p w14:paraId="559AEB68" w14:textId="77777777" w:rsidR="00290902" w:rsidRDefault="00290902">
      <w:pPr>
        <w:pStyle w:val="medium-header"/>
        <w:keepNext w:val="0"/>
        <w:keepLines w:val="0"/>
        <w:ind w:left="0" w:right="1134"/>
        <w:rPr>
          <w:rtl/>
        </w:rPr>
      </w:pPr>
      <w:r>
        <w:rPr>
          <w:lang w:val="he-IL"/>
        </w:rPr>
        <w:pict w14:anchorId="0CCAAA64">
          <v:shape id="_x0000_s1058" type="#_x0000_t75" style="position:absolute;left:0;text-align:left;margin-left:144.45pt;margin-top:23.5pt;width:322.15pt;height:424.85pt;z-index:251673088" o:allowincell="f">
            <v:imagedata r:id="rId11" o:title="2311~2"/>
            <w10:wrap type="topAndBottom"/>
            <w10:anchorlock/>
          </v:shape>
        </w:pict>
      </w:r>
      <w:r>
        <w:rPr>
          <w:rtl/>
        </w:rPr>
        <w:t>ו</w:t>
      </w:r>
      <w:r>
        <w:rPr>
          <w:rFonts w:hint="cs"/>
          <w:rtl/>
        </w:rPr>
        <w:t>עדת ערר לפי חוק מס רכוש וקרן פיצויים, תשכ"א</w:t>
      </w:r>
      <w:r>
        <w:rPr>
          <w:rtl/>
        </w:rPr>
        <w:t>–</w:t>
      </w:r>
      <w:r>
        <w:rPr>
          <w:rFonts w:hint="cs"/>
          <w:rtl/>
        </w:rPr>
        <w:t>1961</w:t>
      </w:r>
    </w:p>
    <w:p w14:paraId="3345C687" w14:textId="77777777" w:rsidR="00290902" w:rsidRDefault="00290902">
      <w:pPr>
        <w:pStyle w:val="medium-header"/>
        <w:keepNext w:val="0"/>
        <w:keepLines w:val="0"/>
        <w:ind w:left="0" w:right="1134"/>
        <w:jc w:val="left"/>
        <w:rPr>
          <w:rStyle w:val="default"/>
          <w:rFonts w:cs="FrankRuehl"/>
          <w:rtl/>
        </w:rPr>
      </w:pPr>
    </w:p>
    <w:p w14:paraId="16DE0967" w14:textId="77777777" w:rsidR="00290902" w:rsidRDefault="00290902">
      <w:pPr>
        <w:pStyle w:val="page"/>
        <w:widowControl/>
        <w:ind w:right="1134"/>
        <w:rPr>
          <w:position w:val="0"/>
          <w:rtl/>
        </w:rPr>
      </w:pPr>
      <w:r>
        <w:rPr>
          <w:position w:val="0"/>
          <w:rtl/>
        </w:rPr>
        <w:t xml:space="preserve"> </w:t>
      </w:r>
    </w:p>
    <w:p w14:paraId="5F1B7E85" w14:textId="77777777" w:rsidR="00290902" w:rsidRDefault="00290902">
      <w:pPr>
        <w:ind w:right="1134"/>
        <w:jc w:val="center"/>
        <w:rPr>
          <w:szCs w:val="36"/>
          <w:rtl/>
        </w:rPr>
      </w:pPr>
      <w:r>
        <w:rPr>
          <w:szCs w:val="36"/>
          <w:rtl/>
        </w:rPr>
        <w:t>מ</w:t>
      </w:r>
      <w:r>
        <w:rPr>
          <w:rFonts w:hint="cs"/>
          <w:szCs w:val="36"/>
          <w:rtl/>
        </w:rPr>
        <w:t>דינת ישראל</w:t>
      </w:r>
    </w:p>
    <w:p w14:paraId="3CD1A6CF" w14:textId="77777777" w:rsidR="00290902" w:rsidRDefault="00290902">
      <w:pPr>
        <w:pStyle w:val="medium-header"/>
        <w:keepNext w:val="0"/>
        <w:keepLines w:val="0"/>
        <w:ind w:left="0" w:right="1134"/>
        <w:rPr>
          <w:rtl/>
        </w:rPr>
      </w:pPr>
      <w:r>
        <w:rPr>
          <w:rtl/>
        </w:rPr>
        <w:t>ו</w:t>
      </w:r>
      <w:r>
        <w:rPr>
          <w:rFonts w:hint="cs"/>
          <w:rtl/>
        </w:rPr>
        <w:t>עדת ערר לפי חוק מס רכוש וקרן פיצויים, תשכ"א</w:t>
      </w:r>
      <w:r>
        <w:rPr>
          <w:rtl/>
        </w:rPr>
        <w:t>–</w:t>
      </w:r>
      <w:r>
        <w:rPr>
          <w:rFonts w:hint="cs"/>
          <w:rtl/>
        </w:rPr>
        <w:t>1961</w:t>
      </w:r>
    </w:p>
    <w:p w14:paraId="51F91BA7" w14:textId="77777777" w:rsidR="00290902" w:rsidRDefault="00290902">
      <w:pPr>
        <w:pStyle w:val="medium-header"/>
        <w:keepNext w:val="0"/>
        <w:keepLines w:val="0"/>
        <w:ind w:left="0" w:right="1134"/>
        <w:jc w:val="both"/>
        <w:rPr>
          <w:rStyle w:val="default"/>
          <w:rFonts w:cs="FrankRuehl"/>
          <w:rtl/>
        </w:rPr>
      </w:pPr>
      <w:r>
        <w:rPr>
          <w:lang w:val="he-IL"/>
        </w:rPr>
        <w:pict w14:anchorId="55F77852">
          <v:shape id="_x0000_s1059" type="#_x0000_t75" style="position:absolute;left:0;text-align:left;margin-left:130.05pt;margin-top:5.2pt;width:323.3pt;height:76.85pt;z-index:251674112" o:allowincell="f">
            <v:imagedata r:id="rId12" o:title="2312~2"/>
            <w10:wrap type="topAndBottom"/>
            <w10:anchorlock/>
          </v:shape>
        </w:pict>
      </w:r>
    </w:p>
    <w:p w14:paraId="5CA6C84F" w14:textId="77777777" w:rsidR="00290902" w:rsidRDefault="00290902">
      <w:pPr>
        <w:pStyle w:val="P00"/>
        <w:spacing w:before="72"/>
        <w:ind w:left="0" w:right="1134"/>
        <w:rPr>
          <w:rtl/>
        </w:rPr>
      </w:pPr>
      <w:r>
        <w:rPr>
          <w:rtl/>
        </w:rPr>
        <w:t>ו</w:t>
      </w:r>
      <w:r>
        <w:rPr>
          <w:rFonts w:hint="cs"/>
          <w:rtl/>
        </w:rPr>
        <w:t xml:space="preserve">עדת </w:t>
      </w:r>
      <w:r>
        <w:rPr>
          <w:rtl/>
        </w:rPr>
        <w:t>ה</w:t>
      </w:r>
      <w:r>
        <w:rPr>
          <w:rFonts w:hint="cs"/>
          <w:rtl/>
        </w:rPr>
        <w:t>ערר היושבת ב……………ליום ………/………/ ……</w:t>
      </w:r>
      <w:r>
        <w:rPr>
          <w:noProof w:val="0"/>
          <w:rtl/>
        </w:rPr>
        <w:t xml:space="preserve"> </w:t>
      </w:r>
      <w:r>
        <w:rPr>
          <w:rtl/>
        </w:rPr>
        <w:t>ש</w:t>
      </w:r>
      <w:r>
        <w:rPr>
          <w:rFonts w:hint="cs"/>
          <w:rtl/>
        </w:rPr>
        <w:t>עה ……</w:t>
      </w:r>
    </w:p>
    <w:p w14:paraId="055F5518" w14:textId="77777777" w:rsidR="00290902" w:rsidRDefault="00290902">
      <w:pPr>
        <w:pStyle w:val="P00"/>
        <w:spacing w:before="72"/>
        <w:ind w:left="0" w:right="1134"/>
        <w:rPr>
          <w:szCs w:val="20"/>
          <w:rtl/>
        </w:rPr>
      </w:pPr>
      <w:r>
        <w:rPr>
          <w:szCs w:val="20"/>
          <w:rtl/>
        </w:rPr>
        <w:t> </w:t>
      </w:r>
      <w:r>
        <w:rPr>
          <w:szCs w:val="20"/>
          <w:rtl/>
        </w:rPr>
        <w:t> </w:t>
      </w:r>
      <w:r>
        <w:rPr>
          <w:szCs w:val="20"/>
          <w:rtl/>
        </w:rPr>
        <w:t> </w:t>
      </w:r>
      <w:r>
        <w:rPr>
          <w:szCs w:val="20"/>
          <w:rtl/>
        </w:rPr>
        <w:t> </w:t>
      </w:r>
      <w:r>
        <w:rPr>
          <w:szCs w:val="20"/>
          <w:rtl/>
        </w:rPr>
        <w:t> </w:t>
      </w:r>
      <w:r>
        <w:rPr>
          <w:szCs w:val="20"/>
          <w:rtl/>
        </w:rPr>
        <w:t> </w:t>
      </w:r>
      <w:r>
        <w:rPr>
          <w:szCs w:val="20"/>
          <w:rtl/>
        </w:rPr>
        <w:t> </w:t>
      </w:r>
      <w:r>
        <w:rPr>
          <w:szCs w:val="20"/>
          <w:rtl/>
        </w:rPr>
        <w:t> </w:t>
      </w:r>
      <w:r>
        <w:rPr>
          <w:szCs w:val="20"/>
          <w:rtl/>
        </w:rPr>
        <w:t> </w:t>
      </w:r>
      <w:r>
        <w:rPr>
          <w:szCs w:val="20"/>
          <w:rtl/>
        </w:rPr>
        <w:tab/>
      </w:r>
      <w:r>
        <w:rPr>
          <w:szCs w:val="20"/>
          <w:rtl/>
        </w:rPr>
        <w:tab/>
      </w:r>
      <w:r>
        <w:rPr>
          <w:szCs w:val="20"/>
          <w:rtl/>
        </w:rPr>
        <w:tab/>
      </w:r>
      <w:r>
        <w:rPr>
          <w:rFonts w:hint="cs"/>
          <w:szCs w:val="20"/>
          <w:rtl/>
        </w:rPr>
        <w:t>(המען)</w:t>
      </w:r>
    </w:p>
    <w:p w14:paraId="35503DC1" w14:textId="77777777" w:rsidR="00290902" w:rsidRDefault="00290902">
      <w:pPr>
        <w:pStyle w:val="P00"/>
        <w:spacing w:before="72"/>
        <w:ind w:left="0" w:right="1134"/>
        <w:rPr>
          <w:rtl/>
        </w:rPr>
      </w:pPr>
      <w:r>
        <w:rPr>
          <w:rtl/>
        </w:rPr>
        <w:t>א</w:t>
      </w:r>
      <w:r>
        <w:rPr>
          <w:rFonts w:hint="cs"/>
          <w:rtl/>
        </w:rPr>
        <w:t>ל: ………</w:t>
      </w:r>
      <w:r>
        <w:rPr>
          <w:noProof w:val="0"/>
          <w:rtl/>
        </w:rPr>
        <w:t>…</w:t>
      </w:r>
      <w:r>
        <w:rPr>
          <w:rtl/>
        </w:rPr>
        <w:t>…</w:t>
      </w:r>
      <w:r>
        <w:rPr>
          <w:rFonts w:hint="cs"/>
          <w:rtl/>
        </w:rPr>
        <w:t>………………….. המען ………………………………..</w:t>
      </w:r>
    </w:p>
    <w:p w14:paraId="625DEC41" w14:textId="77777777" w:rsidR="00290902" w:rsidRDefault="00290902">
      <w:pPr>
        <w:pStyle w:val="P00"/>
        <w:tabs>
          <w:tab w:val="left" w:pos="4819"/>
        </w:tabs>
        <w:spacing w:before="72"/>
        <w:ind w:left="0" w:right="1134"/>
        <w:rPr>
          <w:szCs w:val="20"/>
          <w:rtl/>
        </w:rPr>
      </w:pPr>
      <w:r>
        <w:rPr>
          <w:szCs w:val="20"/>
          <w:rtl/>
        </w:rPr>
        <w:tab/>
      </w:r>
      <w:r>
        <w:rPr>
          <w:szCs w:val="20"/>
          <w:rtl/>
        </w:rPr>
        <w:tab/>
      </w:r>
      <w:r>
        <w:rPr>
          <w:szCs w:val="20"/>
          <w:rtl/>
        </w:rPr>
        <w:tab/>
      </w:r>
      <w:r>
        <w:rPr>
          <w:szCs w:val="20"/>
          <w:rtl/>
        </w:rPr>
        <w:tab/>
      </w:r>
      <w:r>
        <w:rPr>
          <w:szCs w:val="20"/>
          <w:rtl/>
        </w:rPr>
        <w:tab/>
      </w:r>
      <w:r>
        <w:rPr>
          <w:szCs w:val="20"/>
          <w:rtl/>
        </w:rPr>
        <w:tab/>
      </w:r>
      <w:r>
        <w:rPr>
          <w:szCs w:val="20"/>
          <w:rtl/>
        </w:rPr>
        <w:tab/>
      </w:r>
      <w:r>
        <w:rPr>
          <w:rFonts w:hint="cs"/>
          <w:szCs w:val="20"/>
          <w:rtl/>
        </w:rPr>
        <w:t>(מס' המיקוד)</w:t>
      </w:r>
      <w:r>
        <w:rPr>
          <w:szCs w:val="20"/>
          <w:rtl/>
        </w:rPr>
        <w:t> </w:t>
      </w:r>
      <w:r>
        <w:rPr>
          <w:szCs w:val="20"/>
          <w:rtl/>
        </w:rPr>
        <w:t> </w:t>
      </w:r>
      <w:r>
        <w:rPr>
          <w:szCs w:val="20"/>
          <w:rtl/>
        </w:rPr>
        <w:t> </w:t>
      </w:r>
    </w:p>
    <w:p w14:paraId="483D5CF8" w14:textId="77777777" w:rsidR="00290902" w:rsidRDefault="00290902">
      <w:pPr>
        <w:pStyle w:val="P00"/>
        <w:spacing w:before="72"/>
        <w:ind w:left="0" w:right="1134"/>
        <w:rPr>
          <w:rtl/>
        </w:rPr>
      </w:pPr>
      <w:r>
        <w:rPr>
          <w:rtl/>
        </w:rPr>
        <w:t>ב</w:t>
      </w:r>
      <w:r>
        <w:rPr>
          <w:rFonts w:hint="cs"/>
          <w:rtl/>
        </w:rPr>
        <w:t>ערר של …………………………………. נגד מנהל מס רכוש וקרן פיצויים.</w:t>
      </w:r>
    </w:p>
    <w:p w14:paraId="75246A63" w14:textId="77777777" w:rsidR="00290902" w:rsidRDefault="00290902">
      <w:pPr>
        <w:pStyle w:val="P00"/>
        <w:spacing w:before="72"/>
        <w:ind w:left="0" w:right="1134"/>
        <w:rPr>
          <w:rtl/>
        </w:rPr>
      </w:pPr>
      <w:r>
        <w:rPr>
          <w:rtl/>
        </w:rPr>
        <w:t>ע</w:t>
      </w:r>
      <w:r>
        <w:rPr>
          <w:rFonts w:hint="cs"/>
          <w:rtl/>
        </w:rPr>
        <w:t>ליך להופיע בועדה זו כדי להעיד בתיק האמור ביום ובשעה הנקובים למעלה, וכן ב ……………</w:t>
      </w:r>
      <w:r>
        <w:rPr>
          <w:rtl/>
        </w:rPr>
        <w:t>…</w:t>
      </w:r>
      <w:r>
        <w:rPr>
          <w:rFonts w:hint="cs"/>
          <w:rtl/>
        </w:rPr>
        <w:t>…………………</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14:paraId="11123F12" w14:textId="77777777" w:rsidR="00290902" w:rsidRDefault="00290902">
      <w:pPr>
        <w:pStyle w:val="P00"/>
        <w:spacing w:before="72"/>
        <w:ind w:left="0" w:right="1134"/>
        <w:rPr>
          <w:rtl/>
        </w:rPr>
      </w:pPr>
      <w:r>
        <w:rPr>
          <w:rtl/>
        </w:rPr>
        <w:t>ה</w:t>
      </w:r>
      <w:r>
        <w:rPr>
          <w:rFonts w:hint="cs"/>
          <w:rtl/>
        </w:rPr>
        <w:t>ישיבה שנועדה ל ………./………./ ……….. מבוטלת בזה.</w:t>
      </w:r>
      <w:r>
        <w:rPr>
          <w:rtl/>
        </w:rPr>
        <w:t> </w:t>
      </w:r>
      <w:r>
        <w:rPr>
          <w:rtl/>
        </w:rPr>
        <w:t> </w:t>
      </w:r>
      <w:r>
        <w:rPr>
          <w:rtl/>
        </w:rPr>
        <w:t> </w:t>
      </w:r>
      <w:r>
        <w:rPr>
          <w:rtl/>
        </w:rPr>
        <w:t> </w:t>
      </w:r>
      <w:r>
        <w:rPr>
          <w:rtl/>
        </w:rPr>
        <w:t> </w:t>
      </w:r>
      <w:r>
        <w:rPr>
          <w:rtl/>
        </w:rPr>
        <w:t> </w:t>
      </w:r>
    </w:p>
    <w:p w14:paraId="040A469F" w14:textId="77777777" w:rsidR="00290902" w:rsidRDefault="00290902">
      <w:pPr>
        <w:pStyle w:val="P00"/>
        <w:spacing w:before="72"/>
        <w:ind w:left="0" w:right="1134"/>
        <w:rPr>
          <w:rtl/>
        </w:rPr>
      </w:pPr>
      <w:r>
        <w:rPr>
          <w:rtl/>
        </w:rPr>
        <w:t>ה</w:t>
      </w:r>
      <w:r>
        <w:rPr>
          <w:rFonts w:hint="cs"/>
          <w:rtl/>
        </w:rPr>
        <w:t>נך מצווה להמציא לועדה זו לערר האמור את המסמכים דלהלן:</w:t>
      </w:r>
    </w:p>
    <w:p w14:paraId="1943F444" w14:textId="77777777" w:rsidR="00290902" w:rsidRDefault="00290902">
      <w:pPr>
        <w:pStyle w:val="P00"/>
        <w:spacing w:before="72"/>
        <w:ind w:left="0" w:right="1134"/>
        <w:rPr>
          <w:rtl/>
        </w:rPr>
      </w:pPr>
      <w:r>
        <w:rPr>
          <w:rtl/>
        </w:rPr>
        <w:t>…</w:t>
      </w:r>
      <w:r>
        <w:rPr>
          <w:rFonts w:hint="cs"/>
          <w:rtl/>
        </w:rPr>
        <w:t>………………………………………………………………………………</w:t>
      </w:r>
    </w:p>
    <w:p w14:paraId="5EFE9883" w14:textId="77777777" w:rsidR="00290902" w:rsidRDefault="00290902">
      <w:pPr>
        <w:pStyle w:val="P00"/>
        <w:spacing w:before="72"/>
        <w:ind w:left="0" w:right="1134"/>
        <w:rPr>
          <w:rStyle w:val="default"/>
          <w:rFonts w:cs="FrankRuehl"/>
          <w:rtl/>
        </w:rPr>
      </w:pPr>
      <w:r>
        <w:rPr>
          <w:rStyle w:val="default"/>
          <w:rFonts w:cs="FrankRuehl"/>
          <w:rtl/>
        </w:rPr>
        <w:t>א</w:t>
      </w:r>
      <w:r>
        <w:rPr>
          <w:rStyle w:val="default"/>
          <w:rFonts w:cs="FrankRuehl" w:hint="cs"/>
          <w:rtl/>
        </w:rPr>
        <w:t>ם לא תופיע להעיד על פי הזמנה זו, או לא תמציא את המסמכים כאמור, רשאי יושב ראש הועדה, על דעת הועדה,</w:t>
      </w:r>
      <w:r>
        <w:rPr>
          <w:rStyle w:val="default"/>
          <w:rFonts w:cs="FrankRuehl"/>
          <w:rtl/>
        </w:rPr>
        <w:t xml:space="preserve"> </w:t>
      </w:r>
      <w:r>
        <w:rPr>
          <w:rStyle w:val="default"/>
          <w:rFonts w:cs="FrankRuehl" w:hint="cs"/>
          <w:rtl/>
        </w:rPr>
        <w:t>לצוות על הבאתך בהתאם לחוק, וגם להטיל עליך, אף שלא בפניך, קנס עד 200 לירות.</w:t>
      </w:r>
    </w:p>
    <w:p w14:paraId="682DC230" w14:textId="77777777" w:rsidR="00290902" w:rsidRDefault="00290902">
      <w:pPr>
        <w:pStyle w:val="P00"/>
        <w:spacing w:before="72"/>
        <w:ind w:left="0" w:right="1134"/>
        <w:rPr>
          <w:rtl/>
        </w:rPr>
      </w:pPr>
      <w:r>
        <w:rPr>
          <w:rtl/>
        </w:rPr>
        <w:t>א</w:t>
      </w:r>
      <w:r>
        <w:rPr>
          <w:rFonts w:hint="cs"/>
          <w:rtl/>
        </w:rPr>
        <w:t>ם כבר הוזמנת להעיד במשפט האמור ולא התייצבת, או אם כבר נצטווית להמציא מסמכים במשפט האמור ולא המצאת, עלול אתה להיתבע בפלילים, ורשאי בית המשפט להטיל עליך מאסר עד שנתיים.</w:t>
      </w:r>
    </w:p>
    <w:p w14:paraId="3E7F9B28" w14:textId="77777777" w:rsidR="00290902" w:rsidRDefault="00290902">
      <w:pPr>
        <w:pStyle w:val="P00"/>
        <w:spacing w:before="72"/>
        <w:ind w:left="0" w:right="1134"/>
        <w:rPr>
          <w:rStyle w:val="default"/>
          <w:rFonts w:cs="FrankRuehl"/>
          <w:rtl/>
        </w:rPr>
      </w:pPr>
      <w:r>
        <w:rPr>
          <w:rStyle w:val="default"/>
          <w:rFonts w:cs="FrankRuehl"/>
          <w:rtl/>
        </w:rPr>
        <w:t>ה</w:t>
      </w:r>
      <w:r>
        <w:rPr>
          <w:rStyle w:val="default"/>
          <w:rFonts w:cs="FrankRuehl" w:hint="cs"/>
          <w:rtl/>
        </w:rPr>
        <w:t>ערות ………………</w:t>
      </w:r>
      <w:r>
        <w:rPr>
          <w:rStyle w:val="default"/>
          <w:rFonts w:cs="FrankRuehl"/>
          <w:rtl/>
        </w:rPr>
        <w:t>…</w:t>
      </w:r>
      <w:r>
        <w:rPr>
          <w:rStyle w:val="default"/>
          <w:rFonts w:cs="FrankRuehl" w:hint="cs"/>
          <w:rtl/>
        </w:rPr>
        <w:t>………………………………………………………</w:t>
      </w:r>
    </w:p>
    <w:p w14:paraId="407020B4" w14:textId="77777777" w:rsidR="00290902" w:rsidRDefault="00290902">
      <w:pPr>
        <w:pStyle w:val="P00"/>
        <w:spacing w:before="72"/>
        <w:ind w:left="0" w:right="1134"/>
        <w:rPr>
          <w:rStyle w:val="default"/>
          <w:rFonts w:cs="FrankRuehl"/>
          <w:rtl/>
        </w:rPr>
      </w:pPr>
    </w:p>
    <w:p w14:paraId="28A364B2" w14:textId="77777777" w:rsidR="00290902" w:rsidRDefault="00290902">
      <w:pPr>
        <w:pStyle w:val="P00"/>
        <w:spacing w:before="72"/>
        <w:ind w:left="0" w:right="1134"/>
        <w:rPr>
          <w:rtl/>
        </w:rPr>
      </w:pPr>
      <w:r>
        <w:rPr>
          <w:rtl/>
        </w:rPr>
        <w:t xml:space="preserve"> </w:t>
      </w:r>
      <w:r>
        <w:rPr>
          <w:rtl/>
        </w:rPr>
        <w:t> </w:t>
      </w:r>
      <w:r>
        <w:rPr>
          <w:rtl/>
        </w:rPr>
        <w:t>…</w:t>
      </w:r>
      <w:r>
        <w:rPr>
          <w:rFonts w:hint="cs"/>
          <w:rtl/>
        </w:rPr>
        <w:t>………………   ……………………………      ………………..</w:t>
      </w:r>
    </w:p>
    <w:p w14:paraId="1F5AC932" w14:textId="77777777" w:rsidR="00290902" w:rsidRDefault="00290902">
      <w:pPr>
        <w:pStyle w:val="P00"/>
        <w:tabs>
          <w:tab w:val="clear" w:pos="2835"/>
          <w:tab w:val="left" w:pos="3118"/>
        </w:tabs>
        <w:spacing w:before="72"/>
        <w:ind w:left="0" w:right="1134"/>
        <w:rPr>
          <w:szCs w:val="20"/>
          <w:rtl/>
        </w:rPr>
      </w:pPr>
      <w:r>
        <w:rPr>
          <w:szCs w:val="20"/>
          <w:rtl/>
        </w:rPr>
        <w:t> </w:t>
      </w:r>
      <w:r>
        <w:rPr>
          <w:szCs w:val="20"/>
          <w:rtl/>
        </w:rPr>
        <w:t xml:space="preserve">        </w:t>
      </w:r>
      <w:r>
        <w:rPr>
          <w:szCs w:val="20"/>
          <w:rtl/>
        </w:rPr>
        <w:t> </w:t>
      </w:r>
      <w:r>
        <w:rPr>
          <w:szCs w:val="20"/>
          <w:rtl/>
        </w:rPr>
        <w:t>(</w:t>
      </w:r>
      <w:r>
        <w:rPr>
          <w:rFonts w:hint="cs"/>
          <w:szCs w:val="20"/>
          <w:rtl/>
        </w:rPr>
        <w:t>תאריך)</w:t>
      </w:r>
      <w:r>
        <w:rPr>
          <w:szCs w:val="20"/>
          <w:rtl/>
        </w:rPr>
        <w:t> </w:t>
      </w:r>
      <w:r>
        <w:rPr>
          <w:szCs w:val="20"/>
          <w:rtl/>
        </w:rPr>
        <w:t> </w:t>
      </w:r>
      <w:r>
        <w:rPr>
          <w:szCs w:val="20"/>
          <w:rtl/>
        </w:rPr>
        <w:t> </w:t>
      </w:r>
      <w:r>
        <w:rPr>
          <w:szCs w:val="20"/>
          <w:rtl/>
        </w:rPr>
        <w:t> </w:t>
      </w:r>
      <w:r>
        <w:rPr>
          <w:szCs w:val="20"/>
          <w:rtl/>
        </w:rPr>
        <w:t> </w:t>
      </w:r>
      <w:r>
        <w:rPr>
          <w:szCs w:val="20"/>
          <w:rtl/>
        </w:rPr>
        <w:t xml:space="preserve">          (</w:t>
      </w:r>
      <w:r>
        <w:rPr>
          <w:rFonts w:hint="cs"/>
          <w:szCs w:val="20"/>
          <w:rtl/>
        </w:rPr>
        <w:t xml:space="preserve">חותמת הועדה) </w:t>
      </w:r>
      <w:r>
        <w:rPr>
          <w:szCs w:val="20"/>
          <w:rtl/>
        </w:rPr>
        <w:t> </w:t>
      </w:r>
      <w:r>
        <w:rPr>
          <w:szCs w:val="20"/>
          <w:rtl/>
        </w:rPr>
        <w:t> </w:t>
      </w:r>
      <w:r>
        <w:rPr>
          <w:szCs w:val="20"/>
          <w:rtl/>
        </w:rPr>
        <w:t> </w:t>
      </w:r>
      <w:r>
        <w:rPr>
          <w:szCs w:val="20"/>
          <w:rtl/>
        </w:rPr>
        <w:t xml:space="preserve">   </w:t>
      </w:r>
      <w:r>
        <w:rPr>
          <w:szCs w:val="20"/>
          <w:rtl/>
        </w:rPr>
        <w:t> </w:t>
      </w:r>
      <w:r>
        <w:rPr>
          <w:szCs w:val="20"/>
          <w:rtl/>
        </w:rPr>
        <w:t> </w:t>
      </w:r>
      <w:r>
        <w:rPr>
          <w:szCs w:val="20"/>
          <w:rtl/>
        </w:rPr>
        <w:t xml:space="preserve">        (</w:t>
      </w:r>
      <w:r>
        <w:rPr>
          <w:rFonts w:hint="cs"/>
          <w:szCs w:val="20"/>
          <w:rtl/>
        </w:rPr>
        <w:t>מזכיר)</w:t>
      </w:r>
    </w:p>
    <w:p w14:paraId="78E55668" w14:textId="77777777" w:rsidR="00290902" w:rsidRDefault="00290902">
      <w:pPr>
        <w:pStyle w:val="page"/>
        <w:widowControl/>
        <w:ind w:right="1134"/>
        <w:rPr>
          <w:position w:val="0"/>
          <w:rtl/>
        </w:rPr>
      </w:pPr>
      <w:r>
        <w:rPr>
          <w:position w:val="0"/>
          <w:rtl/>
        </w:rPr>
        <w:t xml:space="preserve"> </w:t>
      </w:r>
    </w:p>
    <w:p w14:paraId="1130CC6B" w14:textId="77777777" w:rsidR="00290902" w:rsidRDefault="00290902">
      <w:pPr>
        <w:pStyle w:val="medium2-header"/>
        <w:keepLines w:val="0"/>
        <w:spacing w:before="72"/>
        <w:ind w:left="0" w:right="1134"/>
        <w:rPr>
          <w:noProof/>
          <w:sz w:val="20"/>
          <w:rtl/>
        </w:rPr>
      </w:pPr>
      <w:bookmarkStart w:id="34" w:name="med4"/>
      <w:bookmarkEnd w:id="34"/>
      <w:r>
        <w:rPr>
          <w:noProof/>
          <w:sz w:val="20"/>
          <w:rtl/>
        </w:rPr>
        <w:t>ת</w:t>
      </w:r>
      <w:r>
        <w:rPr>
          <w:rFonts w:hint="cs"/>
          <w:noProof/>
          <w:sz w:val="20"/>
          <w:rtl/>
        </w:rPr>
        <w:t>וספת חמישית</w:t>
      </w:r>
    </w:p>
    <w:p w14:paraId="181EE96F" w14:textId="77777777" w:rsidR="00290902" w:rsidRDefault="00290902">
      <w:pPr>
        <w:pStyle w:val="medium-header"/>
        <w:keepNext w:val="0"/>
        <w:keepLines w:val="0"/>
        <w:ind w:left="0" w:right="1134"/>
        <w:rPr>
          <w:rtl/>
        </w:rPr>
      </w:pPr>
      <w:r>
        <w:rPr>
          <w:rtl/>
        </w:rPr>
        <w:t>(</w:t>
      </w:r>
      <w:r>
        <w:rPr>
          <w:rFonts w:hint="cs"/>
          <w:rtl/>
        </w:rPr>
        <w:t>תקנה 18א)</w:t>
      </w:r>
    </w:p>
    <w:p w14:paraId="74EE0284" w14:textId="77777777" w:rsidR="00290902" w:rsidRDefault="00290902">
      <w:pPr>
        <w:pStyle w:val="medium-header"/>
        <w:keepNext w:val="0"/>
        <w:keepLines w:val="0"/>
        <w:ind w:left="0" w:right="1134"/>
        <w:rPr>
          <w:rtl/>
        </w:rPr>
      </w:pPr>
      <w:r>
        <w:rPr>
          <w:rtl/>
        </w:rPr>
        <w:t>מ</w:t>
      </w:r>
      <w:r>
        <w:rPr>
          <w:rFonts w:hint="cs"/>
          <w:rtl/>
        </w:rPr>
        <w:t>דינת ישראל</w:t>
      </w:r>
    </w:p>
    <w:p w14:paraId="69E36ED2" w14:textId="77777777" w:rsidR="00290902" w:rsidRDefault="00290902">
      <w:pPr>
        <w:pStyle w:val="medium-header"/>
        <w:keepNext w:val="0"/>
        <w:keepLines w:val="0"/>
        <w:ind w:left="0" w:right="1134"/>
        <w:rPr>
          <w:rtl/>
        </w:rPr>
      </w:pPr>
      <w:r>
        <w:rPr>
          <w:rtl/>
        </w:rPr>
        <w:t>ו</w:t>
      </w:r>
      <w:r>
        <w:rPr>
          <w:rFonts w:hint="cs"/>
          <w:rtl/>
        </w:rPr>
        <w:t>עדת ערר לפי חוק מס רכוש וקרן פיצויים, תשכ"א</w:t>
      </w:r>
      <w:r>
        <w:rPr>
          <w:rtl/>
        </w:rPr>
        <w:t>–</w:t>
      </w:r>
      <w:r>
        <w:rPr>
          <w:rFonts w:hint="cs"/>
          <w:rtl/>
        </w:rPr>
        <w:t>1961</w:t>
      </w:r>
    </w:p>
    <w:p w14:paraId="551F6BA5" w14:textId="77777777" w:rsidR="00290902" w:rsidRDefault="00290902">
      <w:pPr>
        <w:pStyle w:val="medium-header"/>
        <w:keepNext w:val="0"/>
        <w:keepLines w:val="0"/>
        <w:ind w:left="0" w:right="1134"/>
        <w:jc w:val="both"/>
        <w:rPr>
          <w:rtl/>
        </w:rPr>
      </w:pPr>
      <w:r>
        <w:rPr>
          <w:lang w:val="he-IL"/>
        </w:rPr>
        <w:pict w14:anchorId="11CFD242">
          <v:shape id="_x0000_s1060" type="#_x0000_t75" style="position:absolute;left:0;text-align:left;margin-left:122.85pt;margin-top:21.3pt;width:343.2pt;height:381.75pt;z-index:251675136" o:allowincell="f">
            <v:imagedata r:id="rId13" o:title="2313~2"/>
            <w10:wrap type="topAndBottom"/>
            <w10:anchorlock/>
          </v:shape>
        </w:pict>
      </w:r>
    </w:p>
    <w:p w14:paraId="31716E5C" w14:textId="77777777" w:rsidR="00290902" w:rsidRDefault="00290902">
      <w:pPr>
        <w:pStyle w:val="P00"/>
        <w:spacing w:before="72"/>
        <w:ind w:left="0" w:right="1134"/>
        <w:rPr>
          <w:rStyle w:val="default"/>
          <w:rFonts w:cs="FrankRuehl" w:hint="cs"/>
          <w:rtl/>
        </w:rPr>
      </w:pPr>
    </w:p>
    <w:p w14:paraId="67A39BF5" w14:textId="77777777" w:rsidR="00290902" w:rsidRDefault="00290902">
      <w:pPr>
        <w:pStyle w:val="P00"/>
        <w:spacing w:before="72"/>
        <w:ind w:left="0" w:right="1134"/>
        <w:rPr>
          <w:rStyle w:val="default"/>
          <w:rFonts w:cs="FrankRuehl" w:hint="cs"/>
          <w:rtl/>
        </w:rPr>
      </w:pPr>
    </w:p>
    <w:p w14:paraId="0AA2EC5C" w14:textId="77777777" w:rsidR="00290902" w:rsidRDefault="00290902">
      <w:pPr>
        <w:pStyle w:val="sig-0"/>
        <w:ind w:left="0" w:right="1134"/>
        <w:rPr>
          <w:rtl/>
        </w:rPr>
      </w:pPr>
      <w:r>
        <w:rPr>
          <w:rtl/>
        </w:rPr>
        <w:t>ט</w:t>
      </w:r>
      <w:r>
        <w:rPr>
          <w:rFonts w:hint="cs"/>
          <w:rtl/>
        </w:rPr>
        <w:t>' באדר תשל"ט (8 במרס 1979)</w:t>
      </w:r>
      <w:r>
        <w:rPr>
          <w:rtl/>
        </w:rPr>
        <w:tab/>
      </w:r>
      <w:r>
        <w:rPr>
          <w:rFonts w:hint="cs"/>
          <w:rtl/>
        </w:rPr>
        <w:t>שמואל תמיר</w:t>
      </w:r>
    </w:p>
    <w:p w14:paraId="27523D8C" w14:textId="77777777" w:rsidR="00290902" w:rsidRDefault="00290902">
      <w:pPr>
        <w:pStyle w:val="sig-1"/>
        <w:widowControl/>
        <w:ind w:left="0" w:right="1134"/>
        <w:rPr>
          <w:rFonts w:hint="cs"/>
          <w:rtl/>
        </w:rPr>
      </w:pPr>
      <w:r>
        <w:rPr>
          <w:rtl/>
        </w:rPr>
        <w:tab/>
      </w:r>
      <w:r>
        <w:rPr>
          <w:rtl/>
        </w:rPr>
        <w:tab/>
      </w:r>
      <w:r>
        <w:rPr>
          <w:rtl/>
        </w:rPr>
        <w:tab/>
      </w:r>
      <w:r>
        <w:rPr>
          <w:rFonts w:hint="cs"/>
          <w:rtl/>
        </w:rPr>
        <w:t>שר המשפטים</w:t>
      </w:r>
    </w:p>
    <w:p w14:paraId="190FD936" w14:textId="77777777" w:rsidR="00290902" w:rsidRDefault="00290902">
      <w:pPr>
        <w:pStyle w:val="sig-1"/>
        <w:widowControl/>
        <w:ind w:left="0" w:right="1134"/>
        <w:rPr>
          <w:rFonts w:hint="cs"/>
          <w:rtl/>
        </w:rPr>
      </w:pPr>
    </w:p>
    <w:p w14:paraId="100CACAF" w14:textId="77777777" w:rsidR="00290902" w:rsidRDefault="00290902">
      <w:pPr>
        <w:pStyle w:val="sig-1"/>
        <w:widowControl/>
        <w:ind w:left="0" w:right="1134"/>
        <w:rPr>
          <w:rtl/>
        </w:rPr>
      </w:pPr>
    </w:p>
    <w:p w14:paraId="514974AA" w14:textId="77777777" w:rsidR="00290902" w:rsidRDefault="00290902">
      <w:pPr>
        <w:ind w:right="1134"/>
        <w:rPr>
          <w:rtl/>
        </w:rPr>
      </w:pPr>
      <w:bookmarkStart w:id="35" w:name="LawPartEnd"/>
    </w:p>
    <w:bookmarkEnd w:id="35"/>
    <w:p w14:paraId="0A0D755A" w14:textId="77777777" w:rsidR="00290902" w:rsidRDefault="00290902">
      <w:pPr>
        <w:ind w:right="1134"/>
        <w:rPr>
          <w:rtl/>
        </w:rPr>
      </w:pPr>
    </w:p>
    <w:sectPr w:rsidR="00290902">
      <w:headerReference w:type="even" r:id="rId14"/>
      <w:headerReference w:type="default" r:id="rId15"/>
      <w:footerReference w:type="even" r:id="rId16"/>
      <w:footerReference w:type="default" r:id="rId1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E3CB1" w14:textId="77777777" w:rsidR="00FB4337" w:rsidRDefault="00FB4337">
      <w:r>
        <w:separator/>
      </w:r>
    </w:p>
  </w:endnote>
  <w:endnote w:type="continuationSeparator" w:id="0">
    <w:p w14:paraId="1782F6A2" w14:textId="77777777" w:rsidR="00FB4337" w:rsidRDefault="00FB4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63971" w14:textId="77777777" w:rsidR="00290902" w:rsidRDefault="00290902">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58067CB1" w14:textId="77777777" w:rsidR="00290902" w:rsidRDefault="0029090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BEA6793" w14:textId="77777777" w:rsidR="00290902" w:rsidRDefault="0029090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C:\Yael\hakika\Revadim\273_041.doc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ECDCF" w14:textId="77777777" w:rsidR="00290902" w:rsidRDefault="00290902">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EC6F35">
      <w:rPr>
        <w:rFonts w:hAnsi="FrankRuehl"/>
        <w:noProof/>
        <w:sz w:val="24"/>
        <w:szCs w:val="24"/>
        <w:rtl/>
      </w:rPr>
      <w:t>2</w:t>
    </w:r>
    <w:r>
      <w:rPr>
        <w:rFonts w:hAnsi="FrankRuehl"/>
        <w:sz w:val="24"/>
        <w:szCs w:val="24"/>
        <w:rtl/>
      </w:rPr>
      <w:fldChar w:fldCharType="end"/>
    </w:r>
  </w:p>
  <w:p w14:paraId="3EBA5BEF" w14:textId="77777777" w:rsidR="00290902" w:rsidRDefault="0029090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E65C295" w14:textId="77777777" w:rsidR="00290902" w:rsidRDefault="0029090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C:\Yael\hakika\Revadim\273_041.doc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1FA1A" w14:textId="77777777" w:rsidR="00FB4337" w:rsidRDefault="00FB4337">
      <w:pPr>
        <w:spacing w:before="60" w:line="240" w:lineRule="auto"/>
        <w:ind w:right="1134"/>
      </w:pPr>
      <w:r>
        <w:separator/>
      </w:r>
    </w:p>
  </w:footnote>
  <w:footnote w:type="continuationSeparator" w:id="0">
    <w:p w14:paraId="0F8B4B0F" w14:textId="77777777" w:rsidR="00FB4337" w:rsidRDefault="00FB4337">
      <w:pPr>
        <w:spacing w:before="60" w:line="240" w:lineRule="auto"/>
        <w:ind w:right="1134"/>
      </w:pPr>
      <w:r>
        <w:separator/>
      </w:r>
    </w:p>
  </w:footnote>
  <w:footnote w:id="1">
    <w:p w14:paraId="1ECDF40D" w14:textId="77777777" w:rsidR="00290902" w:rsidRDefault="0029090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תשל"ט מס' 3969</w:t>
        </w:r>
      </w:hyperlink>
      <w:r>
        <w:rPr>
          <w:rFonts w:hint="cs"/>
          <w:sz w:val="20"/>
          <w:rtl/>
        </w:rPr>
        <w:t xml:space="preserve"> מיום 9.4.1979 עמ' 972.</w:t>
      </w:r>
    </w:p>
    <w:p w14:paraId="5E186565" w14:textId="77777777" w:rsidR="00290902" w:rsidRDefault="0029090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ת"ט </w:t>
      </w:r>
      <w:hyperlink r:id="rId2" w:history="1">
        <w:r>
          <w:rPr>
            <w:rStyle w:val="Hyperlink"/>
            <w:rFonts w:hint="cs"/>
            <w:sz w:val="20"/>
            <w:rtl/>
          </w:rPr>
          <w:t>ק"ת תשל"ט מס' 3986</w:t>
        </w:r>
      </w:hyperlink>
      <w:r>
        <w:rPr>
          <w:rFonts w:hint="cs"/>
          <w:sz w:val="20"/>
          <w:rtl/>
        </w:rPr>
        <w:t xml:space="preserve"> מיום 29.5.1979 עמ' 1304 ת"ט תשל"ט-1979.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BD239" w14:textId="77777777" w:rsidR="00290902" w:rsidRDefault="00290902">
    <w:pPr>
      <w:pStyle w:val="a3"/>
      <w:spacing w:line="220" w:lineRule="exact"/>
      <w:ind w:left="0" w:right="1134"/>
      <w:jc w:val="center"/>
      <w:rPr>
        <w:rFonts w:hAnsi="FrankRuehl"/>
        <w:color w:val="000000"/>
        <w:sz w:val="28"/>
        <w:szCs w:val="28"/>
        <w:rtl/>
      </w:rPr>
    </w:pPr>
    <w:r>
      <w:rPr>
        <w:rFonts w:hAnsi="FrankRuehl"/>
        <w:color w:val="000000"/>
        <w:sz w:val="28"/>
        <w:szCs w:val="28"/>
        <w:rtl/>
      </w:rPr>
      <w:t>תקנות מס רכוש וקרן פיצויים (נוהל וסדרי דין בועדות ערר), תשל"ט–1979</w:t>
    </w:r>
  </w:p>
  <w:p w14:paraId="68CC9704" w14:textId="77777777" w:rsidR="00290902" w:rsidRDefault="00290902">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0BCA6B25" w14:textId="77777777" w:rsidR="00290902" w:rsidRDefault="00290902">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3A4AB" w14:textId="77777777" w:rsidR="00290902" w:rsidRDefault="00290902">
    <w:pPr>
      <w:pStyle w:val="a3"/>
      <w:spacing w:line="220" w:lineRule="exact"/>
      <w:ind w:left="0" w:right="1134"/>
      <w:jc w:val="center"/>
      <w:rPr>
        <w:rFonts w:hAnsi="FrankRuehl"/>
        <w:color w:val="000000"/>
        <w:sz w:val="28"/>
        <w:szCs w:val="28"/>
        <w:rtl/>
      </w:rPr>
    </w:pPr>
    <w:r>
      <w:rPr>
        <w:rFonts w:hAnsi="FrankRuehl"/>
        <w:color w:val="000000"/>
        <w:sz w:val="28"/>
        <w:szCs w:val="28"/>
        <w:rtl/>
      </w:rPr>
      <w:t>תקנות מס רכוש וקרן פיצויים (נוהל וסדרי דין בועדות ערר), תשל"ט</w:t>
    </w:r>
    <w:r>
      <w:rPr>
        <w:rFonts w:hAnsi="FrankRuehl" w:hint="cs"/>
        <w:color w:val="000000"/>
        <w:sz w:val="28"/>
        <w:szCs w:val="28"/>
        <w:rtl/>
      </w:rPr>
      <w:t>-</w:t>
    </w:r>
    <w:r>
      <w:rPr>
        <w:rFonts w:hAnsi="FrankRuehl"/>
        <w:color w:val="000000"/>
        <w:sz w:val="28"/>
        <w:szCs w:val="28"/>
        <w:rtl/>
      </w:rPr>
      <w:t>1979</w:t>
    </w:r>
  </w:p>
  <w:p w14:paraId="1FE0F948" w14:textId="77777777" w:rsidR="00290902" w:rsidRDefault="00290902">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14C80BBC" w14:textId="77777777" w:rsidR="00290902" w:rsidRDefault="00290902">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90902"/>
    <w:rsid w:val="00290902"/>
    <w:rsid w:val="00362ED0"/>
    <w:rsid w:val="004C6C69"/>
    <w:rsid w:val="00786CCE"/>
    <w:rsid w:val="007A07CD"/>
    <w:rsid w:val="00CE2D89"/>
    <w:rsid w:val="00EC6F35"/>
    <w:rsid w:val="00FB433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5CB715A"/>
  <w15:chartTrackingRefBased/>
  <w15:docId w15:val="{2E1870A2-216B-414A-AE90-21A9E6105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3986.pdf"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3986.pdf"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3986.pdf" TargetMode="External"/><Relationship Id="rId1" Type="http://schemas.openxmlformats.org/officeDocument/2006/relationships/hyperlink" Target="http://www.nevo.co.il/Law_word/law06/TAK-396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1800</Words>
  <Characters>10262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פרק 273</vt:lpstr>
    </vt:vector>
  </TitlesOfParts>
  <Company/>
  <LinksUpToDate>false</LinksUpToDate>
  <CharactersWithSpaces>12038</CharactersWithSpaces>
  <SharedDoc>false</SharedDoc>
  <HLinks>
    <vt:vector size="228" baseType="variant">
      <vt:variant>
        <vt:i4>7471111</vt:i4>
      </vt:variant>
      <vt:variant>
        <vt:i4>207</vt:i4>
      </vt:variant>
      <vt:variant>
        <vt:i4>0</vt:i4>
      </vt:variant>
      <vt:variant>
        <vt:i4>5</vt:i4>
      </vt:variant>
      <vt:variant>
        <vt:lpwstr>http://www.nevo.co.il/Law_word/law06/TAK-3986.pdf</vt:lpwstr>
      </vt:variant>
      <vt:variant>
        <vt:lpwstr/>
      </vt:variant>
      <vt:variant>
        <vt:i4>7471111</vt:i4>
      </vt:variant>
      <vt:variant>
        <vt:i4>204</vt:i4>
      </vt:variant>
      <vt:variant>
        <vt:i4>0</vt:i4>
      </vt:variant>
      <vt:variant>
        <vt:i4>5</vt:i4>
      </vt:variant>
      <vt:variant>
        <vt:lpwstr>http://www.nevo.co.il/Law_word/law06/TAK-3986.pdf</vt:lpwstr>
      </vt:variant>
      <vt:variant>
        <vt:lpwstr/>
      </vt:variant>
      <vt:variant>
        <vt:i4>5308425</vt:i4>
      </vt:variant>
      <vt:variant>
        <vt:i4>201</vt:i4>
      </vt:variant>
      <vt:variant>
        <vt:i4>0</vt:i4>
      </vt:variant>
      <vt:variant>
        <vt:i4>5</vt:i4>
      </vt:variant>
      <vt:variant>
        <vt:lpwstr/>
      </vt:variant>
      <vt:variant>
        <vt:lpwstr>med4</vt:lpwstr>
      </vt:variant>
      <vt:variant>
        <vt:i4>5636105</vt:i4>
      </vt:variant>
      <vt:variant>
        <vt:i4>195</vt:i4>
      </vt:variant>
      <vt:variant>
        <vt:i4>0</vt:i4>
      </vt:variant>
      <vt:variant>
        <vt:i4>5</vt:i4>
      </vt:variant>
      <vt:variant>
        <vt:lpwstr/>
      </vt:variant>
      <vt:variant>
        <vt:lpwstr>med3</vt:lpwstr>
      </vt:variant>
      <vt:variant>
        <vt:i4>5701641</vt:i4>
      </vt:variant>
      <vt:variant>
        <vt:i4>189</vt:i4>
      </vt:variant>
      <vt:variant>
        <vt:i4>0</vt:i4>
      </vt:variant>
      <vt:variant>
        <vt:i4>5</vt:i4>
      </vt:variant>
      <vt:variant>
        <vt:lpwstr/>
      </vt:variant>
      <vt:variant>
        <vt:lpwstr>med2</vt:lpwstr>
      </vt:variant>
      <vt:variant>
        <vt:i4>5505033</vt:i4>
      </vt:variant>
      <vt:variant>
        <vt:i4>183</vt:i4>
      </vt:variant>
      <vt:variant>
        <vt:i4>0</vt:i4>
      </vt:variant>
      <vt:variant>
        <vt:i4>5</vt:i4>
      </vt:variant>
      <vt:variant>
        <vt:lpwstr/>
      </vt:variant>
      <vt:variant>
        <vt:lpwstr>med1</vt:lpwstr>
      </vt:variant>
      <vt:variant>
        <vt:i4>5570569</vt:i4>
      </vt:variant>
      <vt:variant>
        <vt:i4>177</vt:i4>
      </vt:variant>
      <vt:variant>
        <vt:i4>0</vt:i4>
      </vt:variant>
      <vt:variant>
        <vt:i4>5</vt:i4>
      </vt:variant>
      <vt:variant>
        <vt:lpwstr/>
      </vt:variant>
      <vt:variant>
        <vt:lpwstr>med0</vt:lpwstr>
      </vt:variant>
      <vt:variant>
        <vt:i4>3866664</vt:i4>
      </vt:variant>
      <vt:variant>
        <vt:i4>171</vt:i4>
      </vt:variant>
      <vt:variant>
        <vt:i4>0</vt:i4>
      </vt:variant>
      <vt:variant>
        <vt:i4>5</vt:i4>
      </vt:variant>
      <vt:variant>
        <vt:lpwstr/>
      </vt:variant>
      <vt:variant>
        <vt:lpwstr>Seif28</vt:lpwstr>
      </vt:variant>
      <vt:variant>
        <vt:i4>3407912</vt:i4>
      </vt:variant>
      <vt:variant>
        <vt:i4>165</vt:i4>
      </vt:variant>
      <vt:variant>
        <vt:i4>0</vt:i4>
      </vt:variant>
      <vt:variant>
        <vt:i4>5</vt:i4>
      </vt:variant>
      <vt:variant>
        <vt:lpwstr/>
      </vt:variant>
      <vt:variant>
        <vt:lpwstr>Seif27</vt:lpwstr>
      </vt:variant>
      <vt:variant>
        <vt:i4>3473448</vt:i4>
      </vt:variant>
      <vt:variant>
        <vt:i4>159</vt:i4>
      </vt:variant>
      <vt:variant>
        <vt:i4>0</vt:i4>
      </vt:variant>
      <vt:variant>
        <vt:i4>5</vt:i4>
      </vt:variant>
      <vt:variant>
        <vt:lpwstr/>
      </vt:variant>
      <vt:variant>
        <vt:lpwstr>Seif26</vt:lpwstr>
      </vt:variant>
      <vt:variant>
        <vt:i4>3538984</vt:i4>
      </vt:variant>
      <vt:variant>
        <vt:i4>153</vt:i4>
      </vt:variant>
      <vt:variant>
        <vt:i4>0</vt:i4>
      </vt:variant>
      <vt:variant>
        <vt:i4>5</vt:i4>
      </vt:variant>
      <vt:variant>
        <vt:lpwstr/>
      </vt:variant>
      <vt:variant>
        <vt:lpwstr>Seif25</vt:lpwstr>
      </vt:variant>
      <vt:variant>
        <vt:i4>3604520</vt:i4>
      </vt:variant>
      <vt:variant>
        <vt:i4>147</vt:i4>
      </vt:variant>
      <vt:variant>
        <vt:i4>0</vt:i4>
      </vt:variant>
      <vt:variant>
        <vt:i4>5</vt:i4>
      </vt:variant>
      <vt:variant>
        <vt:lpwstr/>
      </vt:variant>
      <vt:variant>
        <vt:lpwstr>Seif24</vt:lpwstr>
      </vt:variant>
      <vt:variant>
        <vt:i4>3145768</vt:i4>
      </vt:variant>
      <vt:variant>
        <vt:i4>141</vt:i4>
      </vt:variant>
      <vt:variant>
        <vt:i4>0</vt:i4>
      </vt:variant>
      <vt:variant>
        <vt:i4>5</vt:i4>
      </vt:variant>
      <vt:variant>
        <vt:lpwstr/>
      </vt:variant>
      <vt:variant>
        <vt:lpwstr>Seif23</vt:lpwstr>
      </vt:variant>
      <vt:variant>
        <vt:i4>3211304</vt:i4>
      </vt:variant>
      <vt:variant>
        <vt:i4>135</vt:i4>
      </vt:variant>
      <vt:variant>
        <vt:i4>0</vt:i4>
      </vt:variant>
      <vt:variant>
        <vt:i4>5</vt:i4>
      </vt:variant>
      <vt:variant>
        <vt:lpwstr/>
      </vt:variant>
      <vt:variant>
        <vt:lpwstr>Seif22</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7471111</vt:i4>
      </vt:variant>
      <vt:variant>
        <vt:i4>3</vt:i4>
      </vt:variant>
      <vt:variant>
        <vt:i4>0</vt:i4>
      </vt:variant>
      <vt:variant>
        <vt:i4>5</vt:i4>
      </vt:variant>
      <vt:variant>
        <vt:lpwstr>http://www.nevo.co.il/Law_word/law06/TAK-3986.pdf</vt:lpwstr>
      </vt:variant>
      <vt:variant>
        <vt:lpwstr/>
      </vt:variant>
      <vt:variant>
        <vt:i4>8126472</vt:i4>
      </vt:variant>
      <vt:variant>
        <vt:i4>0</vt:i4>
      </vt:variant>
      <vt:variant>
        <vt:i4>0</vt:i4>
      </vt:variant>
      <vt:variant>
        <vt:i4>5</vt:i4>
      </vt:variant>
      <vt:variant>
        <vt:lpwstr>http://www.nevo.co.il/Law_word/law06/TAK-3969.pdf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273</dc:title>
  <dc:subject/>
  <dc:creator>eli</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0273</vt:lpwstr>
  </property>
  <property fmtid="{D5CDD505-2E9C-101B-9397-08002B2CF9AE}" pid="3" name="CHNAME">
    <vt:lpwstr>מס רכוש וקרן פיצויים</vt:lpwstr>
  </property>
  <property fmtid="{D5CDD505-2E9C-101B-9397-08002B2CF9AE}" pid="4" name="LAWNAME">
    <vt:lpwstr>תקנות מס רכוש וקרן פיצויים (נוהל וסדרי דין בועדות ערר), תשל"ט-1979 - רבדים</vt:lpwstr>
  </property>
  <property fmtid="{D5CDD505-2E9C-101B-9397-08002B2CF9AE}" pid="5" name="LAWNUMBER">
    <vt:lpwstr>0041</vt:lpwstr>
  </property>
  <property fmtid="{D5CDD505-2E9C-101B-9397-08002B2CF9AE}" pid="6" name="TYPE">
    <vt:lpwstr>01</vt:lpwstr>
  </property>
  <property fmtid="{D5CDD505-2E9C-101B-9397-08002B2CF9AE}" pid="7" name="MEKOR_NAME1">
    <vt:lpwstr>חוק מס רכוש וקרן פיצויים</vt:lpwstr>
  </property>
  <property fmtid="{D5CDD505-2E9C-101B-9397-08002B2CF9AE}" pid="8" name="MEKOR_SAIF1">
    <vt:lpwstr>61X</vt:lpwstr>
  </property>
  <property fmtid="{D5CDD505-2E9C-101B-9397-08002B2CF9AE}" pid="9" name="NOSE11">
    <vt:lpwstr>מסים</vt:lpwstr>
  </property>
  <property fmtid="{D5CDD505-2E9C-101B-9397-08002B2CF9AE}" pid="10" name="NOSE21">
    <vt:lpwstr>מס רכוש וקרן פיצויים</vt:lpwstr>
  </property>
  <property fmtid="{D5CDD505-2E9C-101B-9397-08002B2CF9AE}" pid="11" name="NOSE31">
    <vt:lpwstr/>
  </property>
  <property fmtid="{D5CDD505-2E9C-101B-9397-08002B2CF9AE}" pid="12" name="NOSE41">
    <vt:lpwstr/>
  </property>
  <property fmtid="{D5CDD505-2E9C-101B-9397-08002B2CF9AE}" pid="13" name="NOSE12">
    <vt:lpwstr>מסים</vt:lpwstr>
  </property>
  <property fmtid="{D5CDD505-2E9C-101B-9397-08002B2CF9AE}" pid="14" name="NOSE22">
    <vt:lpwstr>סדרי דין</vt:lpwstr>
  </property>
  <property fmtid="{D5CDD505-2E9C-101B-9397-08002B2CF9AE}" pid="15" name="NOSE32">
    <vt:lpwstr>ערר</vt:lpwstr>
  </property>
  <property fmtid="{D5CDD505-2E9C-101B-9397-08002B2CF9AE}" pid="16" name="NOSE42">
    <vt:lpwstr>ועדות ערר</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