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3C32" w14:textId="77777777" w:rsidR="00AB580A" w:rsidRDefault="00AB580A" w:rsidP="00C4052F">
      <w:pPr>
        <w:pStyle w:val="big-header"/>
        <w:ind w:left="0" w:right="1134"/>
        <w:rPr>
          <w:rFonts w:hint="cs"/>
          <w:rtl/>
        </w:rPr>
      </w:pPr>
      <w:r>
        <w:rPr>
          <w:rtl/>
        </w:rPr>
        <w:t>תקנות מס רכוש וקרן פיצויים (</w:t>
      </w:r>
      <w:r w:rsidR="00C4052F">
        <w:rPr>
          <w:rFonts w:hint="cs"/>
          <w:rtl/>
        </w:rPr>
        <w:t>פיצויים בשל פגיעה ממעשה אלימות הנובע מהסכסוך הישראלי-ערבי), תשע"ה-2014</w:t>
      </w:r>
    </w:p>
    <w:p w14:paraId="2FD81757" w14:textId="77777777" w:rsidR="000142CB" w:rsidRDefault="000142CB" w:rsidP="000142CB">
      <w:pPr>
        <w:spacing w:line="320" w:lineRule="auto"/>
        <w:jc w:val="left"/>
        <w:rPr>
          <w:rFonts w:hint="cs"/>
          <w:rtl/>
        </w:rPr>
      </w:pPr>
    </w:p>
    <w:p w14:paraId="100441E5" w14:textId="77777777" w:rsidR="00C4052F" w:rsidRDefault="00C4052F" w:rsidP="000142CB">
      <w:pPr>
        <w:spacing w:line="320" w:lineRule="auto"/>
        <w:jc w:val="left"/>
        <w:rPr>
          <w:rFonts w:hint="cs"/>
          <w:rtl/>
        </w:rPr>
      </w:pPr>
    </w:p>
    <w:p w14:paraId="0E60A724" w14:textId="77777777" w:rsidR="000142CB" w:rsidRPr="000142CB" w:rsidRDefault="000142CB" w:rsidP="000142CB">
      <w:pPr>
        <w:spacing w:line="320" w:lineRule="auto"/>
        <w:jc w:val="left"/>
        <w:rPr>
          <w:rFonts w:cs="Miriam"/>
          <w:szCs w:val="22"/>
          <w:rtl/>
        </w:rPr>
      </w:pPr>
      <w:r w:rsidRPr="000142CB">
        <w:rPr>
          <w:rFonts w:cs="Miriam"/>
          <w:szCs w:val="22"/>
          <w:rtl/>
        </w:rPr>
        <w:t>מסים</w:t>
      </w:r>
      <w:r w:rsidRPr="000142CB">
        <w:rPr>
          <w:rFonts w:cs="FrankRuehl"/>
          <w:szCs w:val="26"/>
          <w:rtl/>
        </w:rPr>
        <w:t xml:space="preserve"> – מס רכוש וקרן פיצויים – נזק – תשלום פיצויים</w:t>
      </w:r>
    </w:p>
    <w:p w14:paraId="2CF8C55B" w14:textId="77777777" w:rsidR="00AB580A" w:rsidRDefault="00AB58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526E" w:rsidRPr="0055526E" w14:paraId="715F8D38" w14:textId="77777777" w:rsidTr="0055526E">
        <w:tblPrEx>
          <w:tblCellMar>
            <w:top w:w="0" w:type="dxa"/>
            <w:bottom w:w="0" w:type="dxa"/>
          </w:tblCellMar>
        </w:tblPrEx>
        <w:tc>
          <w:tcPr>
            <w:tcW w:w="1247" w:type="dxa"/>
          </w:tcPr>
          <w:p w14:paraId="5EB7ED27" w14:textId="77777777" w:rsidR="0055526E" w:rsidRPr="0055526E" w:rsidRDefault="0055526E" w:rsidP="0055526E">
            <w:pPr>
              <w:spacing w:line="240" w:lineRule="auto"/>
              <w:jc w:val="left"/>
              <w:rPr>
                <w:rFonts w:cs="Frankruhel"/>
                <w:sz w:val="24"/>
                <w:rtl/>
              </w:rPr>
            </w:pPr>
            <w:r>
              <w:rPr>
                <w:rFonts w:cs="Times New Roman"/>
                <w:sz w:val="24"/>
                <w:rtl/>
              </w:rPr>
              <w:t xml:space="preserve">סעיף 1 </w:t>
            </w:r>
          </w:p>
        </w:tc>
        <w:tc>
          <w:tcPr>
            <w:tcW w:w="5669" w:type="dxa"/>
          </w:tcPr>
          <w:p w14:paraId="5111DABE" w14:textId="77777777" w:rsidR="0055526E" w:rsidRPr="0055526E" w:rsidRDefault="0055526E" w:rsidP="0055526E">
            <w:pPr>
              <w:spacing w:line="240" w:lineRule="auto"/>
              <w:jc w:val="left"/>
              <w:rPr>
                <w:rFonts w:cs="Frankruhel"/>
                <w:sz w:val="24"/>
                <w:rtl/>
              </w:rPr>
            </w:pPr>
            <w:r>
              <w:rPr>
                <w:rFonts w:cs="Times New Roman"/>
                <w:sz w:val="24"/>
                <w:rtl/>
              </w:rPr>
              <w:t>הגדרות</w:t>
            </w:r>
          </w:p>
        </w:tc>
        <w:tc>
          <w:tcPr>
            <w:tcW w:w="567" w:type="dxa"/>
          </w:tcPr>
          <w:p w14:paraId="3501823E" w14:textId="77777777" w:rsidR="0055526E" w:rsidRPr="0055526E" w:rsidRDefault="0055526E" w:rsidP="0055526E">
            <w:pPr>
              <w:spacing w:line="240" w:lineRule="auto"/>
              <w:jc w:val="left"/>
              <w:rPr>
                <w:rStyle w:val="Hyperlink"/>
                <w:rtl/>
              </w:rPr>
            </w:pPr>
            <w:hyperlink w:anchor="Seif1" w:tooltip="הגדרות" w:history="1">
              <w:r w:rsidRPr="0055526E">
                <w:rPr>
                  <w:rStyle w:val="Hyperlink"/>
                </w:rPr>
                <w:t>Go</w:t>
              </w:r>
            </w:hyperlink>
          </w:p>
        </w:tc>
        <w:tc>
          <w:tcPr>
            <w:tcW w:w="850" w:type="dxa"/>
          </w:tcPr>
          <w:p w14:paraId="15EE487C" w14:textId="77777777" w:rsidR="0055526E" w:rsidRPr="0055526E" w:rsidRDefault="0055526E" w:rsidP="005552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526E" w:rsidRPr="0055526E" w14:paraId="2CFE5C52" w14:textId="77777777" w:rsidTr="0055526E">
        <w:tblPrEx>
          <w:tblCellMar>
            <w:top w:w="0" w:type="dxa"/>
            <w:bottom w:w="0" w:type="dxa"/>
          </w:tblCellMar>
        </w:tblPrEx>
        <w:tc>
          <w:tcPr>
            <w:tcW w:w="1247" w:type="dxa"/>
          </w:tcPr>
          <w:p w14:paraId="79B984D1" w14:textId="77777777" w:rsidR="0055526E" w:rsidRPr="0055526E" w:rsidRDefault="0055526E" w:rsidP="0055526E">
            <w:pPr>
              <w:spacing w:line="240" w:lineRule="auto"/>
              <w:jc w:val="left"/>
              <w:rPr>
                <w:rFonts w:cs="Frankruhel"/>
                <w:sz w:val="24"/>
                <w:rtl/>
              </w:rPr>
            </w:pPr>
            <w:r>
              <w:rPr>
                <w:rFonts w:cs="Times New Roman"/>
                <w:sz w:val="24"/>
                <w:rtl/>
              </w:rPr>
              <w:t xml:space="preserve">סעיף 2 </w:t>
            </w:r>
          </w:p>
        </w:tc>
        <w:tc>
          <w:tcPr>
            <w:tcW w:w="5669" w:type="dxa"/>
          </w:tcPr>
          <w:p w14:paraId="5D294048" w14:textId="77777777" w:rsidR="0055526E" w:rsidRPr="0055526E" w:rsidRDefault="0055526E" w:rsidP="0055526E">
            <w:pPr>
              <w:spacing w:line="240" w:lineRule="auto"/>
              <w:jc w:val="left"/>
              <w:rPr>
                <w:rFonts w:cs="Frankruhel"/>
                <w:sz w:val="24"/>
                <w:rtl/>
              </w:rPr>
            </w:pPr>
            <w:r>
              <w:rPr>
                <w:rFonts w:cs="Times New Roman"/>
                <w:sz w:val="24"/>
                <w:rtl/>
              </w:rPr>
              <w:t>זכאות לתשלום פיצויים בעד נזק</w:t>
            </w:r>
          </w:p>
        </w:tc>
        <w:tc>
          <w:tcPr>
            <w:tcW w:w="567" w:type="dxa"/>
          </w:tcPr>
          <w:p w14:paraId="1293FBD3" w14:textId="77777777" w:rsidR="0055526E" w:rsidRPr="0055526E" w:rsidRDefault="0055526E" w:rsidP="0055526E">
            <w:pPr>
              <w:spacing w:line="240" w:lineRule="auto"/>
              <w:jc w:val="left"/>
              <w:rPr>
                <w:rStyle w:val="Hyperlink"/>
                <w:rtl/>
              </w:rPr>
            </w:pPr>
            <w:hyperlink w:anchor="Seif2" w:tooltip="זכאות לתשלום פיצויים בעד נזק" w:history="1">
              <w:r w:rsidRPr="0055526E">
                <w:rPr>
                  <w:rStyle w:val="Hyperlink"/>
                </w:rPr>
                <w:t>Go</w:t>
              </w:r>
            </w:hyperlink>
          </w:p>
        </w:tc>
        <w:tc>
          <w:tcPr>
            <w:tcW w:w="850" w:type="dxa"/>
          </w:tcPr>
          <w:p w14:paraId="5230962F" w14:textId="77777777" w:rsidR="0055526E" w:rsidRPr="0055526E" w:rsidRDefault="0055526E" w:rsidP="005552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526E" w:rsidRPr="0055526E" w14:paraId="17665FE0" w14:textId="77777777" w:rsidTr="0055526E">
        <w:tblPrEx>
          <w:tblCellMar>
            <w:top w:w="0" w:type="dxa"/>
            <w:bottom w:w="0" w:type="dxa"/>
          </w:tblCellMar>
        </w:tblPrEx>
        <w:tc>
          <w:tcPr>
            <w:tcW w:w="1247" w:type="dxa"/>
          </w:tcPr>
          <w:p w14:paraId="35288810" w14:textId="77777777" w:rsidR="0055526E" w:rsidRPr="0055526E" w:rsidRDefault="0055526E" w:rsidP="0055526E">
            <w:pPr>
              <w:spacing w:line="240" w:lineRule="auto"/>
              <w:jc w:val="left"/>
              <w:rPr>
                <w:rFonts w:cs="Frankruhel"/>
                <w:sz w:val="24"/>
                <w:rtl/>
              </w:rPr>
            </w:pPr>
            <w:r>
              <w:rPr>
                <w:rFonts w:cs="Times New Roman"/>
                <w:sz w:val="24"/>
                <w:rtl/>
              </w:rPr>
              <w:t xml:space="preserve">סעיף 3 </w:t>
            </w:r>
          </w:p>
        </w:tc>
        <w:tc>
          <w:tcPr>
            <w:tcW w:w="5669" w:type="dxa"/>
          </w:tcPr>
          <w:p w14:paraId="6EF89238" w14:textId="77777777" w:rsidR="0055526E" w:rsidRPr="0055526E" w:rsidRDefault="0055526E" w:rsidP="0055526E">
            <w:pPr>
              <w:spacing w:line="240" w:lineRule="auto"/>
              <w:jc w:val="left"/>
              <w:rPr>
                <w:rFonts w:cs="Frankruhel"/>
                <w:sz w:val="24"/>
                <w:rtl/>
              </w:rPr>
            </w:pPr>
            <w:r>
              <w:rPr>
                <w:rFonts w:cs="Times New Roman"/>
                <w:sz w:val="24"/>
                <w:rtl/>
              </w:rPr>
              <w:t>זכאות לתשלום פיצויים לגבי חפצים ביתיים</w:t>
            </w:r>
          </w:p>
        </w:tc>
        <w:tc>
          <w:tcPr>
            <w:tcW w:w="567" w:type="dxa"/>
          </w:tcPr>
          <w:p w14:paraId="510E6854" w14:textId="77777777" w:rsidR="0055526E" w:rsidRPr="0055526E" w:rsidRDefault="0055526E" w:rsidP="0055526E">
            <w:pPr>
              <w:spacing w:line="240" w:lineRule="auto"/>
              <w:jc w:val="left"/>
              <w:rPr>
                <w:rStyle w:val="Hyperlink"/>
                <w:rtl/>
              </w:rPr>
            </w:pPr>
            <w:hyperlink w:anchor="Seif3" w:tooltip="זכאות לתשלום פיצויים לגבי חפצים ביתיים" w:history="1">
              <w:r w:rsidRPr="0055526E">
                <w:rPr>
                  <w:rStyle w:val="Hyperlink"/>
                </w:rPr>
                <w:t>Go</w:t>
              </w:r>
            </w:hyperlink>
          </w:p>
        </w:tc>
        <w:tc>
          <w:tcPr>
            <w:tcW w:w="850" w:type="dxa"/>
          </w:tcPr>
          <w:p w14:paraId="30C52D44" w14:textId="77777777" w:rsidR="0055526E" w:rsidRPr="0055526E" w:rsidRDefault="0055526E" w:rsidP="005552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526E" w:rsidRPr="0055526E" w14:paraId="50276246" w14:textId="77777777" w:rsidTr="0055526E">
        <w:tblPrEx>
          <w:tblCellMar>
            <w:top w:w="0" w:type="dxa"/>
            <w:bottom w:w="0" w:type="dxa"/>
          </w:tblCellMar>
        </w:tblPrEx>
        <w:tc>
          <w:tcPr>
            <w:tcW w:w="1247" w:type="dxa"/>
          </w:tcPr>
          <w:p w14:paraId="4D78C381" w14:textId="77777777" w:rsidR="0055526E" w:rsidRPr="0055526E" w:rsidRDefault="0055526E" w:rsidP="0055526E">
            <w:pPr>
              <w:spacing w:line="240" w:lineRule="auto"/>
              <w:jc w:val="left"/>
              <w:rPr>
                <w:rFonts w:cs="Frankruhel"/>
                <w:sz w:val="24"/>
                <w:rtl/>
              </w:rPr>
            </w:pPr>
            <w:r>
              <w:rPr>
                <w:rFonts w:cs="Times New Roman"/>
                <w:sz w:val="24"/>
                <w:rtl/>
              </w:rPr>
              <w:t xml:space="preserve">סעיף 4 </w:t>
            </w:r>
          </w:p>
        </w:tc>
        <w:tc>
          <w:tcPr>
            <w:tcW w:w="5669" w:type="dxa"/>
          </w:tcPr>
          <w:p w14:paraId="2CF10F5F" w14:textId="77777777" w:rsidR="0055526E" w:rsidRPr="0055526E" w:rsidRDefault="0055526E" w:rsidP="0055526E">
            <w:pPr>
              <w:spacing w:line="240" w:lineRule="auto"/>
              <w:jc w:val="left"/>
              <w:rPr>
                <w:rFonts w:cs="Frankruhel"/>
                <w:sz w:val="24"/>
                <w:rtl/>
              </w:rPr>
            </w:pPr>
            <w:r>
              <w:rPr>
                <w:rFonts w:cs="Times New Roman"/>
                <w:sz w:val="24"/>
                <w:rtl/>
              </w:rPr>
              <w:t>תחולה</w:t>
            </w:r>
          </w:p>
        </w:tc>
        <w:tc>
          <w:tcPr>
            <w:tcW w:w="567" w:type="dxa"/>
          </w:tcPr>
          <w:p w14:paraId="36E76B61" w14:textId="77777777" w:rsidR="0055526E" w:rsidRPr="0055526E" w:rsidRDefault="0055526E" w:rsidP="0055526E">
            <w:pPr>
              <w:spacing w:line="240" w:lineRule="auto"/>
              <w:jc w:val="left"/>
              <w:rPr>
                <w:rStyle w:val="Hyperlink"/>
                <w:rtl/>
              </w:rPr>
            </w:pPr>
            <w:hyperlink w:anchor="Seif4" w:tooltip="תחולה" w:history="1">
              <w:r w:rsidRPr="0055526E">
                <w:rPr>
                  <w:rStyle w:val="Hyperlink"/>
                </w:rPr>
                <w:t>Go</w:t>
              </w:r>
            </w:hyperlink>
          </w:p>
        </w:tc>
        <w:tc>
          <w:tcPr>
            <w:tcW w:w="850" w:type="dxa"/>
          </w:tcPr>
          <w:p w14:paraId="670F4718" w14:textId="77777777" w:rsidR="0055526E" w:rsidRPr="0055526E" w:rsidRDefault="0055526E" w:rsidP="005552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1F1E941" w14:textId="77777777" w:rsidR="00AB580A" w:rsidRDefault="00AB580A">
      <w:pPr>
        <w:pStyle w:val="big-header"/>
        <w:ind w:left="0" w:right="1134"/>
        <w:rPr>
          <w:rtl/>
        </w:rPr>
      </w:pPr>
    </w:p>
    <w:p w14:paraId="088E2394" w14:textId="77777777" w:rsidR="00AB580A" w:rsidRDefault="00AB580A" w:rsidP="00C4052F">
      <w:pPr>
        <w:pStyle w:val="big-header"/>
        <w:ind w:left="0" w:right="1134"/>
        <w:rPr>
          <w:rStyle w:val="default"/>
          <w:rFonts w:cs="FrankRuehl" w:hint="cs"/>
          <w:rtl/>
        </w:rPr>
      </w:pPr>
      <w:r>
        <w:rPr>
          <w:rtl/>
        </w:rPr>
        <w:br w:type="page"/>
      </w:r>
      <w:r>
        <w:rPr>
          <w:rtl/>
        </w:rPr>
        <w:lastRenderedPageBreak/>
        <w:t>ת</w:t>
      </w:r>
      <w:r>
        <w:rPr>
          <w:rFonts w:hint="cs"/>
          <w:rtl/>
        </w:rPr>
        <w:t>קנות מס רכוש וקרן פיצויים (</w:t>
      </w:r>
      <w:r w:rsidR="00C4052F">
        <w:rPr>
          <w:rFonts w:hint="cs"/>
          <w:rtl/>
        </w:rPr>
        <w:t>פיצויים בשל פגיעה ממעשה אלימות הנובע מהסכסוך הישראלי-ערבי), תשע"ה-2014</w:t>
      </w:r>
      <w:r>
        <w:rPr>
          <w:rStyle w:val="default"/>
          <w:rtl/>
        </w:rPr>
        <w:footnoteReference w:customMarkFollows="1" w:id="1"/>
        <w:t>*</w:t>
      </w:r>
    </w:p>
    <w:p w14:paraId="4FF7AABF" w14:textId="77777777" w:rsidR="00AB580A" w:rsidRDefault="00AB580A" w:rsidP="00C4052F">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w:t>
      </w:r>
      <w:r w:rsidR="00C4052F">
        <w:rPr>
          <w:rStyle w:val="default"/>
          <w:rFonts w:cs="FrankRuehl" w:hint="cs"/>
          <w:rtl/>
        </w:rPr>
        <w:t>36(ב1)</w:t>
      </w:r>
      <w:r>
        <w:rPr>
          <w:rStyle w:val="default"/>
          <w:rFonts w:cs="FrankRuehl" w:hint="cs"/>
          <w:rtl/>
        </w:rPr>
        <w:t xml:space="preserve"> לחוק מס רכוש וקרן פיצויים</w:t>
      </w:r>
      <w:r>
        <w:rPr>
          <w:rStyle w:val="default"/>
          <w:rFonts w:cs="FrankRuehl"/>
          <w:rtl/>
        </w:rPr>
        <w:t xml:space="preserve">, </w:t>
      </w:r>
      <w:r w:rsidR="00C4052F">
        <w:rPr>
          <w:rStyle w:val="default"/>
          <w:rFonts w:cs="FrankRuehl" w:hint="cs"/>
          <w:rtl/>
        </w:rPr>
        <w:t>ה</w:t>
      </w:r>
      <w:r>
        <w:rPr>
          <w:rStyle w:val="default"/>
          <w:rFonts w:cs="FrankRuehl" w:hint="cs"/>
          <w:rtl/>
        </w:rPr>
        <w:t xml:space="preserve">תשכ"א-1961 (להלן </w:t>
      </w:r>
      <w:r w:rsidR="00C4052F">
        <w:rPr>
          <w:rStyle w:val="default"/>
          <w:rFonts w:cs="FrankRuehl"/>
          <w:rtl/>
        </w:rPr>
        <w:t>–</w:t>
      </w:r>
      <w:r>
        <w:rPr>
          <w:rStyle w:val="default"/>
          <w:rFonts w:cs="FrankRuehl" w:hint="cs"/>
          <w:rtl/>
        </w:rPr>
        <w:t xml:space="preserve"> החוק), ובאישור ועדת הכספים של הכנסת, אני מתקין תקנות אלה:</w:t>
      </w:r>
    </w:p>
    <w:p w14:paraId="6B5E5440" w14:textId="77777777" w:rsidR="00AB580A" w:rsidRDefault="00AB580A">
      <w:pPr>
        <w:pStyle w:val="P00"/>
        <w:spacing w:before="72"/>
        <w:ind w:left="0" w:right="1134"/>
        <w:rPr>
          <w:rStyle w:val="default"/>
          <w:rFonts w:cs="FrankRuehl" w:hint="cs"/>
          <w:rtl/>
        </w:rPr>
      </w:pPr>
      <w:bookmarkStart w:id="0" w:name="Seif1"/>
      <w:bookmarkEnd w:id="0"/>
      <w:r>
        <w:rPr>
          <w:lang w:val="he-IL"/>
        </w:rPr>
        <w:pict w14:anchorId="3E0FC2CD">
          <v:rect id="_x0000_s1026" style="position:absolute;left:0;text-align:left;margin-left:464.5pt;margin-top:8.05pt;width:75.05pt;height:8pt;z-index:251656192" o:allowincell="f" filled="f" stroked="f" strokecolor="lime" strokeweight=".25pt">
            <v:textbox inset="0,0,0,0">
              <w:txbxContent>
                <w:p w14:paraId="7A600D65" w14:textId="77777777" w:rsidR="00AB580A" w:rsidRDefault="00AB580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1CD3068D" w14:textId="77777777" w:rsidR="00AB580A" w:rsidRDefault="00AB580A" w:rsidP="00C4052F">
      <w:pPr>
        <w:pStyle w:val="P00"/>
        <w:spacing w:before="72"/>
        <w:ind w:left="0" w:right="1134"/>
        <w:rPr>
          <w:rStyle w:val="default"/>
          <w:rFonts w:cs="FrankRuehl" w:hint="cs"/>
          <w:rtl/>
        </w:rPr>
      </w:pPr>
      <w:r>
        <w:rPr>
          <w:rtl/>
        </w:rPr>
        <w:tab/>
      </w:r>
      <w:r>
        <w:rPr>
          <w:rStyle w:val="default"/>
          <w:rFonts w:cs="FrankRuehl"/>
          <w:rtl/>
        </w:rPr>
        <w:t>"</w:t>
      </w:r>
      <w:r w:rsidR="00C4052F">
        <w:rPr>
          <w:rStyle w:val="default"/>
          <w:rFonts w:cs="FrankRuehl" w:hint="cs"/>
          <w:rtl/>
        </w:rPr>
        <w:t xml:space="preserve">בעלים" ו"חפצים ביתיים" </w:t>
      </w:r>
      <w:r w:rsidR="00C4052F">
        <w:rPr>
          <w:rStyle w:val="default"/>
          <w:rFonts w:cs="FrankRuehl"/>
          <w:rtl/>
        </w:rPr>
        <w:t>–</w:t>
      </w:r>
      <w:r w:rsidR="00C4052F">
        <w:rPr>
          <w:rStyle w:val="default"/>
          <w:rFonts w:cs="FrankRuehl" w:hint="cs"/>
          <w:rtl/>
        </w:rPr>
        <w:t xml:space="preserve"> כהגדרתו בתקנות חפצים ביתיים</w:t>
      </w:r>
      <w:r>
        <w:rPr>
          <w:rStyle w:val="default"/>
          <w:rFonts w:cs="FrankRuehl" w:hint="cs"/>
          <w:rtl/>
        </w:rPr>
        <w:t>;</w:t>
      </w:r>
    </w:p>
    <w:p w14:paraId="66AF06E4" w14:textId="77777777" w:rsidR="00C4052F" w:rsidRDefault="00C4052F" w:rsidP="00C4052F">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למעט נכס שאינו נמצא בשטח מדינת ישראל;</w:t>
      </w:r>
    </w:p>
    <w:p w14:paraId="63A85775" w14:textId="77777777" w:rsidR="00C4052F" w:rsidRDefault="00C4052F" w:rsidP="00C4052F">
      <w:pPr>
        <w:pStyle w:val="P00"/>
        <w:spacing w:before="72"/>
        <w:ind w:left="0" w:right="1134"/>
        <w:rPr>
          <w:rStyle w:val="default"/>
          <w:rFonts w:cs="FrankRuehl" w:hint="cs"/>
          <w:rtl/>
        </w:rPr>
      </w:pPr>
      <w:r>
        <w:rPr>
          <w:rStyle w:val="default"/>
          <w:rFonts w:cs="FrankRuehl" w:hint="cs"/>
          <w:rtl/>
        </w:rPr>
        <w:tab/>
        <w:t xml:space="preserve">"נזק" </w:t>
      </w:r>
      <w:r>
        <w:rPr>
          <w:rStyle w:val="default"/>
          <w:rFonts w:cs="FrankRuehl"/>
          <w:rtl/>
        </w:rPr>
        <w:t>–</w:t>
      </w:r>
      <w:r>
        <w:rPr>
          <w:rStyle w:val="default"/>
          <w:rFonts w:cs="FrankRuehl" w:hint="cs"/>
          <w:rtl/>
        </w:rPr>
        <w:t xml:space="preserve"> נזק, למעט נזק עקיף, שנגרם לגופו של נכס עקב מעשה אלימות;</w:t>
      </w:r>
    </w:p>
    <w:p w14:paraId="4C2FFC4B" w14:textId="77777777" w:rsidR="00C4052F" w:rsidRDefault="00C4052F" w:rsidP="00C4052F">
      <w:pPr>
        <w:pStyle w:val="P00"/>
        <w:spacing w:before="72"/>
        <w:ind w:left="0" w:right="1134"/>
        <w:rPr>
          <w:rStyle w:val="default"/>
          <w:rFonts w:cs="FrankRuehl" w:hint="cs"/>
          <w:rtl/>
        </w:rPr>
      </w:pPr>
      <w:r>
        <w:rPr>
          <w:rStyle w:val="default"/>
          <w:rFonts w:cs="FrankRuehl" w:hint="cs"/>
          <w:rtl/>
        </w:rPr>
        <w:tab/>
        <w:t xml:space="preserve">"נזק ממשי" </w:t>
      </w:r>
      <w:r>
        <w:rPr>
          <w:rStyle w:val="default"/>
          <w:rFonts w:cs="FrankRuehl"/>
          <w:rtl/>
        </w:rPr>
        <w:t>–</w:t>
      </w:r>
      <w:r>
        <w:rPr>
          <w:rStyle w:val="default"/>
          <w:rFonts w:cs="FrankRuehl" w:hint="cs"/>
          <w:rtl/>
        </w:rPr>
        <w:t xml:space="preserve"> כהגדרתו בתקנות נזק מלחמה;</w:t>
      </w:r>
    </w:p>
    <w:p w14:paraId="67EEAC73" w14:textId="77777777" w:rsidR="00C4052F" w:rsidRDefault="00C4052F" w:rsidP="00C4052F">
      <w:pPr>
        <w:pStyle w:val="P00"/>
        <w:spacing w:before="72"/>
        <w:ind w:left="0" w:right="1134"/>
        <w:rPr>
          <w:rStyle w:val="default"/>
          <w:rFonts w:cs="FrankRuehl" w:hint="cs"/>
          <w:rtl/>
        </w:rPr>
      </w:pPr>
      <w:r>
        <w:rPr>
          <w:rStyle w:val="default"/>
          <w:rFonts w:cs="FrankRuehl" w:hint="cs"/>
          <w:rtl/>
        </w:rPr>
        <w:tab/>
        <w:t xml:space="preserve">"ניזוק" </w:t>
      </w:r>
      <w:r>
        <w:rPr>
          <w:rStyle w:val="default"/>
          <w:rFonts w:cs="FrankRuehl"/>
          <w:rtl/>
        </w:rPr>
        <w:t>–</w:t>
      </w:r>
      <w:r>
        <w:rPr>
          <w:rStyle w:val="default"/>
          <w:rFonts w:cs="FrankRuehl" w:hint="cs"/>
          <w:rtl/>
        </w:rPr>
        <w:t xml:space="preserve"> מי שהיה בעל נכס ביום שנגרם לו נזק או מי שהוכיח, להנחת דעתו של המנהל, כי הוא הנושא בהוצאות שיקום הנזק, או שניהם יחד, הכול כפי שהחליט המנהל;</w:t>
      </w:r>
    </w:p>
    <w:p w14:paraId="4A5AA47F" w14:textId="77777777" w:rsidR="00C4052F" w:rsidRDefault="00C4052F" w:rsidP="00C4052F">
      <w:pPr>
        <w:pStyle w:val="P00"/>
        <w:spacing w:before="72"/>
        <w:ind w:left="0" w:right="1134"/>
        <w:rPr>
          <w:rStyle w:val="default"/>
          <w:rFonts w:cs="FrankRuehl" w:hint="cs"/>
          <w:rtl/>
        </w:rPr>
      </w:pPr>
      <w:r>
        <w:rPr>
          <w:rStyle w:val="default"/>
          <w:rFonts w:cs="FrankRuehl" w:hint="cs"/>
          <w:rtl/>
        </w:rPr>
        <w:tab/>
        <w:t xml:space="preserve">"מעשה אלימות" </w:t>
      </w:r>
      <w:r>
        <w:rPr>
          <w:rStyle w:val="default"/>
          <w:rFonts w:cs="FrankRuehl"/>
          <w:rtl/>
        </w:rPr>
        <w:t>–</w:t>
      </w:r>
      <w:r>
        <w:rPr>
          <w:rStyle w:val="default"/>
          <w:rFonts w:cs="FrankRuehl" w:hint="cs"/>
          <w:rtl/>
        </w:rPr>
        <w:t xml:space="preserve"> מעשה אלימות כאמור בפסקה (4) או (5) להגדרת פגיעת איבה שבסעיף 1 לחוק התגמולים לפעולות איבה, התש"ל-1970, בין אם מטרתו העיקרית של מעשה האלימות היא פגיעה באדם או פגיעה בנכס;</w:t>
      </w:r>
    </w:p>
    <w:p w14:paraId="12658B7C" w14:textId="77777777" w:rsidR="00C4052F" w:rsidRDefault="00C4052F" w:rsidP="00C4052F">
      <w:pPr>
        <w:pStyle w:val="P00"/>
        <w:spacing w:before="72"/>
        <w:ind w:left="0" w:right="1134"/>
        <w:rPr>
          <w:rStyle w:val="default"/>
          <w:rFonts w:cs="FrankRuehl" w:hint="cs"/>
          <w:rtl/>
        </w:rPr>
      </w:pPr>
      <w:r>
        <w:rPr>
          <w:rStyle w:val="default"/>
          <w:rFonts w:cs="FrankRuehl" w:hint="cs"/>
          <w:rtl/>
        </w:rPr>
        <w:tab/>
        <w:t xml:space="preserve">"שיקום הנזק" </w:t>
      </w:r>
      <w:r w:rsidR="00AD74F0">
        <w:rPr>
          <w:rStyle w:val="default"/>
          <w:rFonts w:cs="FrankRuehl"/>
          <w:rtl/>
        </w:rPr>
        <w:t>–</w:t>
      </w:r>
      <w:r>
        <w:rPr>
          <w:rStyle w:val="default"/>
          <w:rFonts w:cs="FrankRuehl" w:hint="cs"/>
          <w:rtl/>
        </w:rPr>
        <w:t xml:space="preserve"> </w:t>
      </w:r>
      <w:r w:rsidR="00AD74F0">
        <w:rPr>
          <w:rStyle w:val="default"/>
          <w:rFonts w:cs="FrankRuehl" w:hint="cs"/>
          <w:rtl/>
        </w:rPr>
        <w:t xml:space="preserve">לגבי חפצים ביתיים </w:t>
      </w:r>
      <w:r w:rsidR="00AD74F0">
        <w:rPr>
          <w:rStyle w:val="default"/>
          <w:rFonts w:cs="FrankRuehl"/>
          <w:rtl/>
        </w:rPr>
        <w:t>–</w:t>
      </w:r>
      <w:r w:rsidR="00AD74F0">
        <w:rPr>
          <w:rStyle w:val="default"/>
          <w:rFonts w:cs="FrankRuehl" w:hint="cs"/>
          <w:rtl/>
        </w:rPr>
        <w:t xml:space="preserve"> כהגדרתו בתקנות חפצים ביתיים למעט חפץ ביתי שניזוק מחוץ לשטח מדינת ישראל;</w:t>
      </w:r>
    </w:p>
    <w:p w14:paraId="5CA4C460" w14:textId="77777777" w:rsidR="00AD74F0" w:rsidRDefault="00AD74F0" w:rsidP="00C4052F">
      <w:pPr>
        <w:pStyle w:val="P00"/>
        <w:spacing w:before="72"/>
        <w:ind w:left="0" w:right="1134"/>
        <w:rPr>
          <w:rStyle w:val="default"/>
          <w:rFonts w:cs="FrankRuehl" w:hint="cs"/>
          <w:rtl/>
        </w:rPr>
      </w:pPr>
      <w:r>
        <w:rPr>
          <w:rStyle w:val="default"/>
          <w:rFonts w:cs="FrankRuehl" w:hint="cs"/>
          <w:rtl/>
        </w:rPr>
        <w:tab/>
        <w:t xml:space="preserve">"תקנות חפצים ביתיים" </w:t>
      </w:r>
      <w:r>
        <w:rPr>
          <w:rStyle w:val="default"/>
          <w:rFonts w:cs="FrankRuehl"/>
          <w:rtl/>
        </w:rPr>
        <w:t>–</w:t>
      </w:r>
      <w:r>
        <w:rPr>
          <w:rStyle w:val="default"/>
          <w:rFonts w:cs="FrankRuehl" w:hint="cs"/>
          <w:rtl/>
        </w:rPr>
        <w:t xml:space="preserve"> תקנות מס רכוש וקרן פיצויים (תשלום פיצויים) (חפצים ביתיים), התשל"ג-1973;</w:t>
      </w:r>
    </w:p>
    <w:p w14:paraId="380E76C9" w14:textId="77777777" w:rsidR="00AD74F0" w:rsidRDefault="00AD74F0" w:rsidP="00C4052F">
      <w:pPr>
        <w:pStyle w:val="P00"/>
        <w:spacing w:before="72"/>
        <w:ind w:left="0" w:right="1134"/>
        <w:rPr>
          <w:rStyle w:val="default"/>
          <w:rFonts w:cs="FrankRuehl" w:hint="cs"/>
          <w:rtl/>
        </w:rPr>
      </w:pPr>
      <w:r>
        <w:rPr>
          <w:rStyle w:val="default"/>
          <w:rFonts w:cs="FrankRuehl" w:hint="cs"/>
          <w:rtl/>
        </w:rPr>
        <w:tab/>
        <w:t xml:space="preserve">"תקנות נזק מלחמה" </w:t>
      </w:r>
      <w:r>
        <w:rPr>
          <w:rStyle w:val="default"/>
          <w:rFonts w:cs="FrankRuehl"/>
          <w:rtl/>
        </w:rPr>
        <w:t>–</w:t>
      </w:r>
      <w:r>
        <w:rPr>
          <w:rStyle w:val="default"/>
          <w:rFonts w:cs="FrankRuehl" w:hint="cs"/>
          <w:rtl/>
        </w:rPr>
        <w:t xml:space="preserve"> תקנות מס רכוש וקרן פיצויים (תשלום פיצויים) (נזק מלחמה ונזק עקיף), התשל"ג-1973.</w:t>
      </w:r>
    </w:p>
    <w:p w14:paraId="1DEFC3AE" w14:textId="77777777" w:rsidR="00AB580A" w:rsidRDefault="00AB580A" w:rsidP="00AD74F0">
      <w:pPr>
        <w:pStyle w:val="P00"/>
        <w:spacing w:before="72"/>
        <w:ind w:left="0" w:right="1134"/>
        <w:rPr>
          <w:rStyle w:val="default"/>
          <w:rFonts w:cs="FrankRuehl" w:hint="cs"/>
          <w:rtl/>
        </w:rPr>
      </w:pPr>
      <w:bookmarkStart w:id="1" w:name="Seif2"/>
      <w:bookmarkEnd w:id="1"/>
      <w:r>
        <w:rPr>
          <w:lang w:val="he-IL"/>
        </w:rPr>
        <w:pict w14:anchorId="7DB11107">
          <v:rect id="_x0000_s1028" style="position:absolute;left:0;text-align:left;margin-left:464.5pt;margin-top:8.05pt;width:75.05pt;height:25.05pt;z-index:251657216" o:allowincell="f" filled="f" stroked="f" strokecolor="lime" strokeweight=".25pt">
            <v:textbox inset="0,0,0,0">
              <w:txbxContent>
                <w:p w14:paraId="6FFBC2CB" w14:textId="77777777" w:rsidR="00AB580A" w:rsidRDefault="00AD74F0">
                  <w:pPr>
                    <w:spacing w:line="160" w:lineRule="exact"/>
                    <w:jc w:val="left"/>
                    <w:rPr>
                      <w:rFonts w:cs="Miriam" w:hint="cs"/>
                      <w:noProof/>
                      <w:szCs w:val="18"/>
                      <w:rtl/>
                    </w:rPr>
                  </w:pPr>
                  <w:r>
                    <w:rPr>
                      <w:rFonts w:cs="Miriam" w:hint="cs"/>
                      <w:szCs w:val="18"/>
                      <w:rtl/>
                    </w:rPr>
                    <w:t>זכאות לתשלום פיצויים בעד נזק</w:t>
                  </w:r>
                </w:p>
              </w:txbxContent>
            </v:textbox>
            <w10:anchorlock/>
          </v:rect>
        </w:pict>
      </w:r>
      <w:r>
        <w:rPr>
          <w:rStyle w:val="big-number"/>
          <w:rtl/>
        </w:rPr>
        <w:t>2.</w:t>
      </w:r>
      <w:r>
        <w:rPr>
          <w:rStyle w:val="big-number"/>
          <w:rtl/>
        </w:rPr>
        <w:tab/>
      </w:r>
      <w:r w:rsidR="00AD74F0">
        <w:rPr>
          <w:rStyle w:val="default"/>
          <w:rFonts w:cs="FrankRuehl" w:hint="cs"/>
          <w:rtl/>
        </w:rPr>
        <w:t>ניזוק זכאי לפיצויים בעד נזק בשיעור של 100% משווי הנזק הממשי; על תשלום פיצויים לפי תקנה זו יחולו תקנות נזק מלחמה, בשינויים המחויבים, זולת אם נאמר אחרת בתקנות אלה</w:t>
      </w:r>
      <w:r>
        <w:rPr>
          <w:rStyle w:val="default"/>
          <w:rFonts w:cs="FrankRuehl" w:hint="cs"/>
          <w:rtl/>
        </w:rPr>
        <w:t>.</w:t>
      </w:r>
    </w:p>
    <w:p w14:paraId="1232A8B4" w14:textId="77777777" w:rsidR="00AB580A" w:rsidRDefault="00AB580A" w:rsidP="00AD74F0">
      <w:pPr>
        <w:pStyle w:val="P00"/>
        <w:spacing w:before="72"/>
        <w:ind w:left="0" w:right="1134"/>
        <w:rPr>
          <w:rStyle w:val="default"/>
          <w:rFonts w:cs="FrankRuehl" w:hint="cs"/>
          <w:rtl/>
        </w:rPr>
      </w:pPr>
      <w:bookmarkStart w:id="2" w:name="Seif3"/>
      <w:bookmarkEnd w:id="2"/>
      <w:r>
        <w:rPr>
          <w:lang w:val="he-IL"/>
        </w:rPr>
        <w:pict w14:anchorId="0CE74297">
          <v:rect id="_x0000_s1029" style="position:absolute;left:0;text-align:left;margin-left:464.5pt;margin-top:8.05pt;width:75.05pt;height:32pt;z-index:251658240" o:allowincell="f" filled="f" stroked="f" strokecolor="lime" strokeweight=".25pt">
            <v:textbox inset="0,0,0,0">
              <w:txbxContent>
                <w:p w14:paraId="7348BDD5" w14:textId="77777777" w:rsidR="00AB580A" w:rsidRDefault="00AD74F0">
                  <w:pPr>
                    <w:spacing w:line="160" w:lineRule="exact"/>
                    <w:jc w:val="left"/>
                    <w:rPr>
                      <w:rFonts w:cs="Miriam" w:hint="cs"/>
                      <w:noProof/>
                      <w:szCs w:val="18"/>
                      <w:rtl/>
                    </w:rPr>
                  </w:pPr>
                  <w:r>
                    <w:rPr>
                      <w:rFonts w:cs="Miriam" w:hint="cs"/>
                      <w:szCs w:val="18"/>
                      <w:rtl/>
                    </w:rPr>
                    <w:t>זכאות לתשלום פיצויים לגבי חפצים ביתיים</w:t>
                  </w:r>
                </w:p>
              </w:txbxContent>
            </v:textbox>
            <w10:anchorlock/>
          </v:rect>
        </w:pict>
      </w:r>
      <w:r>
        <w:rPr>
          <w:rStyle w:val="big-number"/>
          <w:rtl/>
        </w:rPr>
        <w:t>3.</w:t>
      </w:r>
      <w:r>
        <w:rPr>
          <w:rStyle w:val="big-number"/>
          <w:rtl/>
        </w:rPr>
        <w:tab/>
      </w:r>
      <w:r w:rsidR="00AD74F0">
        <w:rPr>
          <w:rStyle w:val="default"/>
          <w:rFonts w:cs="FrankRuehl" w:hint="cs"/>
          <w:rtl/>
        </w:rPr>
        <w:t>על אף האמור בתקנה 2, בעלים של חפצים ביתיים שהם לשימושו האישי, זכאי, בלא תשלום, לפיצויים בעד נזק שאירע לחפצים אלה בגובה הוצאות שיקום הנזק, ובלבד שסך כל הפיצויים בשל כל החפצים הביתיים מאותו הסוג, כמפורט בתוספת הראשונה לתקנות חפצים ביתיים, שניזוקו לא יעלו על הסכום שנקבע לאותו סוג בתוספת האמורה; על תשלום פיצויים לפי תקנה זו, יחולו תקנות חפצים ביתיים, בשינויים המחויבים, זולת אם נאמר אחרת בתקנות לה.</w:t>
      </w:r>
    </w:p>
    <w:p w14:paraId="3C7EC799" w14:textId="77777777" w:rsidR="00AB580A" w:rsidRDefault="00AB580A" w:rsidP="00AD74F0">
      <w:pPr>
        <w:pStyle w:val="P00"/>
        <w:spacing w:before="72"/>
        <w:ind w:left="0" w:right="1134"/>
        <w:rPr>
          <w:rStyle w:val="default"/>
          <w:rFonts w:cs="FrankRuehl" w:hint="cs"/>
          <w:rtl/>
        </w:rPr>
      </w:pPr>
      <w:bookmarkStart w:id="3" w:name="Seif4"/>
      <w:bookmarkEnd w:id="3"/>
      <w:r>
        <w:rPr>
          <w:lang w:val="he-IL"/>
        </w:rPr>
        <w:pict w14:anchorId="1EF256E0">
          <v:rect id="_x0000_s1030" style="position:absolute;left:0;text-align:left;margin-left:464.5pt;margin-top:8.05pt;width:75.05pt;height:15.4pt;z-index:251659264" o:allowincell="f" filled="f" stroked="f" strokecolor="lime" strokeweight=".25pt">
            <v:textbox style="mso-next-textbox:#_x0000_s1030" inset="0,0,0,0">
              <w:txbxContent>
                <w:p w14:paraId="60C240E0" w14:textId="77777777" w:rsidR="00AB580A" w:rsidRDefault="00AD74F0">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tl/>
        </w:rPr>
        <w:t>4.</w:t>
      </w:r>
      <w:r>
        <w:rPr>
          <w:rStyle w:val="big-number"/>
          <w:rtl/>
        </w:rPr>
        <w:tab/>
      </w:r>
      <w:r w:rsidR="00AD74F0">
        <w:rPr>
          <w:rStyle w:val="default"/>
          <w:rFonts w:cs="FrankRuehl" w:hint="cs"/>
          <w:rtl/>
        </w:rPr>
        <w:t>תחילתן של תקנות אלה ביום ג' בתמוז התשע"ד (1 ביולי 2014), והן יחולו על נזק שאירע ביום תחילתן או לאחריו.</w:t>
      </w:r>
    </w:p>
    <w:p w14:paraId="66BC19FD" w14:textId="77777777" w:rsidR="00AB580A" w:rsidRDefault="00AB580A">
      <w:pPr>
        <w:pStyle w:val="P00"/>
        <w:spacing w:before="72"/>
        <w:ind w:left="0" w:right="1134"/>
        <w:rPr>
          <w:rStyle w:val="default"/>
          <w:rFonts w:cs="FrankRuehl" w:hint="cs"/>
          <w:rtl/>
        </w:rPr>
      </w:pPr>
    </w:p>
    <w:p w14:paraId="593DDDD8" w14:textId="77777777" w:rsidR="00C4052F" w:rsidRDefault="00C4052F">
      <w:pPr>
        <w:pStyle w:val="P00"/>
        <w:spacing w:before="72"/>
        <w:ind w:left="0" w:right="1134"/>
        <w:rPr>
          <w:rStyle w:val="default"/>
          <w:rFonts w:cs="FrankRuehl" w:hint="cs"/>
          <w:rtl/>
        </w:rPr>
      </w:pPr>
    </w:p>
    <w:p w14:paraId="357486A1" w14:textId="77777777" w:rsidR="00AB580A" w:rsidRDefault="00AD74F0" w:rsidP="00AD74F0">
      <w:pPr>
        <w:pStyle w:val="sig-0"/>
        <w:tabs>
          <w:tab w:val="clear" w:pos="4820"/>
          <w:tab w:val="center" w:pos="5670"/>
        </w:tabs>
        <w:spacing w:before="72"/>
        <w:ind w:left="0" w:right="1134"/>
        <w:rPr>
          <w:rtl/>
        </w:rPr>
      </w:pPr>
      <w:r>
        <w:rPr>
          <w:rFonts w:hint="cs"/>
          <w:rtl/>
        </w:rPr>
        <w:t>כ"ג בחשוון התשע"ה (16 בנובמבר 2014</w:t>
      </w:r>
      <w:r w:rsidR="00AB580A">
        <w:rPr>
          <w:rFonts w:hint="cs"/>
          <w:rtl/>
        </w:rPr>
        <w:t>)</w:t>
      </w:r>
      <w:r w:rsidR="00AB580A">
        <w:rPr>
          <w:rtl/>
        </w:rPr>
        <w:tab/>
      </w:r>
      <w:r>
        <w:rPr>
          <w:rFonts w:hint="cs"/>
          <w:rtl/>
        </w:rPr>
        <w:t>יאיר לפיד</w:t>
      </w:r>
    </w:p>
    <w:p w14:paraId="525D9C30" w14:textId="77777777" w:rsidR="00AB580A" w:rsidRDefault="00AB580A" w:rsidP="00C4052F">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6C3DC523" w14:textId="77777777" w:rsidR="00C4052F" w:rsidRDefault="00C4052F">
      <w:pPr>
        <w:pStyle w:val="P00"/>
        <w:spacing w:before="72"/>
        <w:ind w:left="0" w:right="1134"/>
        <w:rPr>
          <w:rStyle w:val="default"/>
          <w:rFonts w:cs="FrankRuehl" w:hint="cs"/>
          <w:rtl/>
        </w:rPr>
      </w:pPr>
    </w:p>
    <w:p w14:paraId="18C0B88B" w14:textId="77777777" w:rsidR="00AB580A" w:rsidRDefault="00AB580A">
      <w:pPr>
        <w:pStyle w:val="P00"/>
        <w:spacing w:before="72"/>
        <w:ind w:left="0" w:right="1134"/>
        <w:rPr>
          <w:rStyle w:val="default"/>
          <w:rFonts w:cs="FrankRuehl"/>
          <w:rtl/>
        </w:rPr>
      </w:pPr>
    </w:p>
    <w:p w14:paraId="34746478" w14:textId="77777777" w:rsidR="00AB580A" w:rsidRDefault="00AB580A">
      <w:pPr>
        <w:pStyle w:val="P00"/>
        <w:spacing w:before="72"/>
        <w:ind w:left="0" w:right="1134"/>
        <w:rPr>
          <w:rStyle w:val="default"/>
          <w:rFonts w:cs="FrankRuehl"/>
          <w:rtl/>
        </w:rPr>
      </w:pPr>
      <w:bookmarkStart w:id="4" w:name="LawPartEnd"/>
    </w:p>
    <w:bookmarkEnd w:id="4"/>
    <w:p w14:paraId="703F1D5E" w14:textId="77777777" w:rsidR="0055526E" w:rsidRDefault="0055526E">
      <w:pPr>
        <w:pStyle w:val="P00"/>
        <w:spacing w:before="72"/>
        <w:ind w:left="0" w:right="1134"/>
        <w:rPr>
          <w:rStyle w:val="default"/>
          <w:rFonts w:cs="FrankRuehl"/>
          <w:rtl/>
        </w:rPr>
      </w:pPr>
    </w:p>
    <w:p w14:paraId="40568DD1" w14:textId="77777777" w:rsidR="0055526E" w:rsidRDefault="0055526E">
      <w:pPr>
        <w:pStyle w:val="P00"/>
        <w:spacing w:before="72"/>
        <w:ind w:left="0" w:right="1134"/>
        <w:rPr>
          <w:rStyle w:val="default"/>
          <w:rFonts w:cs="FrankRuehl"/>
          <w:rtl/>
        </w:rPr>
      </w:pPr>
    </w:p>
    <w:p w14:paraId="538B6FB4" w14:textId="77777777" w:rsidR="0055526E" w:rsidRDefault="0055526E" w:rsidP="0055526E">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4931FF" w14:textId="77777777" w:rsidR="00AB580A" w:rsidRPr="0055526E" w:rsidRDefault="00AB580A" w:rsidP="0055526E">
      <w:pPr>
        <w:pStyle w:val="P00"/>
        <w:spacing w:before="72"/>
        <w:ind w:left="0" w:right="1134"/>
        <w:jc w:val="center"/>
        <w:rPr>
          <w:rStyle w:val="default"/>
          <w:rFonts w:cs="David"/>
          <w:color w:val="0000FF"/>
          <w:szCs w:val="24"/>
          <w:u w:val="single"/>
          <w:rtl/>
        </w:rPr>
      </w:pPr>
    </w:p>
    <w:sectPr w:rsidR="00AB580A" w:rsidRPr="0055526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B109" w14:textId="77777777" w:rsidR="00B225AE" w:rsidRDefault="00B225AE">
      <w:r>
        <w:separator/>
      </w:r>
    </w:p>
  </w:endnote>
  <w:endnote w:type="continuationSeparator" w:id="0">
    <w:p w14:paraId="5E77D69C" w14:textId="77777777" w:rsidR="00B225AE" w:rsidRDefault="00B2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37B8" w14:textId="77777777" w:rsidR="00AB580A" w:rsidRDefault="00AB58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DD40CB" w14:textId="77777777" w:rsidR="00AB580A" w:rsidRDefault="00AB58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0B995E" w14:textId="77777777" w:rsidR="00AB580A" w:rsidRDefault="00AB58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60C8" w14:textId="77777777" w:rsidR="00AB580A" w:rsidRDefault="00AB58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526E">
      <w:rPr>
        <w:rFonts w:hAnsi="FrankRuehl" w:cs="FrankRuehl"/>
        <w:noProof/>
        <w:sz w:val="24"/>
        <w:szCs w:val="24"/>
        <w:rtl/>
      </w:rPr>
      <w:t>2</w:t>
    </w:r>
    <w:r>
      <w:rPr>
        <w:rFonts w:hAnsi="FrankRuehl" w:cs="FrankRuehl"/>
        <w:sz w:val="24"/>
        <w:szCs w:val="24"/>
        <w:rtl/>
      </w:rPr>
      <w:fldChar w:fldCharType="end"/>
    </w:r>
  </w:p>
  <w:p w14:paraId="4818BD10" w14:textId="77777777" w:rsidR="00AB580A" w:rsidRDefault="00AB58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19DF35" w14:textId="77777777" w:rsidR="00AB580A" w:rsidRDefault="00AB58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95CF" w14:textId="77777777" w:rsidR="00B225AE" w:rsidRDefault="00B225AE">
      <w:pPr>
        <w:spacing w:before="60" w:line="240" w:lineRule="auto"/>
        <w:ind w:right="1134"/>
      </w:pPr>
      <w:r>
        <w:separator/>
      </w:r>
    </w:p>
  </w:footnote>
  <w:footnote w:type="continuationSeparator" w:id="0">
    <w:p w14:paraId="4225E260" w14:textId="77777777" w:rsidR="00B225AE" w:rsidRDefault="00B225AE">
      <w:pPr>
        <w:spacing w:before="60" w:line="240" w:lineRule="auto"/>
        <w:ind w:right="1134"/>
      </w:pPr>
      <w:r>
        <w:separator/>
      </w:r>
    </w:p>
  </w:footnote>
  <w:footnote w:id="1">
    <w:p w14:paraId="6286C550" w14:textId="77777777" w:rsidR="00B30BE3" w:rsidRDefault="00AB580A" w:rsidP="00B30B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B30BE3">
          <w:rPr>
            <w:rStyle w:val="Hyperlink"/>
            <w:rFonts w:hint="cs"/>
            <w:sz w:val="20"/>
            <w:rtl/>
          </w:rPr>
          <w:t>ק"ת ת</w:t>
        </w:r>
        <w:r w:rsidRPr="00B30BE3">
          <w:rPr>
            <w:rStyle w:val="Hyperlink"/>
            <w:sz w:val="20"/>
            <w:rtl/>
          </w:rPr>
          <w:t>ש</w:t>
        </w:r>
        <w:r w:rsidR="00C4052F" w:rsidRPr="00B30BE3">
          <w:rPr>
            <w:rStyle w:val="Hyperlink"/>
            <w:rFonts w:hint="cs"/>
            <w:sz w:val="20"/>
            <w:rtl/>
          </w:rPr>
          <w:t>ע"ה</w:t>
        </w:r>
        <w:r w:rsidRPr="00B30BE3">
          <w:rPr>
            <w:rStyle w:val="Hyperlink"/>
            <w:rFonts w:hint="cs"/>
            <w:sz w:val="20"/>
            <w:rtl/>
          </w:rPr>
          <w:t xml:space="preserve"> מס' </w:t>
        </w:r>
        <w:r w:rsidR="00C4052F" w:rsidRPr="00B30BE3">
          <w:rPr>
            <w:rStyle w:val="Hyperlink"/>
            <w:rFonts w:hint="cs"/>
            <w:sz w:val="20"/>
            <w:rtl/>
          </w:rPr>
          <w:t>7445</w:t>
        </w:r>
      </w:hyperlink>
      <w:r>
        <w:rPr>
          <w:rFonts w:hint="cs"/>
          <w:sz w:val="20"/>
          <w:rtl/>
        </w:rPr>
        <w:t xml:space="preserve"> מיום </w:t>
      </w:r>
      <w:r w:rsidR="00C4052F">
        <w:rPr>
          <w:rFonts w:hint="cs"/>
          <w:sz w:val="20"/>
          <w:rtl/>
        </w:rPr>
        <w:t>26.11.2014</w:t>
      </w:r>
      <w:r>
        <w:rPr>
          <w:rFonts w:hint="cs"/>
          <w:sz w:val="20"/>
          <w:rtl/>
        </w:rPr>
        <w:t xml:space="preserve"> עמ' </w:t>
      </w:r>
      <w:r w:rsidR="00C4052F">
        <w:rPr>
          <w:rFonts w:hint="cs"/>
          <w:sz w:val="20"/>
          <w:rtl/>
        </w:rPr>
        <w:t>294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1A61" w14:textId="77777777" w:rsidR="00AB580A" w:rsidRDefault="00AB58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רכוש וקרן פיצויים (תשלום פיצויים בשל נזק) (נכס חוץ ישראלי), תשמ"ב–1982</w:t>
    </w:r>
  </w:p>
  <w:p w14:paraId="48B5BD66"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2FDACD"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04FE" w14:textId="77777777" w:rsidR="00AB580A" w:rsidRPr="00C4052F" w:rsidRDefault="00AB580A" w:rsidP="00C4052F">
    <w:pPr>
      <w:pStyle w:val="a3"/>
      <w:widowControl w:val="0"/>
      <w:spacing w:before="60" w:line="220" w:lineRule="exact"/>
      <w:ind w:right="1134"/>
      <w:jc w:val="center"/>
      <w:rPr>
        <w:rFonts w:hAnsi="FrankRuehl" w:cs="FrankRuehl" w:hint="cs"/>
        <w:color w:val="000000"/>
        <w:sz w:val="28"/>
        <w:szCs w:val="28"/>
        <w:rtl/>
      </w:rPr>
    </w:pPr>
    <w:r w:rsidRPr="00C4052F">
      <w:rPr>
        <w:rFonts w:hAnsi="FrankRuehl" w:cs="FrankRuehl"/>
        <w:color w:val="000000"/>
        <w:sz w:val="28"/>
        <w:szCs w:val="28"/>
        <w:rtl/>
      </w:rPr>
      <w:t>תקנות מס רכוש וקרן פיצויים (</w:t>
    </w:r>
    <w:r w:rsidR="00C4052F" w:rsidRPr="00C4052F">
      <w:rPr>
        <w:rFonts w:hAnsi="FrankRuehl" w:cs="FrankRuehl" w:hint="cs"/>
        <w:color w:val="000000"/>
        <w:sz w:val="28"/>
        <w:szCs w:val="28"/>
        <w:rtl/>
      </w:rPr>
      <w:t xml:space="preserve">פיצויים בשל פגיעה ממעשה אלימות הנובע מהסכסוך </w:t>
    </w:r>
    <w:r w:rsidR="00C4052F" w:rsidRPr="00C4052F">
      <w:rPr>
        <w:rFonts w:hAnsi="FrankRuehl" w:cs="FrankRuehl"/>
        <w:color w:val="000000"/>
        <w:sz w:val="28"/>
        <w:szCs w:val="28"/>
        <w:rtl/>
      </w:rPr>
      <w:br/>
    </w:r>
    <w:r w:rsidR="00C4052F" w:rsidRPr="00C4052F">
      <w:rPr>
        <w:rFonts w:hAnsi="FrankRuehl" w:cs="FrankRuehl" w:hint="cs"/>
        <w:color w:val="000000"/>
        <w:sz w:val="28"/>
        <w:szCs w:val="28"/>
        <w:rtl/>
      </w:rPr>
      <w:t>הישראלי-ערבי), תשע"ה-2014</w:t>
    </w:r>
  </w:p>
  <w:p w14:paraId="037B574C"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D0BBFA" w14:textId="77777777" w:rsidR="00AB580A" w:rsidRDefault="00AB580A">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355C5"/>
    <w:multiLevelType w:val="hybridMultilevel"/>
    <w:tmpl w:val="9ECEEF68"/>
    <w:lvl w:ilvl="0" w:tplc="2EEC8B90">
      <w:start w:val="2"/>
      <w:numFmt w:val="decimal"/>
      <w:lvlText w:val="(%1)"/>
      <w:lvlJc w:val="left"/>
      <w:pPr>
        <w:tabs>
          <w:tab w:val="num" w:pos="1471"/>
        </w:tabs>
        <w:ind w:left="1471" w:right="1471" w:hanging="450"/>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num w:numId="1" w16cid:durableId="130338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80A"/>
    <w:rsid w:val="000142CB"/>
    <w:rsid w:val="001B6966"/>
    <w:rsid w:val="0055526E"/>
    <w:rsid w:val="005A60F4"/>
    <w:rsid w:val="00653C2A"/>
    <w:rsid w:val="00AB580A"/>
    <w:rsid w:val="00AD74F0"/>
    <w:rsid w:val="00B225AE"/>
    <w:rsid w:val="00B30BE3"/>
    <w:rsid w:val="00B40692"/>
    <w:rsid w:val="00C4052F"/>
    <w:rsid w:val="00E434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70DA4B4"/>
  <w15:chartTrackingRefBased/>
  <w15:docId w15:val="{52B38011-DFB3-4811-9391-C9BEC862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273</vt:lpstr>
    </vt:vector>
  </TitlesOfParts>
  <Company/>
  <LinksUpToDate>false</LinksUpToDate>
  <CharactersWithSpaces>2559</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7995401</vt:i4>
      </vt:variant>
      <vt:variant>
        <vt:i4>0</vt:i4>
      </vt:variant>
      <vt:variant>
        <vt:i4>0</vt:i4>
      </vt:variant>
      <vt:variant>
        <vt:i4>5</vt:i4>
      </vt:variant>
      <vt:variant>
        <vt:lpwstr>http://www.nevo.co.il/law_word/law06/tak-7445.pdf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 רכוש וקרן פיצויים</vt:lpwstr>
  </property>
  <property fmtid="{D5CDD505-2E9C-101B-9397-08002B2CF9AE}" pid="4" name="LAWNAME">
    <vt:lpwstr>תקנות מס רכוש וקרן פיצויים (פיצויים בשל פגיעה ממעשה אלימות הנובע מהסכסוך הישראלי-ערבי), תשע"ה-2014</vt:lpwstr>
  </property>
  <property fmtid="{D5CDD505-2E9C-101B-9397-08002B2CF9AE}" pid="5" name="LAWNUMBER">
    <vt:lpwstr>0135</vt:lpwstr>
  </property>
  <property fmtid="{D5CDD505-2E9C-101B-9397-08002B2CF9AE}" pid="6" name="TYPE">
    <vt:lpwstr>01</vt:lpwstr>
  </property>
  <property fmtid="{D5CDD505-2E9C-101B-9397-08002B2CF9AE}" pid="7" name="MEKOR_NAME1">
    <vt:lpwstr>חוק מס רכוש וקרן פיצויים</vt:lpwstr>
  </property>
  <property fmtid="{D5CDD505-2E9C-101B-9397-08002B2CF9AE}" pid="8" name="MEKOR_SAIF1">
    <vt:lpwstr>36Xב1X</vt:lpwstr>
  </property>
  <property fmtid="{D5CDD505-2E9C-101B-9397-08002B2CF9AE}" pid="9" name="NOSE11">
    <vt:lpwstr>מסים</vt:lpwstr>
  </property>
  <property fmtid="{D5CDD505-2E9C-101B-9397-08002B2CF9AE}" pid="10" name="NOSE21">
    <vt:lpwstr>מס רכוש וקרן פיצויים</vt:lpwstr>
  </property>
  <property fmtid="{D5CDD505-2E9C-101B-9397-08002B2CF9AE}" pid="11" name="NOSE31">
    <vt:lpwstr>נזק</vt:lpwstr>
  </property>
  <property fmtid="{D5CDD505-2E9C-101B-9397-08002B2CF9AE}" pid="12" name="NOSE41">
    <vt:lpwstr>תשלום פיצויים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http://www.nevo.co.il/law_word/law06/tak-7445.pdf;‎רשומות - תקנות כלליות#פורסמו ק"ת תשע"ה מס' ‏‏7445 #מיום 26.11.2014 עמ' 294‏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