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7D91" w14:textId="77777777" w:rsidR="007871D4" w:rsidRDefault="007871D4">
      <w:pPr>
        <w:pStyle w:val="big-header"/>
        <w:ind w:left="0" w:right="1134"/>
      </w:pPr>
      <w:r>
        <w:rPr>
          <w:rFonts w:hint="cs"/>
          <w:rtl/>
        </w:rPr>
        <w:t>תקנות מס רכוש וקרן פיצויים (תשלום פיצויים) (נזק מלחמה ונזק עקיף) (הוראת שעה), תשס"ז-2007</w:t>
      </w:r>
    </w:p>
    <w:p w14:paraId="4913F652" w14:textId="77777777" w:rsidR="007F3E47" w:rsidRPr="007F3E47" w:rsidRDefault="007F3E47" w:rsidP="007F3E47">
      <w:pPr>
        <w:spacing w:line="320" w:lineRule="auto"/>
        <w:jc w:val="left"/>
        <w:rPr>
          <w:rFonts w:cs="FrankRuehl"/>
          <w:szCs w:val="26"/>
          <w:rtl/>
        </w:rPr>
      </w:pPr>
    </w:p>
    <w:p w14:paraId="1DDD8F0B" w14:textId="77777777" w:rsidR="007F3E47" w:rsidRDefault="007F3E47" w:rsidP="007F3E47">
      <w:pPr>
        <w:spacing w:line="320" w:lineRule="auto"/>
        <w:jc w:val="left"/>
        <w:rPr>
          <w:rtl/>
        </w:rPr>
      </w:pPr>
    </w:p>
    <w:p w14:paraId="57C55802" w14:textId="77777777" w:rsidR="007F3E47" w:rsidRPr="007F3E47" w:rsidRDefault="007F3E47" w:rsidP="007F3E47">
      <w:pPr>
        <w:spacing w:line="320" w:lineRule="auto"/>
        <w:jc w:val="left"/>
        <w:rPr>
          <w:rFonts w:cs="Miriam"/>
          <w:szCs w:val="22"/>
          <w:rtl/>
        </w:rPr>
      </w:pPr>
      <w:r w:rsidRPr="007F3E47">
        <w:rPr>
          <w:rFonts w:cs="Miriam"/>
          <w:szCs w:val="22"/>
          <w:rtl/>
        </w:rPr>
        <w:t>מסים</w:t>
      </w:r>
      <w:r w:rsidRPr="007F3E47">
        <w:rPr>
          <w:rFonts w:cs="FrankRuehl"/>
          <w:szCs w:val="26"/>
          <w:rtl/>
        </w:rPr>
        <w:t xml:space="preserve"> – מס רכוש וקרן פיצויים – נזק – תשלום פיצויים</w:t>
      </w:r>
    </w:p>
    <w:p w14:paraId="48CE3BB6" w14:textId="77777777" w:rsidR="007871D4" w:rsidRDefault="007871D4">
      <w:pPr>
        <w:pStyle w:val="big-header"/>
        <w:ind w:left="0" w:right="1134"/>
        <w:rPr>
          <w:rStyle w:val="default"/>
          <w:rFonts w:cs="FrankRuehl" w:hint="cs"/>
          <w:rtl/>
        </w:rPr>
      </w:pPr>
      <w:r>
        <w:rPr>
          <w:rFonts w:hint="cs"/>
          <w:rtl/>
        </w:rPr>
        <w:t>תוכן ענינים</w:t>
      </w:r>
    </w:p>
    <w:tbl>
      <w:tblPr>
        <w:tblW w:w="8333" w:type="dxa"/>
        <w:jc w:val="righ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0"/>
        <w:gridCol w:w="567"/>
        <w:gridCol w:w="5669"/>
        <w:gridCol w:w="1247"/>
      </w:tblGrid>
      <w:tr w:rsidR="007871D4" w14:paraId="3D9267D9" w14:textId="77777777">
        <w:tblPrEx>
          <w:tblCellMar>
            <w:top w:w="0" w:type="dxa"/>
            <w:bottom w:w="0" w:type="dxa"/>
          </w:tblCellMar>
        </w:tblPrEx>
        <w:trPr>
          <w:jc w:val="right"/>
        </w:trPr>
        <w:tc>
          <w:tcPr>
            <w:tcW w:w="850" w:type="dxa"/>
          </w:tcPr>
          <w:p w14:paraId="2AD5A00B" w14:textId="77777777" w:rsidR="007871D4" w:rsidRDefault="007871D4">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Seif0</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60698130" w14:textId="77777777" w:rsidR="007871D4" w:rsidRDefault="007871D4">
            <w:pPr>
              <w:spacing w:line="240" w:lineRule="auto"/>
              <w:jc w:val="left"/>
              <w:rPr>
                <w:rFonts w:cs="Frankruhel" w:hint="cs"/>
                <w:sz w:val="24"/>
              </w:rPr>
            </w:pPr>
            <w:hyperlink w:anchor="Seif0" w:tooltip="הוראת שעה" w:history="1">
              <w:r>
                <w:rPr>
                  <w:rStyle w:val="Hyperlink"/>
                </w:rPr>
                <w:t>Go</w:t>
              </w:r>
            </w:hyperlink>
          </w:p>
        </w:tc>
        <w:tc>
          <w:tcPr>
            <w:tcW w:w="5669" w:type="dxa"/>
          </w:tcPr>
          <w:p w14:paraId="4A8DFB4F" w14:textId="77777777" w:rsidR="007871D4" w:rsidRDefault="007871D4">
            <w:pPr>
              <w:spacing w:line="240" w:lineRule="auto"/>
              <w:jc w:val="left"/>
              <w:rPr>
                <w:rFonts w:cs="Frankruhel"/>
                <w:sz w:val="24"/>
                <w:rtl/>
              </w:rPr>
            </w:pPr>
            <w:r>
              <w:rPr>
                <w:rFonts w:cs="Frankruhel"/>
                <w:sz w:val="24"/>
                <w:rtl/>
              </w:rPr>
              <w:t>הוראת שעה</w:t>
            </w:r>
          </w:p>
        </w:tc>
        <w:tc>
          <w:tcPr>
            <w:tcW w:w="1247" w:type="dxa"/>
          </w:tcPr>
          <w:p w14:paraId="43EEDC9E" w14:textId="77777777" w:rsidR="007871D4" w:rsidRDefault="007871D4">
            <w:pPr>
              <w:spacing w:line="240" w:lineRule="auto"/>
              <w:jc w:val="left"/>
              <w:rPr>
                <w:rFonts w:cs="Frankruhel" w:hint="cs"/>
                <w:sz w:val="24"/>
              </w:rPr>
            </w:pPr>
            <w:r>
              <w:rPr>
                <w:rFonts w:cs="Frankruhel"/>
                <w:sz w:val="24"/>
                <w:rtl/>
              </w:rPr>
              <w:t xml:space="preserve">סעיף 1 </w:t>
            </w:r>
          </w:p>
        </w:tc>
      </w:tr>
      <w:tr w:rsidR="007871D4" w14:paraId="3E4FB6B3" w14:textId="77777777">
        <w:tblPrEx>
          <w:tblCellMar>
            <w:top w:w="0" w:type="dxa"/>
            <w:bottom w:w="0" w:type="dxa"/>
          </w:tblCellMar>
        </w:tblPrEx>
        <w:trPr>
          <w:jc w:val="right"/>
        </w:trPr>
        <w:tc>
          <w:tcPr>
            <w:tcW w:w="850" w:type="dxa"/>
          </w:tcPr>
          <w:p w14:paraId="34A6D07E" w14:textId="77777777" w:rsidR="007871D4" w:rsidRDefault="007871D4">
            <w:pPr>
              <w:spacing w:line="240" w:lineRule="auto"/>
              <w:jc w:val="left"/>
              <w:rPr>
                <w:rFonts w:cs="Frankruhel" w:hint="cs"/>
                <w:sz w:val="24"/>
              </w:rPr>
            </w:pPr>
            <w:r>
              <w:rPr>
                <w:rFonts w:cs="Frankruhel"/>
                <w:sz w:val="24"/>
                <w:rtl/>
              </w:rPr>
              <w:fldChar w:fldCharType="begin"/>
            </w:r>
            <w:r>
              <w:rPr>
                <w:rFonts w:cs="Frankruhel"/>
                <w:sz w:val="24"/>
                <w:rtl/>
              </w:rPr>
              <w:instrText xml:space="preserve"> </w:instrText>
            </w:r>
            <w:r>
              <w:rPr>
                <w:rFonts w:cs="Frankruhel"/>
                <w:sz w:val="24"/>
              </w:rPr>
              <w:instrText>PAGEREF Seif1</w:instrText>
            </w:r>
            <w:r>
              <w:rPr>
                <w:rFonts w:cs="Frankruhel"/>
                <w:sz w:val="24"/>
                <w:rtl/>
              </w:rPr>
              <w:instrText xml:space="preserve"> </w:instrText>
            </w:r>
            <w:r>
              <w:rPr>
                <w:rFonts w:cs="Frankruhel"/>
                <w:sz w:val="24"/>
                <w:rtl/>
              </w:rPr>
              <w:fldChar w:fldCharType="separate"/>
            </w:r>
            <w:r>
              <w:rPr>
                <w:rFonts w:cs="Frankruhel"/>
                <w:sz w:val="24"/>
                <w:rtl/>
              </w:rPr>
              <w:t>1</w:t>
            </w:r>
            <w:r>
              <w:rPr>
                <w:rFonts w:cs="Frankruhel"/>
                <w:sz w:val="24"/>
                <w:rtl/>
              </w:rPr>
              <w:fldChar w:fldCharType="end"/>
            </w:r>
          </w:p>
        </w:tc>
        <w:tc>
          <w:tcPr>
            <w:tcW w:w="567" w:type="dxa"/>
          </w:tcPr>
          <w:p w14:paraId="7E993162" w14:textId="77777777" w:rsidR="007871D4" w:rsidRDefault="007871D4">
            <w:pPr>
              <w:spacing w:line="240" w:lineRule="auto"/>
              <w:jc w:val="left"/>
              <w:rPr>
                <w:rFonts w:cs="Frankruhel" w:hint="cs"/>
                <w:sz w:val="24"/>
              </w:rPr>
            </w:pPr>
            <w:hyperlink w:anchor="Seif1" w:tooltip="תחולה" w:history="1">
              <w:r>
                <w:rPr>
                  <w:rStyle w:val="Hyperlink"/>
                </w:rPr>
                <w:t>Go</w:t>
              </w:r>
            </w:hyperlink>
          </w:p>
        </w:tc>
        <w:tc>
          <w:tcPr>
            <w:tcW w:w="5669" w:type="dxa"/>
          </w:tcPr>
          <w:p w14:paraId="560884F8" w14:textId="77777777" w:rsidR="007871D4" w:rsidRDefault="007871D4">
            <w:pPr>
              <w:spacing w:line="240" w:lineRule="auto"/>
              <w:jc w:val="left"/>
              <w:rPr>
                <w:rFonts w:cs="Frankruhel"/>
                <w:sz w:val="24"/>
                <w:rtl/>
              </w:rPr>
            </w:pPr>
            <w:r>
              <w:rPr>
                <w:rFonts w:cs="Frankruhel"/>
                <w:sz w:val="24"/>
                <w:rtl/>
              </w:rPr>
              <w:t>תחולה</w:t>
            </w:r>
          </w:p>
        </w:tc>
        <w:tc>
          <w:tcPr>
            <w:tcW w:w="1247" w:type="dxa"/>
          </w:tcPr>
          <w:p w14:paraId="1FE20E6A" w14:textId="77777777" w:rsidR="007871D4" w:rsidRDefault="007871D4">
            <w:pPr>
              <w:spacing w:line="240" w:lineRule="auto"/>
              <w:jc w:val="left"/>
              <w:rPr>
                <w:rFonts w:cs="Frankruhel" w:hint="cs"/>
                <w:sz w:val="24"/>
              </w:rPr>
            </w:pPr>
            <w:r>
              <w:rPr>
                <w:rFonts w:cs="Frankruhel"/>
                <w:sz w:val="24"/>
                <w:rtl/>
              </w:rPr>
              <w:t xml:space="preserve">סעיף 2 </w:t>
            </w:r>
          </w:p>
        </w:tc>
      </w:tr>
    </w:tbl>
    <w:p w14:paraId="1320C1BA" w14:textId="77777777" w:rsidR="007871D4" w:rsidRDefault="007871D4">
      <w:pPr>
        <w:pStyle w:val="P00"/>
        <w:spacing w:before="72"/>
        <w:ind w:left="0" w:right="1134"/>
        <w:rPr>
          <w:rFonts w:hint="cs"/>
          <w:rtl/>
        </w:rPr>
      </w:pPr>
    </w:p>
    <w:p w14:paraId="6AB4C819" w14:textId="77777777" w:rsidR="007871D4" w:rsidRDefault="007871D4" w:rsidP="007F3E47">
      <w:pPr>
        <w:pStyle w:val="big-header"/>
        <w:ind w:left="0" w:right="1134"/>
        <w:rPr>
          <w:rStyle w:val="default"/>
          <w:rFonts w:cs="FrankRuehl"/>
          <w:rtl/>
        </w:rPr>
      </w:pPr>
      <w:r>
        <w:rPr>
          <w:rtl/>
        </w:rPr>
        <w:br w:type="page"/>
      </w:r>
      <w:r>
        <w:rPr>
          <w:rFonts w:hint="cs"/>
          <w:rtl/>
        </w:rPr>
        <w:lastRenderedPageBreak/>
        <w:t>תקנות מס רכוש וקרן פיצויים (תשלום פיצויים) (נזק מלחמה ונזק עקיף) (הוראת שעה), תשס"ז-2007</w:t>
      </w:r>
      <w:r>
        <w:rPr>
          <w:rStyle w:val="default"/>
          <w:sz w:val="22"/>
          <w:szCs w:val="22"/>
          <w:rtl/>
        </w:rPr>
        <w:footnoteReference w:customMarkFollows="1" w:id="1"/>
        <w:t>*</w:t>
      </w:r>
    </w:p>
    <w:p w14:paraId="346D4485" w14:textId="77777777" w:rsidR="007871D4" w:rsidRDefault="007871D4">
      <w:pPr>
        <w:pStyle w:val="P00"/>
        <w:spacing w:before="72"/>
        <w:ind w:left="0" w:right="1134"/>
        <w:rPr>
          <w:rStyle w:val="default"/>
          <w:rFonts w:cs="FrankRuehl" w:hint="cs"/>
          <w:rtl/>
        </w:rPr>
      </w:pPr>
      <w:r>
        <w:rPr>
          <w:rStyle w:val="default"/>
          <w:rFonts w:cs="FrankRuehl" w:hint="cs"/>
          <w:rtl/>
        </w:rPr>
        <w:tab/>
      </w:r>
      <w:r>
        <w:rPr>
          <w:rStyle w:val="default"/>
          <w:rFonts w:cs="FrankRuehl"/>
          <w:rtl/>
        </w:rPr>
        <w:t>בתוקף סמכותי לפי סעיפים</w:t>
      </w:r>
      <w:r>
        <w:rPr>
          <w:rStyle w:val="default"/>
          <w:rFonts w:cs="FrankRuehl" w:hint="cs"/>
          <w:rtl/>
        </w:rPr>
        <w:t xml:space="preserve"> 36</w:t>
      </w:r>
      <w:r>
        <w:rPr>
          <w:rStyle w:val="default"/>
          <w:rFonts w:cs="FrankRuehl"/>
          <w:rtl/>
        </w:rPr>
        <w:t>(א) ו</w:t>
      </w:r>
      <w:r>
        <w:rPr>
          <w:rStyle w:val="default"/>
          <w:rFonts w:cs="FrankRuehl" w:hint="cs"/>
          <w:rtl/>
        </w:rPr>
        <w:t>-</w:t>
      </w:r>
      <w:r>
        <w:rPr>
          <w:rStyle w:val="default"/>
          <w:rFonts w:cs="FrankRuehl"/>
          <w:rtl/>
        </w:rPr>
        <w:t>65 לחוק מס רכוש וקרן פיצויים, התשכ"א-</w:t>
      </w:r>
      <w:r>
        <w:rPr>
          <w:rStyle w:val="default"/>
          <w:rFonts w:cs="FrankRuehl" w:hint="cs"/>
          <w:rtl/>
        </w:rPr>
        <w:t>1961</w:t>
      </w:r>
      <w:r>
        <w:rPr>
          <w:rStyle w:val="default"/>
          <w:rFonts w:cs="FrankRuehl"/>
          <w:rtl/>
        </w:rPr>
        <w:t>, ובאישור ועדת הכספים של הכנסת, אני מתקין תקנות אלה:</w:t>
      </w:r>
    </w:p>
    <w:p w14:paraId="5EEA6932" w14:textId="77777777" w:rsidR="007871D4" w:rsidRDefault="007871D4">
      <w:pPr>
        <w:pStyle w:val="P00"/>
        <w:spacing w:before="72"/>
        <w:ind w:left="0" w:right="1134"/>
        <w:rPr>
          <w:rStyle w:val="default"/>
          <w:rFonts w:cs="FrankRuehl" w:hint="cs"/>
          <w:rtl/>
        </w:rPr>
      </w:pPr>
      <w:bookmarkStart w:id="0" w:name="Seif0"/>
      <w:bookmarkEnd w:id="0"/>
      <w:r>
        <w:rPr>
          <w:lang w:val="he-IL"/>
        </w:rPr>
        <w:pict w14:anchorId="11933A4F">
          <v:rect id="_x0000_s1026" style="position:absolute;left:0;text-align:left;margin-left:464.5pt;margin-top:8.05pt;width:75.05pt;height:14.2pt;z-index:251657216" o:allowincell="f" filled="f" stroked="f" strokecolor="lime" strokeweight=".25pt">
            <v:textbox style="mso-next-textbox:#_x0000_s1026" inset="0,0,0,0">
              <w:txbxContent>
                <w:p w14:paraId="1639D36F" w14:textId="77777777" w:rsidR="007871D4" w:rsidRDefault="007871D4">
                  <w:pPr>
                    <w:spacing w:line="160" w:lineRule="exact"/>
                    <w:jc w:val="left"/>
                    <w:rPr>
                      <w:rFonts w:cs="Miriam" w:hint="cs"/>
                      <w:szCs w:val="18"/>
                      <w:rtl/>
                    </w:rPr>
                  </w:pPr>
                  <w:r>
                    <w:rPr>
                      <w:rFonts w:cs="Miriam" w:hint="cs"/>
                      <w:szCs w:val="18"/>
                      <w:rtl/>
                    </w:rPr>
                    <w:t>הוראת שעה</w:t>
                  </w:r>
                </w:p>
              </w:txbxContent>
            </v:textbox>
            <w10:anchorlock/>
          </v:rect>
        </w:pict>
      </w:r>
      <w:r>
        <w:rPr>
          <w:rStyle w:val="big-number"/>
          <w:rtl/>
        </w:rPr>
        <w:t>1</w:t>
      </w:r>
      <w:r>
        <w:rPr>
          <w:rStyle w:val="default"/>
          <w:rFonts w:cs="FrankRuehl"/>
          <w:rtl/>
        </w:rPr>
        <w:t>.</w:t>
      </w:r>
      <w:r>
        <w:rPr>
          <w:rStyle w:val="default"/>
          <w:rFonts w:cs="FrankRuehl"/>
          <w:rtl/>
        </w:rPr>
        <w:tab/>
        <w:t xml:space="preserve">לענין נזק באזור </w:t>
      </w:r>
      <w:r>
        <w:rPr>
          <w:rStyle w:val="default"/>
          <w:rFonts w:cs="FrankRuehl" w:hint="cs"/>
          <w:rtl/>
        </w:rPr>
        <w:t>הכרזה</w:t>
      </w:r>
      <w:r>
        <w:rPr>
          <w:rStyle w:val="default"/>
          <w:rFonts w:cs="FrankRuehl"/>
          <w:rtl/>
        </w:rPr>
        <w:t xml:space="preserve"> שאירע</w:t>
      </w:r>
      <w:r>
        <w:rPr>
          <w:rStyle w:val="default"/>
          <w:rFonts w:cs="FrankRuehl" w:hint="cs"/>
          <w:rtl/>
        </w:rPr>
        <w:t xml:space="preserve"> </w:t>
      </w:r>
      <w:r>
        <w:rPr>
          <w:rStyle w:val="default"/>
          <w:rFonts w:cs="FrankRuehl"/>
          <w:rtl/>
        </w:rPr>
        <w:t xml:space="preserve">בתקופה שמיום </w:t>
      </w:r>
      <w:r>
        <w:rPr>
          <w:rStyle w:val="default"/>
          <w:rFonts w:cs="FrankRuehl" w:hint="cs"/>
          <w:rtl/>
        </w:rPr>
        <w:t>כ"ח באייר התשס"ז (16 במאי 2007)</w:t>
      </w:r>
      <w:r>
        <w:rPr>
          <w:rStyle w:val="default"/>
          <w:rFonts w:cs="FrankRuehl"/>
          <w:rtl/>
        </w:rPr>
        <w:t xml:space="preserve"> עד יום </w:t>
      </w:r>
      <w:r>
        <w:rPr>
          <w:rStyle w:val="default"/>
          <w:rFonts w:cs="FrankRuehl" w:hint="cs"/>
          <w:rtl/>
        </w:rPr>
        <w:t>י"ד בסיון התשס"ז (31 במאי 2007)</w:t>
      </w:r>
      <w:r>
        <w:rPr>
          <w:rStyle w:val="default"/>
          <w:rFonts w:cs="FrankRuehl"/>
          <w:rtl/>
        </w:rPr>
        <w:t>, יראו כאילו ב</w:t>
      </w:r>
      <w:r>
        <w:rPr>
          <w:rStyle w:val="default"/>
          <w:rFonts w:cs="FrankRuehl" w:hint="cs"/>
          <w:rtl/>
        </w:rPr>
        <w:t>תקנה 1 ל</w:t>
      </w:r>
      <w:r>
        <w:rPr>
          <w:rStyle w:val="default"/>
          <w:rFonts w:cs="FrankRuehl"/>
          <w:rtl/>
        </w:rPr>
        <w:t>תקנות מס רכוש וקרן פיצויים (תשלום פיצויים) (נזק מלחמה ונזק עקיף), התשל"ג</w:t>
      </w:r>
      <w:r>
        <w:rPr>
          <w:rStyle w:val="default"/>
          <w:rFonts w:cs="FrankRuehl" w:hint="cs"/>
          <w:rtl/>
        </w:rPr>
        <w:t>-1973</w:t>
      </w:r>
      <w:r>
        <w:rPr>
          <w:rStyle w:val="default"/>
          <w:rFonts w:cs="FrankRuehl"/>
          <w:rtl/>
        </w:rPr>
        <w:t>–</w:t>
      </w:r>
    </w:p>
    <w:p w14:paraId="61D29CEC" w14:textId="77777777" w:rsidR="007871D4" w:rsidRDefault="007871D4">
      <w:pPr>
        <w:pStyle w:val="P00"/>
        <w:spacing w:before="72"/>
        <w:ind w:left="624" w:right="1134"/>
        <w:rPr>
          <w:rStyle w:val="default"/>
          <w:rFonts w:cs="FrankRuehl" w:hint="cs"/>
          <w:rtl/>
        </w:rPr>
      </w:pPr>
      <w:r>
        <w:rPr>
          <w:rStyle w:val="default"/>
          <w:rFonts w:cs="FrankRuehl"/>
          <w:rtl/>
        </w:rPr>
        <w:t>(1)</w:t>
      </w:r>
      <w:r>
        <w:rPr>
          <w:rStyle w:val="default"/>
          <w:rFonts w:cs="FrankRuehl" w:hint="cs"/>
          <w:rtl/>
        </w:rPr>
        <w:tab/>
        <w:t>בהגדרה "שווי של נזק עקיף"</w:t>
      </w:r>
      <w:r>
        <w:rPr>
          <w:rStyle w:val="default"/>
          <w:rFonts w:cs="FrankRuehl"/>
          <w:rtl/>
        </w:rPr>
        <w:t xml:space="preserve"> –</w:t>
      </w:r>
    </w:p>
    <w:p w14:paraId="67DAE9F1" w14:textId="77777777" w:rsidR="007871D4" w:rsidRDefault="007871D4">
      <w:pPr>
        <w:pStyle w:val="P00"/>
        <w:spacing w:before="72"/>
        <w:ind w:left="1021" w:right="1134"/>
        <w:rPr>
          <w:rStyle w:val="default"/>
          <w:rFonts w:cs="FrankRuehl" w:hint="cs"/>
          <w:rtl/>
        </w:rPr>
      </w:pPr>
      <w:r>
        <w:rPr>
          <w:rStyle w:val="default"/>
          <w:rFonts w:cs="FrankRuehl"/>
          <w:rtl/>
        </w:rPr>
        <w:t>(א)</w:t>
      </w:r>
      <w:r>
        <w:rPr>
          <w:rStyle w:val="default"/>
          <w:rFonts w:cs="FrankRuehl" w:hint="cs"/>
          <w:rtl/>
        </w:rPr>
        <w:tab/>
        <w:t xml:space="preserve">בפסקה 2(ג), המילים "ובלבד שהנזק נגרם עקב הפסקת ייצור של למעלה מ-24 שעות" </w:t>
      </w:r>
      <w:r>
        <w:rPr>
          <w:rStyle w:val="default"/>
          <w:rFonts w:cs="FrankRuehl"/>
          <w:rtl/>
        </w:rPr>
        <w:t>–</w:t>
      </w:r>
      <w:r>
        <w:rPr>
          <w:rStyle w:val="default"/>
          <w:rFonts w:cs="FrankRuehl" w:hint="cs"/>
          <w:rtl/>
        </w:rPr>
        <w:t xml:space="preserve"> נמחקו;</w:t>
      </w:r>
    </w:p>
    <w:p w14:paraId="544DA515" w14:textId="77777777" w:rsidR="007871D4" w:rsidRDefault="007871D4">
      <w:pPr>
        <w:pStyle w:val="P00"/>
        <w:spacing w:before="72"/>
        <w:ind w:left="1021" w:right="1134"/>
        <w:rPr>
          <w:rStyle w:val="default"/>
          <w:rFonts w:cs="FrankRuehl" w:hint="cs"/>
          <w:rtl/>
        </w:rPr>
      </w:pPr>
      <w:r>
        <w:rPr>
          <w:rStyle w:val="default"/>
          <w:rFonts w:cs="FrankRuehl"/>
          <w:rtl/>
        </w:rPr>
        <w:t>(ב)</w:t>
      </w:r>
      <w:r>
        <w:rPr>
          <w:rStyle w:val="default"/>
          <w:rFonts w:cs="FrankRuehl" w:hint="cs"/>
          <w:rtl/>
        </w:rPr>
        <w:tab/>
        <w:t xml:space="preserve">בפסקה (3) </w:t>
      </w:r>
      <w:r>
        <w:rPr>
          <w:rStyle w:val="default"/>
          <w:rFonts w:cs="FrankRuehl"/>
          <w:rtl/>
        </w:rPr>
        <w:t>–</w:t>
      </w:r>
      <w:r>
        <w:rPr>
          <w:rStyle w:val="default"/>
          <w:rFonts w:cs="FrankRuehl" w:hint="cs"/>
          <w:rtl/>
        </w:rPr>
        <w:t xml:space="preserve"> המילים "ובלבד שהנזק נגרם עקב הפסקת פעילות של למעלה משבוע" </w:t>
      </w:r>
      <w:r>
        <w:rPr>
          <w:rStyle w:val="default"/>
          <w:rFonts w:cs="FrankRuehl"/>
          <w:rtl/>
        </w:rPr>
        <w:t>–</w:t>
      </w:r>
      <w:r>
        <w:rPr>
          <w:rStyle w:val="default"/>
          <w:rFonts w:cs="FrankRuehl" w:hint="cs"/>
          <w:rtl/>
        </w:rPr>
        <w:t xml:space="preserve"> נמחקו;</w:t>
      </w:r>
    </w:p>
    <w:p w14:paraId="41C2EB00" w14:textId="77777777" w:rsidR="007871D4" w:rsidRDefault="007871D4">
      <w:pPr>
        <w:pStyle w:val="P00"/>
        <w:spacing w:before="72"/>
        <w:ind w:left="1021" w:right="1134"/>
        <w:rPr>
          <w:rStyle w:val="default"/>
          <w:rFonts w:cs="FrankRuehl" w:hint="cs"/>
          <w:rtl/>
        </w:rPr>
      </w:pPr>
      <w:r>
        <w:rPr>
          <w:rStyle w:val="default"/>
          <w:rFonts w:cs="FrankRuehl" w:hint="cs"/>
          <w:rtl/>
        </w:rPr>
        <w:t>(ג)</w:t>
      </w:r>
      <w:r>
        <w:rPr>
          <w:rStyle w:val="default"/>
          <w:rFonts w:cs="FrankRuehl" w:hint="cs"/>
          <w:rtl/>
        </w:rPr>
        <w:tab/>
        <w:t xml:space="preserve">בפסקה (4) </w:t>
      </w:r>
      <w:r>
        <w:rPr>
          <w:rStyle w:val="default"/>
          <w:rFonts w:cs="FrankRuehl"/>
          <w:rtl/>
        </w:rPr>
        <w:t>–</w:t>
      </w:r>
    </w:p>
    <w:p w14:paraId="6DBE26B4" w14:textId="77777777" w:rsidR="007871D4" w:rsidRDefault="007871D4">
      <w:pPr>
        <w:pStyle w:val="P00"/>
        <w:spacing w:before="72"/>
        <w:ind w:left="1474" w:right="1134"/>
        <w:rPr>
          <w:rStyle w:val="default"/>
          <w:rFonts w:cs="FrankRuehl" w:hint="cs"/>
          <w:rtl/>
        </w:rPr>
      </w:pPr>
      <w:r>
        <w:rPr>
          <w:rStyle w:val="default"/>
          <w:rFonts w:cs="FrankRuehl" w:hint="cs"/>
          <w:rtl/>
        </w:rPr>
        <w:t>(1)</w:t>
      </w:r>
      <w:r>
        <w:rPr>
          <w:rStyle w:val="default"/>
          <w:rFonts w:cs="FrankRuehl" w:hint="cs"/>
          <w:rtl/>
        </w:rPr>
        <w:tab/>
        <w:t>במקום "בשל היום שבו לא עבד העובד לפי הוראות כוחות הביטחון; לא עבד העובד עקב הוראות כאמור בחלק" נאמר "בשל כל יום היעדרות של העובד מעבודתו בשל המצב הביטחוני; לא עבד העובד בשל המצב הביטחוני כאמור בחלק" ובמקום "לענין זה" נאמר "לענין זה ולענין ההגדרה "ניזוק"";</w:t>
      </w:r>
    </w:p>
    <w:p w14:paraId="32DFC113" w14:textId="77777777" w:rsidR="007871D4" w:rsidRDefault="007871D4">
      <w:pPr>
        <w:pStyle w:val="P00"/>
        <w:spacing w:before="72"/>
        <w:ind w:left="1474" w:right="1134"/>
        <w:rPr>
          <w:rStyle w:val="default"/>
          <w:rFonts w:cs="FrankRuehl" w:hint="cs"/>
          <w:rtl/>
        </w:rPr>
      </w:pPr>
      <w:r>
        <w:rPr>
          <w:rStyle w:val="default"/>
          <w:rFonts w:cs="FrankRuehl" w:hint="cs"/>
          <w:rtl/>
        </w:rPr>
        <w:t>(2)</w:t>
      </w:r>
      <w:r>
        <w:rPr>
          <w:rStyle w:val="default"/>
          <w:rFonts w:cs="FrankRuehl" w:hint="cs"/>
          <w:rtl/>
        </w:rPr>
        <w:tab/>
        <w:t>בהגדרה "השכר המרבי", במקום "ב-25" נאמר "ב-22";</w:t>
      </w:r>
    </w:p>
    <w:p w14:paraId="4CFECF24" w14:textId="77777777" w:rsidR="007871D4" w:rsidRDefault="007871D4">
      <w:pPr>
        <w:pStyle w:val="P00"/>
        <w:spacing w:before="72"/>
        <w:ind w:left="1474" w:right="1134"/>
        <w:rPr>
          <w:rStyle w:val="default"/>
          <w:rFonts w:cs="FrankRuehl" w:hint="cs"/>
          <w:rtl/>
        </w:rPr>
      </w:pPr>
      <w:r>
        <w:rPr>
          <w:rStyle w:val="default"/>
          <w:rFonts w:cs="FrankRuehl" w:hint="cs"/>
          <w:rtl/>
        </w:rPr>
        <w:t>(3)</w:t>
      </w:r>
      <w:r>
        <w:rPr>
          <w:rStyle w:val="default"/>
          <w:rFonts w:cs="FrankRuehl" w:hint="cs"/>
          <w:rtl/>
        </w:rPr>
        <w:tab/>
        <w:t>בסופה נאמר:</w:t>
      </w:r>
    </w:p>
    <w:p w14:paraId="665D7EBA" w14:textId="77777777" w:rsidR="007871D4" w:rsidRDefault="007871D4">
      <w:pPr>
        <w:pStyle w:val="P00"/>
        <w:spacing w:before="72"/>
        <w:ind w:left="1928" w:right="1134"/>
        <w:rPr>
          <w:rStyle w:val="default"/>
          <w:rFonts w:cs="FrankRuehl" w:hint="cs"/>
          <w:rtl/>
        </w:rPr>
      </w:pPr>
      <w:r>
        <w:rPr>
          <w:rStyle w:val="default"/>
          <w:rFonts w:cs="FrankRuehl" w:hint="cs"/>
          <w:rtl/>
        </w:rPr>
        <w:t xml:space="preserve">"אזור הכרזה" </w:t>
      </w:r>
      <w:r>
        <w:rPr>
          <w:rStyle w:val="default"/>
          <w:rFonts w:cs="FrankRuehl"/>
          <w:rtl/>
        </w:rPr>
        <w:t>–</w:t>
      </w:r>
      <w:r>
        <w:rPr>
          <w:rStyle w:val="default"/>
          <w:rFonts w:cs="FrankRuehl" w:hint="cs"/>
          <w:rtl/>
        </w:rPr>
        <w:t xml:space="preserve"> האזור המסומן כתום בהודעה בדבר אזור שהוא יישוב ספר;</w:t>
      </w:r>
    </w:p>
    <w:p w14:paraId="2BD39FEE" w14:textId="77777777" w:rsidR="007871D4" w:rsidRDefault="007871D4">
      <w:pPr>
        <w:pStyle w:val="P00"/>
        <w:spacing w:before="72"/>
        <w:ind w:left="1928" w:right="1134"/>
        <w:rPr>
          <w:rStyle w:val="default"/>
          <w:rFonts w:cs="FrankRuehl" w:hint="cs"/>
          <w:rtl/>
        </w:rPr>
      </w:pPr>
      <w:r>
        <w:rPr>
          <w:rStyle w:val="default"/>
          <w:rFonts w:cs="FrankRuehl" w:hint="cs"/>
          <w:rtl/>
        </w:rPr>
        <w:t xml:space="preserve">"יום היעדרות בשל מצב ביטחוני" </w:t>
      </w:r>
      <w:r>
        <w:rPr>
          <w:rStyle w:val="default"/>
          <w:rFonts w:cs="FrankRuehl"/>
          <w:rtl/>
        </w:rPr>
        <w:t>–</w:t>
      </w:r>
      <w:r>
        <w:rPr>
          <w:rStyle w:val="default"/>
          <w:rFonts w:cs="FrankRuehl" w:hint="cs"/>
          <w:rtl/>
        </w:rPr>
        <w:t xml:space="preserve"> יום שנעדר בו העובד מעבודתו אצל ניזוק, למעט יום שנעדר בו בשל מחלה, תאונה, חופשה שנתית, מילואים, או בשבת ובחג וביום שישי </w:t>
      </w:r>
      <w:r>
        <w:rPr>
          <w:rStyle w:val="default"/>
          <w:rFonts w:cs="FrankRuehl"/>
          <w:rtl/>
        </w:rPr>
        <w:t>–</w:t>
      </w:r>
      <w:r>
        <w:rPr>
          <w:rStyle w:val="default"/>
          <w:rFonts w:cs="FrankRuehl" w:hint="cs"/>
          <w:rtl/>
        </w:rPr>
        <w:t xml:space="preserve"> למעט מי שעובד באופן רגיל בימים אלה";</w:t>
      </w:r>
    </w:p>
    <w:p w14:paraId="70AB38B0" w14:textId="77777777" w:rsidR="007871D4" w:rsidRDefault="007871D4">
      <w:pPr>
        <w:pStyle w:val="P00"/>
        <w:spacing w:before="72"/>
        <w:ind w:left="624" w:right="1134"/>
        <w:rPr>
          <w:rStyle w:val="default"/>
          <w:rFonts w:cs="FrankRuehl" w:hint="cs"/>
          <w:rtl/>
        </w:rPr>
      </w:pPr>
      <w:r>
        <w:rPr>
          <w:rStyle w:val="default"/>
          <w:rFonts w:cs="FrankRuehl"/>
          <w:rtl/>
        </w:rPr>
        <w:t>(2)</w:t>
      </w:r>
      <w:r>
        <w:rPr>
          <w:rStyle w:val="default"/>
          <w:rFonts w:cs="FrankRuehl" w:hint="cs"/>
          <w:rtl/>
        </w:rPr>
        <w:tab/>
        <w:t xml:space="preserve">בהגדרה "ניזוק", בסופה נאמר "ולענין "שווי של נזק עקיף", כשהנזק נגרם למעביד בשל תשלום שכר עבודה </w:t>
      </w:r>
      <w:r>
        <w:rPr>
          <w:rStyle w:val="default"/>
          <w:rFonts w:cs="FrankRuehl"/>
          <w:rtl/>
        </w:rPr>
        <w:t>–</w:t>
      </w:r>
      <w:r>
        <w:rPr>
          <w:rStyle w:val="default"/>
          <w:rFonts w:cs="FrankRuehl" w:hint="cs"/>
          <w:rtl/>
        </w:rPr>
        <w:t xml:space="preserve"> לרבות מי שעובד שלו מתגורר באזור הכרזה, ובלבד שהשווי של הנזק העקיף לא יעלה על סך עלות שכר העבודה היומי ששילם לאותו עובד בשל כל יום היעדרות של העובד מעבודתו בשל המצב הביטחוני".</w:t>
      </w:r>
    </w:p>
    <w:p w14:paraId="73AA9FDC" w14:textId="77777777" w:rsidR="007871D4" w:rsidRDefault="007871D4">
      <w:pPr>
        <w:pStyle w:val="P00"/>
        <w:spacing w:before="72"/>
        <w:ind w:left="0" w:right="1134"/>
        <w:rPr>
          <w:rStyle w:val="default"/>
          <w:rFonts w:cs="FrankRuehl" w:hint="cs"/>
          <w:rtl/>
        </w:rPr>
      </w:pPr>
      <w:bookmarkStart w:id="1" w:name="Seif1"/>
      <w:bookmarkEnd w:id="1"/>
      <w:r>
        <w:rPr>
          <w:lang w:val="he-IL"/>
        </w:rPr>
        <w:pict w14:anchorId="58309BE0">
          <v:rect id="_x0000_s1027" style="position:absolute;left:0;text-align:left;margin-left:464.5pt;margin-top:8.05pt;width:75.05pt;height:12.1pt;z-index:251658240" o:allowincell="f" filled="f" stroked="f" strokecolor="lime" strokeweight=".25pt">
            <v:textbox style="mso-next-textbox:#_x0000_s1027" inset="0,0,0,0">
              <w:txbxContent>
                <w:p w14:paraId="60825770" w14:textId="77777777" w:rsidR="007871D4" w:rsidRDefault="007871D4">
                  <w:pPr>
                    <w:spacing w:line="160" w:lineRule="exact"/>
                    <w:jc w:val="left"/>
                    <w:rPr>
                      <w:rFonts w:cs="Miriam" w:hint="cs"/>
                      <w:szCs w:val="18"/>
                      <w:rtl/>
                    </w:rPr>
                  </w:pPr>
                  <w:r>
                    <w:rPr>
                      <w:rFonts w:cs="Miriam" w:hint="cs"/>
                      <w:szCs w:val="18"/>
                      <w:rtl/>
                    </w:rPr>
                    <w:t>תחולה</w:t>
                  </w:r>
                </w:p>
              </w:txbxContent>
            </v:textbox>
            <w10:anchorlock/>
          </v:rect>
        </w:pict>
      </w:r>
      <w:r>
        <w:rPr>
          <w:rStyle w:val="big-number"/>
          <w:rtl/>
        </w:rPr>
        <w:t>2</w:t>
      </w:r>
      <w:r>
        <w:rPr>
          <w:rStyle w:val="default"/>
          <w:rFonts w:cs="FrankRuehl"/>
          <w:rtl/>
        </w:rPr>
        <w:t>.</w:t>
      </w:r>
      <w:r>
        <w:rPr>
          <w:rStyle w:val="default"/>
          <w:rFonts w:cs="FrankRuehl"/>
          <w:rtl/>
        </w:rPr>
        <w:tab/>
      </w:r>
      <w:r>
        <w:rPr>
          <w:rStyle w:val="default"/>
          <w:rFonts w:cs="FrankRuehl" w:hint="cs"/>
          <w:rtl/>
        </w:rPr>
        <w:t>תקנות אלה לא יחולו על ניזוק שהוא אחד מאלה:</w:t>
      </w:r>
    </w:p>
    <w:p w14:paraId="73C3B8B9" w14:textId="77777777" w:rsidR="007871D4" w:rsidRDefault="007871D4">
      <w:pPr>
        <w:pStyle w:val="P00"/>
        <w:spacing w:before="72"/>
        <w:ind w:left="624" w:right="1134"/>
        <w:rPr>
          <w:rStyle w:val="default"/>
          <w:rFonts w:cs="FrankRuehl" w:hint="cs"/>
          <w:rtl/>
        </w:rPr>
      </w:pPr>
      <w:r>
        <w:rPr>
          <w:rStyle w:val="default"/>
          <w:rFonts w:cs="FrankRuehl" w:hint="cs"/>
          <w:rtl/>
        </w:rPr>
        <w:t>(1)</w:t>
      </w:r>
      <w:r>
        <w:rPr>
          <w:rStyle w:val="default"/>
          <w:rFonts w:cs="FrankRuehl" w:hint="cs"/>
          <w:rtl/>
        </w:rPr>
        <w:tab/>
        <w:t>המדינה;</w:t>
      </w:r>
    </w:p>
    <w:p w14:paraId="36929083" w14:textId="77777777" w:rsidR="007871D4" w:rsidRDefault="007871D4">
      <w:pPr>
        <w:pStyle w:val="P00"/>
        <w:spacing w:before="72"/>
        <w:ind w:left="624" w:right="1134"/>
        <w:rPr>
          <w:rStyle w:val="default"/>
          <w:rFonts w:cs="FrankRuehl" w:hint="cs"/>
          <w:rtl/>
        </w:rPr>
      </w:pPr>
      <w:r>
        <w:rPr>
          <w:rStyle w:val="default"/>
          <w:rFonts w:cs="FrankRuehl" w:hint="cs"/>
          <w:rtl/>
        </w:rPr>
        <w:t>(2)</w:t>
      </w:r>
      <w:r>
        <w:rPr>
          <w:rStyle w:val="default"/>
          <w:rFonts w:cs="FrankRuehl" w:hint="cs"/>
          <w:rtl/>
        </w:rPr>
        <w:tab/>
        <w:t>גוף מתוקצב או תאגיד בריאות כהגדרתם בסעיף 21 לחוק יסודות התקציב, התשמ"ה-1985;</w:t>
      </w:r>
    </w:p>
    <w:p w14:paraId="2FBEBC72" w14:textId="77777777" w:rsidR="007871D4" w:rsidRDefault="007871D4">
      <w:pPr>
        <w:pStyle w:val="P00"/>
        <w:spacing w:before="72"/>
        <w:ind w:left="624" w:right="1134"/>
        <w:rPr>
          <w:rStyle w:val="default"/>
          <w:rFonts w:cs="FrankRuehl" w:hint="cs"/>
          <w:rtl/>
        </w:rPr>
      </w:pPr>
      <w:r>
        <w:rPr>
          <w:rStyle w:val="default"/>
          <w:rFonts w:cs="FrankRuehl" w:hint="cs"/>
          <w:rtl/>
        </w:rPr>
        <w:t>(3)</w:t>
      </w:r>
      <w:r>
        <w:rPr>
          <w:rStyle w:val="default"/>
          <w:rFonts w:cs="FrankRuehl" w:hint="cs"/>
          <w:rtl/>
        </w:rPr>
        <w:tab/>
        <w:t>חברה ממשלתית כהגדרתה בחוק החברות הממשלתיות, התשל"ה-1975;</w:t>
      </w:r>
    </w:p>
    <w:p w14:paraId="43502680" w14:textId="77777777" w:rsidR="007871D4" w:rsidRDefault="007871D4">
      <w:pPr>
        <w:pStyle w:val="P00"/>
        <w:spacing w:before="72"/>
        <w:ind w:left="624" w:right="1134"/>
        <w:rPr>
          <w:rStyle w:val="default"/>
          <w:rFonts w:cs="FrankRuehl" w:hint="cs"/>
          <w:rtl/>
        </w:rPr>
      </w:pPr>
      <w:r>
        <w:rPr>
          <w:rStyle w:val="default"/>
          <w:rFonts w:cs="FrankRuehl" w:hint="cs"/>
          <w:rtl/>
        </w:rPr>
        <w:t>(4)</w:t>
      </w:r>
      <w:r>
        <w:rPr>
          <w:rStyle w:val="default"/>
          <w:rFonts w:cs="FrankRuehl" w:hint="cs"/>
          <w:rtl/>
        </w:rPr>
        <w:tab/>
        <w:t>קופת חולים או מוסד להשכלה גבוהה.</w:t>
      </w:r>
    </w:p>
    <w:p w14:paraId="74E1C21B" w14:textId="77777777" w:rsidR="007871D4" w:rsidRDefault="007871D4">
      <w:pPr>
        <w:pStyle w:val="P00"/>
        <w:spacing w:before="72"/>
        <w:ind w:left="0" w:right="1134"/>
        <w:rPr>
          <w:rStyle w:val="default"/>
          <w:rFonts w:cs="FrankRuehl"/>
          <w:rtl/>
        </w:rPr>
      </w:pPr>
    </w:p>
    <w:p w14:paraId="13E07C33" w14:textId="77777777" w:rsidR="007871D4" w:rsidRDefault="007871D4">
      <w:pPr>
        <w:pStyle w:val="P00"/>
        <w:spacing w:before="72"/>
        <w:ind w:left="0" w:right="1134"/>
        <w:rPr>
          <w:rFonts w:hint="cs"/>
          <w:rtl/>
        </w:rPr>
      </w:pPr>
    </w:p>
    <w:p w14:paraId="260963B5" w14:textId="77777777" w:rsidR="007871D4" w:rsidRDefault="007871D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rtl/>
        </w:rPr>
      </w:pPr>
      <w:r>
        <w:rPr>
          <w:rFonts w:hint="cs"/>
          <w:rtl/>
        </w:rPr>
        <w:t>כ"ח בסיון התשס"ז (14 ביוני 2007)</w:t>
      </w:r>
      <w:r>
        <w:rPr>
          <w:rFonts w:hint="cs"/>
          <w:rtl/>
        </w:rPr>
        <w:tab/>
        <w:t>אהוד אולמרט</w:t>
      </w:r>
    </w:p>
    <w:p w14:paraId="5142CC8D" w14:textId="77777777" w:rsidR="007871D4" w:rsidRDefault="007871D4">
      <w:pPr>
        <w:pStyle w:val="P00"/>
        <w:tabs>
          <w:tab w:val="clear" w:pos="624"/>
          <w:tab w:val="clear" w:pos="1021"/>
          <w:tab w:val="clear" w:pos="1474"/>
          <w:tab w:val="clear" w:pos="1928"/>
          <w:tab w:val="clear" w:pos="2381"/>
          <w:tab w:val="clear" w:pos="2835"/>
          <w:tab w:val="clear" w:pos="6259"/>
          <w:tab w:val="center" w:pos="5103"/>
        </w:tabs>
        <w:spacing w:before="72"/>
        <w:ind w:left="0" w:right="1134"/>
        <w:rPr>
          <w:rFonts w:hint="cs"/>
          <w:sz w:val="22"/>
          <w:szCs w:val="22"/>
          <w:rtl/>
        </w:rPr>
      </w:pPr>
      <w:r>
        <w:rPr>
          <w:rFonts w:hint="cs"/>
          <w:sz w:val="22"/>
          <w:szCs w:val="22"/>
          <w:rtl/>
        </w:rPr>
        <w:tab/>
        <w:t>ראש הממשלה וממלא מקום שר האוצר</w:t>
      </w:r>
    </w:p>
    <w:p w14:paraId="0AAE271A" w14:textId="77777777" w:rsidR="007871D4" w:rsidRDefault="007871D4">
      <w:pPr>
        <w:pStyle w:val="P00"/>
        <w:spacing w:before="72"/>
        <w:ind w:left="0" w:right="1134"/>
        <w:rPr>
          <w:rFonts w:hint="cs"/>
          <w:rtl/>
        </w:rPr>
      </w:pPr>
    </w:p>
    <w:p w14:paraId="561EB6CF" w14:textId="77777777" w:rsidR="007871D4" w:rsidRDefault="007871D4">
      <w:pPr>
        <w:pStyle w:val="P00"/>
        <w:spacing w:before="72"/>
        <w:ind w:left="0" w:right="1134"/>
        <w:rPr>
          <w:rFonts w:hint="cs"/>
          <w:rtl/>
        </w:rPr>
      </w:pPr>
    </w:p>
    <w:p w14:paraId="7357FD09" w14:textId="77777777" w:rsidR="007871D4" w:rsidRDefault="007871D4">
      <w:pPr>
        <w:pStyle w:val="P00"/>
        <w:spacing w:before="72"/>
        <w:ind w:left="0" w:right="1134"/>
        <w:rPr>
          <w:rFonts w:hint="cs"/>
          <w:rtl/>
        </w:rPr>
      </w:pPr>
    </w:p>
    <w:sectPr w:rsidR="007871D4">
      <w:headerReference w:type="even" r:id="rId6"/>
      <w:headerReference w:type="default" r:id="rId7"/>
      <w:footerReference w:type="even" r:id="rId8"/>
      <w:footerReference w:type="default" r:id="rId9"/>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A8B0A" w14:textId="77777777" w:rsidR="00AE486F" w:rsidRDefault="00AE486F">
      <w:r>
        <w:separator/>
      </w:r>
    </w:p>
  </w:endnote>
  <w:endnote w:type="continuationSeparator" w:id="0">
    <w:p w14:paraId="35602C68" w14:textId="77777777" w:rsidR="00AE486F" w:rsidRDefault="00AE4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C0C057" w14:textId="77777777" w:rsidR="007871D4" w:rsidRDefault="007871D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Pr>
        <w:rFonts w:hAnsi="FrankRuehl"/>
        <w:sz w:val="24"/>
        <w:szCs w:val="24"/>
        <w:rtl/>
      </w:rPr>
      <w:t>1</w:t>
    </w:r>
    <w:r>
      <w:rPr>
        <w:rFonts w:hAnsi="FrankRuehl"/>
        <w:sz w:val="24"/>
        <w:szCs w:val="24"/>
        <w:rtl/>
      </w:rPr>
      <w:fldChar w:fldCharType="end"/>
    </w:r>
  </w:p>
  <w:p w14:paraId="1B9FADA3" w14:textId="77777777" w:rsidR="007871D4" w:rsidRDefault="007871D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57D50C7F" w14:textId="77777777" w:rsidR="007871D4" w:rsidRDefault="007871D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Z:\000000000000-law\yael\07-06-18\999_780.doc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7D1867" w14:textId="77777777" w:rsidR="007871D4" w:rsidRDefault="007871D4">
    <w:pPr>
      <w:pStyle w:val="a4"/>
      <w:ind w:left="0" w:right="1134"/>
      <w:jc w:val="center"/>
      <w:rPr>
        <w:rFonts w:hAnsi="FrankRuehl"/>
        <w:sz w:val="24"/>
        <w:szCs w:val="24"/>
        <w:rtl/>
      </w:rPr>
    </w:pPr>
    <w:r>
      <w:rPr>
        <w:rFonts w:hAnsi="FrankRuehl"/>
        <w:sz w:val="24"/>
        <w:szCs w:val="24"/>
        <w:rtl/>
      </w:rPr>
      <w:fldChar w:fldCharType="begin"/>
    </w:r>
    <w:r>
      <w:rPr>
        <w:rFonts w:hAnsi="FrankRuehl"/>
        <w:sz w:val="24"/>
        <w:szCs w:val="24"/>
        <w:rtl/>
      </w:rPr>
      <w:instrText xml:space="preserve"> </w:instrText>
    </w:r>
    <w:r>
      <w:rPr>
        <w:rFonts w:hAnsi="FrankRuehl"/>
        <w:sz w:val="24"/>
        <w:szCs w:val="24"/>
      </w:rPr>
      <w:instrText xml:space="preserve">PAGE </w:instrText>
    </w:r>
    <w:r>
      <w:rPr>
        <w:rFonts w:hAnsi="FrankRuehl"/>
        <w:sz w:val="24"/>
        <w:szCs w:val="24"/>
        <w:rtl/>
      </w:rPr>
      <w:instrText xml:space="preserve"> \* </w:instrText>
    </w:r>
    <w:r>
      <w:rPr>
        <w:rFonts w:hAnsi="FrankRuehl"/>
        <w:sz w:val="24"/>
        <w:szCs w:val="24"/>
      </w:rPr>
      <w:instrText>MERGEFORMAT</w:instrText>
    </w:r>
    <w:r>
      <w:rPr>
        <w:rFonts w:hAnsi="FrankRuehl"/>
        <w:sz w:val="24"/>
        <w:szCs w:val="24"/>
        <w:rtl/>
      </w:rPr>
      <w:instrText xml:space="preserve"> </w:instrText>
    </w:r>
    <w:r>
      <w:rPr>
        <w:rFonts w:hAnsi="FrankRuehl"/>
        <w:sz w:val="24"/>
        <w:szCs w:val="24"/>
        <w:rtl/>
      </w:rPr>
      <w:fldChar w:fldCharType="separate"/>
    </w:r>
    <w:r w:rsidR="007F3E47">
      <w:rPr>
        <w:rFonts w:hAnsi="FrankRuehl"/>
        <w:noProof/>
        <w:sz w:val="24"/>
        <w:szCs w:val="24"/>
        <w:rtl/>
      </w:rPr>
      <w:t>1</w:t>
    </w:r>
    <w:r>
      <w:rPr>
        <w:rFonts w:hAnsi="FrankRuehl"/>
        <w:sz w:val="24"/>
        <w:szCs w:val="24"/>
        <w:rtl/>
      </w:rPr>
      <w:fldChar w:fldCharType="end"/>
    </w:r>
  </w:p>
  <w:p w14:paraId="451E06F4" w14:textId="77777777" w:rsidR="007871D4" w:rsidRDefault="007871D4">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14:paraId="2BFD88D2" w14:textId="77777777" w:rsidR="007871D4" w:rsidRDefault="007871D4">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color w:val="000000"/>
        <w:sz w:val="14"/>
        <w:szCs w:val="14"/>
      </w:rPr>
      <w:t>Z:\000000000000-law\yael\07-06-18\999_780.doc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D8BC89" w14:textId="77777777" w:rsidR="00AE486F" w:rsidRDefault="00AE486F">
      <w:pPr>
        <w:spacing w:before="60" w:line="240" w:lineRule="auto"/>
        <w:ind w:right="1134"/>
      </w:pPr>
      <w:r>
        <w:separator/>
      </w:r>
    </w:p>
  </w:footnote>
  <w:footnote w:type="continuationSeparator" w:id="0">
    <w:p w14:paraId="51092FAB" w14:textId="77777777" w:rsidR="00AE486F" w:rsidRDefault="00AE486F">
      <w:r>
        <w:separator/>
      </w:r>
    </w:p>
  </w:footnote>
  <w:footnote w:id="1">
    <w:p w14:paraId="1154D3A1" w14:textId="77777777" w:rsidR="007871D4" w:rsidRDefault="007871D4">
      <w:pPr>
        <w:pStyle w:val="footnote"/>
        <w:tabs>
          <w:tab w:val="left" w:pos="624"/>
          <w:tab w:val="left" w:pos="1021"/>
          <w:tab w:val="left" w:pos="1474"/>
          <w:tab w:val="left" w:pos="1928"/>
          <w:tab w:val="left" w:pos="2381"/>
          <w:tab w:val="left" w:pos="2835"/>
          <w:tab w:val="right" w:leader="dot" w:pos="6259"/>
        </w:tabs>
        <w:spacing w:before="72"/>
        <w:ind w:left="0" w:right="1134"/>
        <w:rPr>
          <w:sz w:val="20"/>
          <w:rtl/>
        </w:rPr>
      </w:pPr>
      <w:r>
        <w:rPr>
          <w:sz w:val="20"/>
        </w:rPr>
        <w:t>*</w:t>
      </w:r>
      <w:r>
        <w:rPr>
          <w:rFonts w:hint="cs"/>
          <w:sz w:val="20"/>
          <w:rtl/>
        </w:rPr>
        <w:t xml:space="preserve"> פורסמו </w:t>
      </w:r>
      <w:hyperlink r:id="rId1" w:history="1">
        <w:r>
          <w:rPr>
            <w:rStyle w:val="Hyperlink"/>
            <w:rFonts w:hint="cs"/>
            <w:sz w:val="20"/>
            <w:rtl/>
          </w:rPr>
          <w:t>ק"ת תשס"ז מס' 6595</w:t>
        </w:r>
      </w:hyperlink>
      <w:r>
        <w:rPr>
          <w:rFonts w:hint="cs"/>
          <w:sz w:val="20"/>
          <w:rtl/>
        </w:rPr>
        <w:t xml:space="preserve"> מיום 17.6.2007 עמ' 966.</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D51CBF" w14:textId="77777777" w:rsidR="007871D4" w:rsidRDefault="007871D4">
    <w:pPr>
      <w:pStyle w:val="a3"/>
      <w:spacing w:line="220" w:lineRule="exact"/>
      <w:ind w:left="0" w:right="1134"/>
      <w:jc w:val="center"/>
      <w:rPr>
        <w:rFonts w:hAnsi="FrankRuehl"/>
        <w:color w:val="000000"/>
        <w:sz w:val="28"/>
        <w:szCs w:val="28"/>
        <w:rtl/>
      </w:rPr>
    </w:pPr>
    <w:r>
      <w:rPr>
        <w:rFonts w:hAnsi="FrankRuehl"/>
        <w:color w:val="000000"/>
        <w:sz w:val="28"/>
        <w:szCs w:val="28"/>
        <w:rtl/>
      </w:rPr>
      <w:t>תקנות התקשורת (בזק ושידורים) (תשלומים בעד שירותי בזק המפורטים בתוספת לחוק), תשס"ב- 2002</w:t>
    </w:r>
  </w:p>
  <w:p w14:paraId="75BCAC44" w14:textId="77777777" w:rsidR="007871D4" w:rsidRDefault="007871D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6229A795" w14:textId="77777777" w:rsidR="007871D4" w:rsidRDefault="007871D4">
    <w:pPr>
      <w:pStyle w:val="a3"/>
      <w:pBdr>
        <w:top w:val="single" w:sz="4" w:space="0" w:color="auto"/>
      </w:pBdr>
      <w:spacing w:line="220" w:lineRule="exact"/>
      <w:ind w:left="0" w:right="1134"/>
      <w:jc w:val="center"/>
      <w:rPr>
        <w:rFonts w:hAnsi="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C538CC" w14:textId="77777777" w:rsidR="007871D4" w:rsidRDefault="007871D4">
    <w:pPr>
      <w:pStyle w:val="a3"/>
      <w:spacing w:line="220" w:lineRule="exact"/>
      <w:ind w:left="0" w:right="1134"/>
      <w:jc w:val="center"/>
      <w:rPr>
        <w:rFonts w:hAnsi="FrankRuehl" w:hint="cs"/>
        <w:color w:val="000000"/>
        <w:sz w:val="28"/>
        <w:szCs w:val="28"/>
        <w:rtl/>
      </w:rPr>
    </w:pPr>
    <w:r>
      <w:rPr>
        <w:rFonts w:hAnsi="FrankRuehl" w:hint="cs"/>
        <w:color w:val="000000"/>
        <w:sz w:val="28"/>
        <w:szCs w:val="28"/>
        <w:rtl/>
      </w:rPr>
      <w:t>תקנות מס רכוש וקרן פיצויים (תשלום פיצויים) (נזק מלחמה ונזק עקיף) (הוראת שעה)</w:t>
    </w:r>
    <w:r>
      <w:rPr>
        <w:rFonts w:hAnsi="FrankRuehl"/>
        <w:color w:val="000000"/>
        <w:sz w:val="28"/>
        <w:szCs w:val="28"/>
        <w:rtl/>
      </w:rPr>
      <w:t>, תשס"</w:t>
    </w:r>
    <w:r>
      <w:rPr>
        <w:rFonts w:hAnsi="FrankRuehl" w:hint="cs"/>
        <w:color w:val="000000"/>
        <w:sz w:val="28"/>
        <w:szCs w:val="28"/>
        <w:rtl/>
      </w:rPr>
      <w:t>ז</w:t>
    </w:r>
    <w:r>
      <w:rPr>
        <w:rFonts w:hAnsi="FrankRuehl"/>
        <w:color w:val="000000"/>
        <w:sz w:val="28"/>
        <w:szCs w:val="28"/>
        <w:rtl/>
      </w:rPr>
      <w:t>-200</w:t>
    </w:r>
    <w:r>
      <w:rPr>
        <w:rFonts w:hAnsi="FrankRuehl" w:hint="cs"/>
        <w:color w:val="000000"/>
        <w:sz w:val="28"/>
        <w:szCs w:val="28"/>
        <w:rtl/>
      </w:rPr>
      <w:t>7</w:t>
    </w:r>
  </w:p>
  <w:p w14:paraId="49209DE2" w14:textId="77777777" w:rsidR="007871D4" w:rsidRDefault="007871D4">
    <w:pPr>
      <w:pStyle w:val="a3"/>
      <w:pBdr>
        <w:top w:val="single" w:sz="4" w:space="0" w:color="auto"/>
      </w:pBdr>
      <w:spacing w:line="220" w:lineRule="exact"/>
      <w:ind w:left="0" w:right="1134"/>
      <w:jc w:val="center"/>
      <w:rPr>
        <w:rFonts w:hAnsi="FrankRuehl"/>
        <w:color w:val="000000"/>
        <w:sz w:val="26"/>
        <w:szCs w:val="26"/>
        <w:rtl/>
      </w:rPr>
    </w:pPr>
    <w:r>
      <w:rPr>
        <w:rFonts w:hAnsi="FrankRuehl"/>
        <w:color w:val="000000"/>
        <w:sz w:val="26"/>
        <w:szCs w:val="26"/>
        <w:rtl/>
      </w:rPr>
      <w:t>נוסח מלא ומעודכן</w:t>
    </w:r>
  </w:p>
  <w:p w14:paraId="0355D4A7" w14:textId="77777777" w:rsidR="007871D4" w:rsidRDefault="007871D4">
    <w:pPr>
      <w:pStyle w:val="a3"/>
      <w:pBdr>
        <w:top w:val="single" w:sz="4" w:space="0" w:color="auto"/>
      </w:pBdr>
      <w:spacing w:line="220" w:lineRule="exact"/>
      <w:ind w:left="0" w:right="1134"/>
      <w:jc w:val="center"/>
      <w:rPr>
        <w:rFonts w:hAnsi="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871D4"/>
    <w:rsid w:val="000A6CD0"/>
    <w:rsid w:val="00437079"/>
    <w:rsid w:val="007871D4"/>
    <w:rsid w:val="007F3E47"/>
    <w:rsid w:val="00AE486F"/>
    <w:rsid w:val="00C03C74"/>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4:docId w14:val="6B0206A9"/>
  <w15:chartTrackingRefBased/>
  <w15:docId w15:val="{811A5C8F-3FC0-465A-A895-2D7384CEE0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basedOn w:val="a0"/>
    <w:rPr>
      <w:rFonts w:ascii="Times New Roman" w:hAnsi="Times New Roman" w:cs="Times New Roman"/>
      <w:sz w:val="20"/>
      <w:szCs w:val="26"/>
    </w:rPr>
  </w:style>
  <w:style w:type="character" w:customStyle="1" w:styleId="big-number">
    <w:name w:val="big-number"/>
    <w:basedOn w:val="default"/>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basedOn w:val="default"/>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basedOn w:val="a0"/>
    <w:rPr>
      <w:color w:val="0000FF"/>
      <w:u w:val="single"/>
    </w:rPr>
  </w:style>
  <w:style w:type="paragraph" w:styleId="a5">
    <w:name w:val="footnote text"/>
    <w:basedOn w:val="a"/>
    <w:semiHidden/>
    <w:rPr>
      <w:sz w:val="20"/>
      <w:szCs w:val="20"/>
    </w:rPr>
  </w:style>
  <w:style w:type="character" w:styleId="a6">
    <w:name w:val="footnote reference"/>
    <w:basedOn w:val="a0"/>
    <w:semiHidden/>
    <w:rPr>
      <w:vertAlign w:val="superscript"/>
    </w:rPr>
  </w:style>
  <w:style w:type="paragraph" w:styleId="a7">
    <w:name w:val="Body Text"/>
    <w:basedOn w:val="a"/>
    <w:rPr>
      <w:rFonts w:cs="Miriam"/>
      <w:sz w:val="18"/>
      <w:szCs w:val="18"/>
    </w:rPr>
  </w:style>
  <w:style w:type="character" w:styleId="FollowedHyperlink">
    <w:name w:val="FollowedHyperlink"/>
    <w:basedOn w:val="a0"/>
    <w:rPr>
      <w:color w:val="800080"/>
      <w:u w:val="single"/>
    </w:rPr>
  </w:style>
  <w:style w:type="paragraph" w:styleId="2">
    <w:name w:val="Body Text 2"/>
    <w:basedOn w:val="a"/>
  </w:style>
  <w:style w:type="paragraph" w:styleId="3">
    <w:name w:val="Body Text 3"/>
    <w:basedOn w:val="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footnotes.xml.rels><?xml version="1.0" encoding="UTF-8" standalone="yes"?>
<Relationships xmlns="http://schemas.openxmlformats.org/package/2006/relationships"><Relationship Id="rId1" Type="http://schemas.openxmlformats.org/officeDocument/2006/relationships/hyperlink" Target="http://www.nevo.co.il/Law_word/law06/TAK-6595.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319</Words>
  <Characters>1824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פרק 32</vt:lpstr>
    </vt:vector>
  </TitlesOfParts>
  <Company/>
  <LinksUpToDate>false</LinksUpToDate>
  <CharactersWithSpaces>2139</CharactersWithSpaces>
  <SharedDoc>false</SharedDoc>
  <HLinks>
    <vt:vector size="18" baseType="variant">
      <vt:variant>
        <vt:i4>196634</vt:i4>
      </vt:variant>
      <vt:variant>
        <vt:i4>9</vt:i4>
      </vt:variant>
      <vt:variant>
        <vt:i4>0</vt:i4>
      </vt:variant>
      <vt:variant>
        <vt:i4>5</vt:i4>
      </vt:variant>
      <vt:variant>
        <vt:lpwstr/>
      </vt:variant>
      <vt:variant>
        <vt:lpwstr>Seif1</vt:lpwstr>
      </vt:variant>
      <vt:variant>
        <vt:i4>196634</vt:i4>
      </vt:variant>
      <vt:variant>
        <vt:i4>3</vt:i4>
      </vt:variant>
      <vt:variant>
        <vt:i4>0</vt:i4>
      </vt:variant>
      <vt:variant>
        <vt:i4>5</vt:i4>
      </vt:variant>
      <vt:variant>
        <vt:lpwstr/>
      </vt:variant>
      <vt:variant>
        <vt:lpwstr>Seif0</vt:lpwstr>
      </vt:variant>
      <vt:variant>
        <vt:i4>7733256</vt:i4>
      </vt:variant>
      <vt:variant>
        <vt:i4>0</vt:i4>
      </vt:variant>
      <vt:variant>
        <vt:i4>0</vt:i4>
      </vt:variant>
      <vt:variant>
        <vt:i4>5</vt:i4>
      </vt:variant>
      <vt:variant>
        <vt:lpwstr>http://www.nevo.co.il/Law_word/law06/TAK-6595.pdf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פרק 32</dc:title>
  <dc:subject/>
  <dc:creator>eli</dc:creator>
  <cp:keywords/>
  <dc:description/>
  <cp:lastModifiedBy>Shimon Doodkin</cp:lastModifiedBy>
  <cp:revision>2</cp:revision>
  <dcterms:created xsi:type="dcterms:W3CDTF">2023-06-05T20:35:00Z</dcterms:created>
  <dcterms:modified xsi:type="dcterms:W3CDTF">2023-06-05T20:35:00Z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0999</vt:lpwstr>
  </property>
  <property fmtid="{D5CDD505-2E9C-101B-9397-08002B2CF9AE}" pid="3" name="CHNAME">
    <vt:lpwstr>מס רכוש</vt:lpwstr>
  </property>
  <property fmtid="{D5CDD505-2E9C-101B-9397-08002B2CF9AE}" pid="4" name="LAWNAME">
    <vt:lpwstr>תקנות מס רכוש וקרן פיצויים (תשלום פיצויים) (נזק מלחמה ונזק עקיף) (הוראת שעה), תשס"ז-2007</vt:lpwstr>
  </property>
  <property fmtid="{D5CDD505-2E9C-101B-9397-08002B2CF9AE}" pid="5" name="LAWNUMBER">
    <vt:lpwstr>0780</vt:lpwstr>
  </property>
  <property fmtid="{D5CDD505-2E9C-101B-9397-08002B2CF9AE}" pid="6" name="TYPE">
    <vt:lpwstr>01</vt:lpwstr>
  </property>
  <property fmtid="{D5CDD505-2E9C-101B-9397-08002B2CF9AE}" pid="7" name="LINKK4">
    <vt:lpwstr/>
  </property>
  <property fmtid="{D5CDD505-2E9C-101B-9397-08002B2CF9AE}" pid="8" name="LINKK5">
    <vt:lpwstr/>
  </property>
  <property fmtid="{D5CDD505-2E9C-101B-9397-08002B2CF9AE}" pid="9" name="LINKK6">
    <vt:lpwstr/>
  </property>
  <property fmtid="{D5CDD505-2E9C-101B-9397-08002B2CF9AE}" pid="10" name="LINKK7">
    <vt:lpwstr/>
  </property>
  <property fmtid="{D5CDD505-2E9C-101B-9397-08002B2CF9AE}" pid="11" name="LINKK8">
    <vt:lpwstr/>
  </property>
  <property fmtid="{D5CDD505-2E9C-101B-9397-08002B2CF9AE}" pid="12" name="LINKK9">
    <vt:lpwstr/>
  </property>
  <property fmtid="{D5CDD505-2E9C-101B-9397-08002B2CF9AE}" pid="13" name="LINKK10">
    <vt:lpwstr/>
  </property>
  <property fmtid="{D5CDD505-2E9C-101B-9397-08002B2CF9AE}" pid="14" name="LINKI1">
    <vt:lpwstr/>
  </property>
  <property fmtid="{D5CDD505-2E9C-101B-9397-08002B2CF9AE}" pid="15" name="LINKI2">
    <vt:lpwstr/>
  </property>
  <property fmtid="{D5CDD505-2E9C-101B-9397-08002B2CF9AE}" pid="16" name="LINKI3">
    <vt:lpwstr/>
  </property>
  <property fmtid="{D5CDD505-2E9C-101B-9397-08002B2CF9AE}" pid="17" name="LINKI4">
    <vt:lpwstr/>
  </property>
  <property fmtid="{D5CDD505-2E9C-101B-9397-08002B2CF9AE}" pid="18" name="LINKI5">
    <vt:lpwstr/>
  </property>
  <property fmtid="{D5CDD505-2E9C-101B-9397-08002B2CF9AE}" pid="19" name="LINKK1">
    <vt:lpwstr>http://www.nevo.co.il/Law_word/law06/TAK-6595.pdf;רשומות - תקנות כלליות#פורסמו ק"ת תשס"ז מס' 6595 #מיום 17.6.2007 עמ' 966</vt:lpwstr>
  </property>
  <property fmtid="{D5CDD505-2E9C-101B-9397-08002B2CF9AE}" pid="20" name="LINKK2">
    <vt:lpwstr/>
  </property>
  <property fmtid="{D5CDD505-2E9C-101B-9397-08002B2CF9AE}" pid="21" name="LINKK3">
    <vt:lpwstr/>
  </property>
  <property fmtid="{D5CDD505-2E9C-101B-9397-08002B2CF9AE}" pid="22" name="MEKOR_NAME1">
    <vt:lpwstr>חוק מס רכוש וקרן פיצויים</vt:lpwstr>
  </property>
  <property fmtid="{D5CDD505-2E9C-101B-9397-08002B2CF9AE}" pid="23" name="MEKOR_SAIF1">
    <vt:lpwstr>36XאX;65X</vt:lpwstr>
  </property>
  <property fmtid="{D5CDD505-2E9C-101B-9397-08002B2CF9AE}" pid="24" name="NOSE11">
    <vt:lpwstr>מסים</vt:lpwstr>
  </property>
  <property fmtid="{D5CDD505-2E9C-101B-9397-08002B2CF9AE}" pid="25" name="NOSE21">
    <vt:lpwstr>מס רכוש וקרן פיצויים</vt:lpwstr>
  </property>
  <property fmtid="{D5CDD505-2E9C-101B-9397-08002B2CF9AE}" pid="26" name="NOSE31">
    <vt:lpwstr>נזק</vt:lpwstr>
  </property>
  <property fmtid="{D5CDD505-2E9C-101B-9397-08002B2CF9AE}" pid="27" name="NOSE41">
    <vt:lpwstr>תשלום פיצויים</vt:lpwstr>
  </property>
  <property fmtid="{D5CDD505-2E9C-101B-9397-08002B2CF9AE}" pid="28" name="NOSE12">
    <vt:lpwstr/>
  </property>
  <property fmtid="{D5CDD505-2E9C-101B-9397-08002B2CF9AE}" pid="29" name="NOSE22">
    <vt:lpwstr/>
  </property>
  <property fmtid="{D5CDD505-2E9C-101B-9397-08002B2CF9AE}" pid="30" name="NOSE32">
    <vt:lpwstr/>
  </property>
  <property fmtid="{D5CDD505-2E9C-101B-9397-08002B2CF9AE}" pid="31" name="NOSE42">
    <vt:lpwstr/>
  </property>
  <property fmtid="{D5CDD505-2E9C-101B-9397-08002B2CF9AE}" pid="32" name="NOSE13">
    <vt:lpwstr/>
  </property>
  <property fmtid="{D5CDD505-2E9C-101B-9397-08002B2CF9AE}" pid="33" name="NOSE23">
    <vt:lpwstr/>
  </property>
  <property fmtid="{D5CDD505-2E9C-101B-9397-08002B2CF9AE}" pid="34" name="NOSE33">
    <vt:lpwstr/>
  </property>
  <property fmtid="{D5CDD505-2E9C-101B-9397-08002B2CF9AE}" pid="35" name="NOSE43">
    <vt:lpwstr/>
  </property>
  <property fmtid="{D5CDD505-2E9C-101B-9397-08002B2CF9AE}" pid="36" name="NOSE14">
    <vt:lpwstr/>
  </property>
  <property fmtid="{D5CDD505-2E9C-101B-9397-08002B2CF9AE}" pid="37" name="NOSE24">
    <vt:lpwstr/>
  </property>
  <property fmtid="{D5CDD505-2E9C-101B-9397-08002B2CF9AE}" pid="38" name="NOSE34">
    <vt:lpwstr/>
  </property>
  <property fmtid="{D5CDD505-2E9C-101B-9397-08002B2CF9AE}" pid="39" name="NOSE44">
    <vt:lpwstr/>
  </property>
  <property fmtid="{D5CDD505-2E9C-101B-9397-08002B2CF9AE}" pid="40" name="NOSE15">
    <vt:lpwstr/>
  </property>
  <property fmtid="{D5CDD505-2E9C-101B-9397-08002B2CF9AE}" pid="41" name="NOSE25">
    <vt:lpwstr/>
  </property>
  <property fmtid="{D5CDD505-2E9C-101B-9397-08002B2CF9AE}" pid="42" name="NOSE35">
    <vt:lpwstr/>
  </property>
  <property fmtid="{D5CDD505-2E9C-101B-9397-08002B2CF9AE}" pid="43" name="NOSE45">
    <vt:lpwstr/>
  </property>
  <property fmtid="{D5CDD505-2E9C-101B-9397-08002B2CF9AE}" pid="44" name="NOSE16">
    <vt:lpwstr/>
  </property>
  <property fmtid="{D5CDD505-2E9C-101B-9397-08002B2CF9AE}" pid="45" name="NOSE26">
    <vt:lpwstr/>
  </property>
  <property fmtid="{D5CDD505-2E9C-101B-9397-08002B2CF9AE}" pid="46" name="NOSE36">
    <vt:lpwstr/>
  </property>
  <property fmtid="{D5CDD505-2E9C-101B-9397-08002B2CF9AE}" pid="47" name="NOSE46">
    <vt:lpwstr/>
  </property>
  <property fmtid="{D5CDD505-2E9C-101B-9397-08002B2CF9AE}" pid="48" name="NOSE17">
    <vt:lpwstr/>
  </property>
  <property fmtid="{D5CDD505-2E9C-101B-9397-08002B2CF9AE}" pid="49" name="NOSE27">
    <vt:lpwstr/>
  </property>
  <property fmtid="{D5CDD505-2E9C-101B-9397-08002B2CF9AE}" pid="50" name="NOSE37">
    <vt:lpwstr/>
  </property>
  <property fmtid="{D5CDD505-2E9C-101B-9397-08002B2CF9AE}" pid="51" name="NOSE47">
    <vt:lpwstr/>
  </property>
  <property fmtid="{D5CDD505-2E9C-101B-9397-08002B2CF9AE}" pid="52" name="NOSE18">
    <vt:lpwstr/>
  </property>
  <property fmtid="{D5CDD505-2E9C-101B-9397-08002B2CF9AE}" pid="53" name="NOSE28">
    <vt:lpwstr/>
  </property>
  <property fmtid="{D5CDD505-2E9C-101B-9397-08002B2CF9AE}" pid="54" name="NOSE38">
    <vt:lpwstr/>
  </property>
  <property fmtid="{D5CDD505-2E9C-101B-9397-08002B2CF9AE}" pid="55" name="NOSE48">
    <vt:lpwstr/>
  </property>
  <property fmtid="{D5CDD505-2E9C-101B-9397-08002B2CF9AE}" pid="56" name="NOSE19">
    <vt:lpwstr/>
  </property>
  <property fmtid="{D5CDD505-2E9C-101B-9397-08002B2CF9AE}" pid="57" name="NOSE29">
    <vt:lpwstr/>
  </property>
  <property fmtid="{D5CDD505-2E9C-101B-9397-08002B2CF9AE}" pid="58" name="NOSE39">
    <vt:lpwstr/>
  </property>
  <property fmtid="{D5CDD505-2E9C-101B-9397-08002B2CF9AE}" pid="59" name="NOSE49">
    <vt:lpwstr/>
  </property>
  <property fmtid="{D5CDD505-2E9C-101B-9397-08002B2CF9AE}" pid="60" name="NOSE110">
    <vt:lpwstr/>
  </property>
  <property fmtid="{D5CDD505-2E9C-101B-9397-08002B2CF9AE}" pid="61" name="NOSE210">
    <vt:lpwstr/>
  </property>
  <property fmtid="{D5CDD505-2E9C-101B-9397-08002B2CF9AE}" pid="62" name="NOSE310">
    <vt:lpwstr/>
  </property>
  <property fmtid="{D5CDD505-2E9C-101B-9397-08002B2CF9AE}" pid="63" name="NOSE410">
    <vt:lpwstr/>
  </property>
</Properties>
</file>