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31763" w14:textId="77777777" w:rsidR="002D24EB" w:rsidRDefault="002D24EB" w:rsidP="00E23898">
      <w:pPr>
        <w:pStyle w:val="big-header"/>
        <w:ind w:left="0" w:right="1134"/>
        <w:rPr>
          <w:rFonts w:hint="cs"/>
          <w:rtl/>
        </w:rPr>
      </w:pPr>
      <w:r>
        <w:rPr>
          <w:rFonts w:hint="cs"/>
          <w:rtl/>
        </w:rPr>
        <w:t>תקנות מס רכוש וקרן פיצויים (תשלום פיצויים) (נזק מלחמה ונזק עקיף) (הוראת שעה)</w:t>
      </w:r>
      <w:r>
        <w:rPr>
          <w:rtl/>
        </w:rPr>
        <w:t xml:space="preserve">, </w:t>
      </w:r>
      <w:r w:rsidR="00E23898">
        <w:rPr>
          <w:rFonts w:hint="cs"/>
          <w:rtl/>
        </w:rPr>
        <w:t>תשע"ב-2012</w:t>
      </w:r>
    </w:p>
    <w:p w14:paraId="4F1518D1" w14:textId="77777777" w:rsidR="0039376D" w:rsidRPr="0039376D" w:rsidRDefault="0039376D" w:rsidP="0039376D">
      <w:pPr>
        <w:spacing w:line="320" w:lineRule="auto"/>
        <w:jc w:val="left"/>
        <w:rPr>
          <w:rFonts w:cs="FrankRuehl"/>
          <w:szCs w:val="26"/>
          <w:rtl/>
        </w:rPr>
      </w:pPr>
    </w:p>
    <w:p w14:paraId="7765DA78" w14:textId="77777777" w:rsidR="0039376D" w:rsidRDefault="0039376D" w:rsidP="0039376D">
      <w:pPr>
        <w:spacing w:line="320" w:lineRule="auto"/>
        <w:jc w:val="left"/>
        <w:rPr>
          <w:rtl/>
        </w:rPr>
      </w:pPr>
    </w:p>
    <w:p w14:paraId="197B37EA" w14:textId="77777777" w:rsidR="0039376D" w:rsidRDefault="0039376D" w:rsidP="0039376D">
      <w:pPr>
        <w:spacing w:line="320" w:lineRule="auto"/>
        <w:jc w:val="left"/>
        <w:rPr>
          <w:rFonts w:cs="FrankRuehl"/>
          <w:szCs w:val="26"/>
          <w:rtl/>
        </w:rPr>
      </w:pPr>
      <w:r w:rsidRPr="0039376D">
        <w:rPr>
          <w:rFonts w:cs="Miriam"/>
          <w:szCs w:val="22"/>
          <w:rtl/>
        </w:rPr>
        <w:t>מסים</w:t>
      </w:r>
      <w:r w:rsidRPr="0039376D">
        <w:rPr>
          <w:rFonts w:cs="FrankRuehl"/>
          <w:szCs w:val="26"/>
          <w:rtl/>
        </w:rPr>
        <w:t xml:space="preserve"> – מס רכוש וקרן פיצויים – נזק – תשלום פיצויים</w:t>
      </w:r>
    </w:p>
    <w:p w14:paraId="271CCB79" w14:textId="77777777" w:rsidR="009B3501" w:rsidRPr="0039376D" w:rsidRDefault="0039376D" w:rsidP="0039376D">
      <w:pPr>
        <w:spacing w:line="320" w:lineRule="auto"/>
        <w:jc w:val="left"/>
        <w:rPr>
          <w:rFonts w:cs="Miriam"/>
          <w:szCs w:val="22"/>
          <w:rtl/>
        </w:rPr>
      </w:pPr>
      <w:r w:rsidRPr="0039376D">
        <w:rPr>
          <w:rFonts w:cs="Miriam"/>
          <w:szCs w:val="22"/>
          <w:rtl/>
        </w:rPr>
        <w:t>בטחון</w:t>
      </w:r>
      <w:r w:rsidRPr="0039376D">
        <w:rPr>
          <w:rFonts w:cs="FrankRuehl"/>
          <w:szCs w:val="26"/>
          <w:rtl/>
        </w:rPr>
        <w:t xml:space="preserve"> – נזק מלחמה ונזק עקיף – תשלום פיצויים</w:t>
      </w:r>
    </w:p>
    <w:p w14:paraId="16B6B508" w14:textId="77777777" w:rsidR="009B3501" w:rsidRDefault="009B3501" w:rsidP="009B3501">
      <w:pPr>
        <w:spacing w:line="320" w:lineRule="auto"/>
        <w:jc w:val="left"/>
        <w:rPr>
          <w:rtl/>
        </w:rPr>
      </w:pPr>
    </w:p>
    <w:p w14:paraId="7A4B9FBC" w14:textId="77777777" w:rsidR="002D24EB" w:rsidRDefault="002D24EB">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53AE3" w:rsidRPr="00753AE3" w14:paraId="722F3A46" w14:textId="77777777">
        <w:tblPrEx>
          <w:tblCellMar>
            <w:top w:w="0" w:type="dxa"/>
            <w:bottom w:w="0" w:type="dxa"/>
          </w:tblCellMar>
        </w:tblPrEx>
        <w:tc>
          <w:tcPr>
            <w:tcW w:w="1247" w:type="dxa"/>
          </w:tcPr>
          <w:p w14:paraId="423BF977" w14:textId="77777777" w:rsidR="00753AE3" w:rsidRPr="00753AE3" w:rsidRDefault="00753AE3" w:rsidP="00753AE3">
            <w:pPr>
              <w:spacing w:line="240" w:lineRule="auto"/>
              <w:jc w:val="left"/>
              <w:rPr>
                <w:rFonts w:cs="Frankruhel" w:hint="cs"/>
                <w:sz w:val="24"/>
                <w:rtl/>
              </w:rPr>
            </w:pPr>
            <w:r>
              <w:rPr>
                <w:rFonts w:cs="Times New Roman"/>
                <w:sz w:val="24"/>
                <w:rtl/>
              </w:rPr>
              <w:t xml:space="preserve">סעיף 1 </w:t>
            </w:r>
          </w:p>
        </w:tc>
        <w:tc>
          <w:tcPr>
            <w:tcW w:w="5669" w:type="dxa"/>
          </w:tcPr>
          <w:p w14:paraId="11DE21FA" w14:textId="77777777" w:rsidR="00753AE3" w:rsidRPr="00753AE3" w:rsidRDefault="00753AE3" w:rsidP="00753AE3">
            <w:pPr>
              <w:spacing w:line="240" w:lineRule="auto"/>
              <w:jc w:val="left"/>
              <w:rPr>
                <w:rFonts w:cs="Frankruhel" w:hint="cs"/>
                <w:sz w:val="24"/>
                <w:rtl/>
              </w:rPr>
            </w:pPr>
            <w:r>
              <w:rPr>
                <w:rFonts w:cs="Times New Roman"/>
                <w:sz w:val="24"/>
                <w:rtl/>
              </w:rPr>
              <w:t>הוראת שעה</w:t>
            </w:r>
          </w:p>
        </w:tc>
        <w:tc>
          <w:tcPr>
            <w:tcW w:w="567" w:type="dxa"/>
          </w:tcPr>
          <w:p w14:paraId="11CA1BD6" w14:textId="77777777" w:rsidR="00753AE3" w:rsidRPr="00753AE3" w:rsidRDefault="00753AE3" w:rsidP="00753AE3">
            <w:pPr>
              <w:spacing w:line="240" w:lineRule="auto"/>
              <w:jc w:val="left"/>
              <w:rPr>
                <w:rStyle w:val="Hyperlink"/>
                <w:rFonts w:hint="cs"/>
                <w:rtl/>
              </w:rPr>
            </w:pPr>
            <w:hyperlink w:anchor="Seif1" w:tooltip="הוראת שעה" w:history="1">
              <w:r w:rsidRPr="00753AE3">
                <w:rPr>
                  <w:rStyle w:val="Hyperlink"/>
                </w:rPr>
                <w:t>Go</w:t>
              </w:r>
            </w:hyperlink>
          </w:p>
        </w:tc>
        <w:tc>
          <w:tcPr>
            <w:tcW w:w="850" w:type="dxa"/>
          </w:tcPr>
          <w:p w14:paraId="119A9412" w14:textId="77777777" w:rsidR="00753AE3" w:rsidRPr="00753AE3" w:rsidRDefault="00753AE3" w:rsidP="00753AE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53AE3" w:rsidRPr="00753AE3" w14:paraId="2A93D19C" w14:textId="77777777">
        <w:tblPrEx>
          <w:tblCellMar>
            <w:top w:w="0" w:type="dxa"/>
            <w:bottom w:w="0" w:type="dxa"/>
          </w:tblCellMar>
        </w:tblPrEx>
        <w:tc>
          <w:tcPr>
            <w:tcW w:w="1247" w:type="dxa"/>
          </w:tcPr>
          <w:p w14:paraId="18DB7110" w14:textId="77777777" w:rsidR="00753AE3" w:rsidRPr="00753AE3" w:rsidRDefault="00753AE3" w:rsidP="00753AE3">
            <w:pPr>
              <w:spacing w:line="240" w:lineRule="auto"/>
              <w:jc w:val="left"/>
              <w:rPr>
                <w:rFonts w:cs="Frankruhel" w:hint="cs"/>
                <w:sz w:val="24"/>
                <w:rtl/>
              </w:rPr>
            </w:pPr>
            <w:r>
              <w:rPr>
                <w:rFonts w:cs="Times New Roman"/>
                <w:sz w:val="24"/>
                <w:rtl/>
              </w:rPr>
              <w:t xml:space="preserve">סעיף 2 </w:t>
            </w:r>
          </w:p>
        </w:tc>
        <w:tc>
          <w:tcPr>
            <w:tcW w:w="5669" w:type="dxa"/>
          </w:tcPr>
          <w:p w14:paraId="358D405D" w14:textId="77777777" w:rsidR="00753AE3" w:rsidRPr="00753AE3" w:rsidRDefault="00753AE3" w:rsidP="00753AE3">
            <w:pPr>
              <w:spacing w:line="240" w:lineRule="auto"/>
              <w:jc w:val="left"/>
              <w:rPr>
                <w:rFonts w:cs="Frankruhel" w:hint="cs"/>
                <w:sz w:val="24"/>
                <w:rtl/>
              </w:rPr>
            </w:pPr>
            <w:r>
              <w:rPr>
                <w:rFonts w:cs="Times New Roman"/>
                <w:sz w:val="24"/>
                <w:rtl/>
              </w:rPr>
              <w:t>תחולה</w:t>
            </w:r>
          </w:p>
        </w:tc>
        <w:tc>
          <w:tcPr>
            <w:tcW w:w="567" w:type="dxa"/>
          </w:tcPr>
          <w:p w14:paraId="06EB098E" w14:textId="77777777" w:rsidR="00753AE3" w:rsidRPr="00753AE3" w:rsidRDefault="00753AE3" w:rsidP="00753AE3">
            <w:pPr>
              <w:spacing w:line="240" w:lineRule="auto"/>
              <w:jc w:val="left"/>
              <w:rPr>
                <w:rStyle w:val="Hyperlink"/>
                <w:rFonts w:hint="cs"/>
                <w:rtl/>
              </w:rPr>
            </w:pPr>
            <w:hyperlink w:anchor="Seif2" w:tooltip="תחולה" w:history="1">
              <w:r w:rsidRPr="00753AE3">
                <w:rPr>
                  <w:rStyle w:val="Hyperlink"/>
                </w:rPr>
                <w:t>Go</w:t>
              </w:r>
            </w:hyperlink>
          </w:p>
        </w:tc>
        <w:tc>
          <w:tcPr>
            <w:tcW w:w="850" w:type="dxa"/>
          </w:tcPr>
          <w:p w14:paraId="01DA30EE" w14:textId="77777777" w:rsidR="00753AE3" w:rsidRPr="00753AE3" w:rsidRDefault="00753AE3" w:rsidP="00753AE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53AE3" w:rsidRPr="00753AE3" w14:paraId="0CA4D8DC" w14:textId="77777777">
        <w:tblPrEx>
          <w:tblCellMar>
            <w:top w:w="0" w:type="dxa"/>
            <w:bottom w:w="0" w:type="dxa"/>
          </w:tblCellMar>
        </w:tblPrEx>
        <w:tc>
          <w:tcPr>
            <w:tcW w:w="1247" w:type="dxa"/>
          </w:tcPr>
          <w:p w14:paraId="03DD1B87" w14:textId="77777777" w:rsidR="00753AE3" w:rsidRPr="00753AE3" w:rsidRDefault="00753AE3" w:rsidP="00753AE3">
            <w:pPr>
              <w:spacing w:line="240" w:lineRule="auto"/>
              <w:jc w:val="left"/>
              <w:rPr>
                <w:rFonts w:cs="Frankruhel" w:hint="cs"/>
                <w:sz w:val="24"/>
                <w:rtl/>
              </w:rPr>
            </w:pPr>
            <w:r>
              <w:rPr>
                <w:rFonts w:cs="Times New Roman"/>
                <w:sz w:val="24"/>
                <w:rtl/>
              </w:rPr>
              <w:t xml:space="preserve">סעיף 3 </w:t>
            </w:r>
          </w:p>
        </w:tc>
        <w:tc>
          <w:tcPr>
            <w:tcW w:w="5669" w:type="dxa"/>
          </w:tcPr>
          <w:p w14:paraId="5475C9F5" w14:textId="77777777" w:rsidR="00753AE3" w:rsidRPr="00753AE3" w:rsidRDefault="00753AE3" w:rsidP="00753AE3">
            <w:pPr>
              <w:spacing w:line="240" w:lineRule="auto"/>
              <w:jc w:val="left"/>
              <w:rPr>
                <w:rFonts w:cs="Frankruhel" w:hint="cs"/>
                <w:sz w:val="24"/>
                <w:rtl/>
              </w:rPr>
            </w:pPr>
            <w:r>
              <w:rPr>
                <w:rFonts w:cs="Times New Roman"/>
                <w:sz w:val="24"/>
                <w:rtl/>
              </w:rPr>
              <w:t>שמירת דינים</w:t>
            </w:r>
          </w:p>
        </w:tc>
        <w:tc>
          <w:tcPr>
            <w:tcW w:w="567" w:type="dxa"/>
          </w:tcPr>
          <w:p w14:paraId="45D19385" w14:textId="77777777" w:rsidR="00753AE3" w:rsidRPr="00753AE3" w:rsidRDefault="00753AE3" w:rsidP="00753AE3">
            <w:pPr>
              <w:spacing w:line="240" w:lineRule="auto"/>
              <w:jc w:val="left"/>
              <w:rPr>
                <w:rStyle w:val="Hyperlink"/>
                <w:rFonts w:hint="cs"/>
                <w:rtl/>
              </w:rPr>
            </w:pPr>
            <w:hyperlink w:anchor="Seif3" w:tooltip="שמירת דינים" w:history="1">
              <w:r w:rsidRPr="00753AE3">
                <w:rPr>
                  <w:rStyle w:val="Hyperlink"/>
                </w:rPr>
                <w:t>Go</w:t>
              </w:r>
            </w:hyperlink>
          </w:p>
        </w:tc>
        <w:tc>
          <w:tcPr>
            <w:tcW w:w="850" w:type="dxa"/>
          </w:tcPr>
          <w:p w14:paraId="14153527" w14:textId="77777777" w:rsidR="00753AE3" w:rsidRPr="00753AE3" w:rsidRDefault="00753AE3" w:rsidP="00753AE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14:paraId="2B203289" w14:textId="77777777" w:rsidR="002D24EB" w:rsidRDefault="002D24EB">
      <w:pPr>
        <w:pStyle w:val="big-header"/>
        <w:ind w:left="0" w:right="1134"/>
        <w:rPr>
          <w:rFonts w:hint="cs"/>
          <w:rtl/>
        </w:rPr>
      </w:pPr>
    </w:p>
    <w:p w14:paraId="0D3F779B" w14:textId="77777777" w:rsidR="002D24EB" w:rsidRDefault="002D24EB" w:rsidP="00E23898">
      <w:pPr>
        <w:pStyle w:val="big-header"/>
        <w:ind w:left="0" w:right="1134"/>
        <w:rPr>
          <w:rFonts w:hint="cs"/>
          <w:rtl/>
        </w:rPr>
      </w:pPr>
      <w:r>
        <w:rPr>
          <w:rtl/>
        </w:rPr>
        <w:br w:type="page"/>
      </w:r>
      <w:r>
        <w:rPr>
          <w:rFonts w:hint="cs"/>
          <w:rtl/>
        </w:rPr>
        <w:lastRenderedPageBreak/>
        <w:t>תקנות מס רכוש וקרן פיצויים (תשלום פיצויים) (נזק מלחמה ונזק עקיף) (הוראת שעה)</w:t>
      </w:r>
      <w:r>
        <w:rPr>
          <w:rtl/>
        </w:rPr>
        <w:t xml:space="preserve">, </w:t>
      </w:r>
      <w:r w:rsidR="00E23898">
        <w:rPr>
          <w:rFonts w:hint="cs"/>
          <w:rtl/>
        </w:rPr>
        <w:t>תשע"ב-2012</w:t>
      </w:r>
      <w:r>
        <w:rPr>
          <w:rStyle w:val="default"/>
          <w:sz w:val="22"/>
          <w:szCs w:val="22"/>
          <w:rtl/>
        </w:rPr>
        <w:footnoteReference w:customMarkFollows="1" w:id="1"/>
        <w:t>*</w:t>
      </w:r>
    </w:p>
    <w:p w14:paraId="56DC33DF" w14:textId="77777777" w:rsidR="002D24EB" w:rsidRDefault="002D24EB">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35, 36(א) ו-65 לחוק מס רכוש וקרן פיצויים, התשכ"א-1961 (להלן </w:t>
      </w:r>
      <w:r>
        <w:rPr>
          <w:rStyle w:val="default"/>
          <w:rFonts w:cs="FrankRuehl"/>
          <w:rtl/>
        </w:rPr>
        <w:t>–</w:t>
      </w:r>
      <w:r>
        <w:rPr>
          <w:rStyle w:val="default"/>
          <w:rFonts w:cs="FrankRuehl" w:hint="cs"/>
          <w:rtl/>
        </w:rPr>
        <w:t xml:space="preserve"> החוק), ובאישור ועדת הכספים של הכנסת, אני מתקין תקנות אלה:</w:t>
      </w:r>
    </w:p>
    <w:p w14:paraId="58BEE58D" w14:textId="77777777" w:rsidR="002D24EB" w:rsidRDefault="002D24EB" w:rsidP="00E23898">
      <w:pPr>
        <w:pStyle w:val="P00"/>
        <w:spacing w:before="72"/>
        <w:ind w:left="0" w:right="1134"/>
        <w:rPr>
          <w:rStyle w:val="default"/>
          <w:rFonts w:cs="FrankRuehl" w:hint="cs"/>
          <w:rtl/>
        </w:rPr>
      </w:pPr>
      <w:bookmarkStart w:id="0" w:name="Seif1"/>
      <w:bookmarkEnd w:id="0"/>
      <w:r>
        <w:rPr>
          <w:lang w:val="he-IL"/>
        </w:rPr>
        <w:pict w14:anchorId="6048EA25">
          <v:rect id="_x0000_s1026" style="position:absolute;left:0;text-align:left;margin-left:464.5pt;margin-top:8.05pt;width:75.05pt;height:12pt;z-index:251656704" o:allowincell="f" filled="f" stroked="f" strokecolor="lime" strokeweight=".25pt">
            <v:textbox style="mso-next-textbox:#_x0000_s1026" inset="0,0,0,0">
              <w:txbxContent>
                <w:p w14:paraId="53535E6D" w14:textId="77777777" w:rsidR="004F01ED" w:rsidRDefault="004F01ED">
                  <w:pPr>
                    <w:spacing w:line="160" w:lineRule="exact"/>
                    <w:jc w:val="left"/>
                    <w:rPr>
                      <w:rFonts w:cs="Miriam" w:hint="cs"/>
                      <w:noProof/>
                      <w:szCs w:val="18"/>
                      <w:rtl/>
                    </w:rPr>
                  </w:pPr>
                  <w:r>
                    <w:rPr>
                      <w:rFonts w:cs="Miriam" w:hint="cs"/>
                      <w:szCs w:val="18"/>
                      <w:rtl/>
                    </w:rPr>
                    <w:t>הוראת שעה</w:t>
                  </w:r>
                </w:p>
              </w:txbxContent>
            </v:textbox>
            <w10:anchorlock/>
          </v:rect>
        </w:pict>
      </w:r>
      <w:r>
        <w:rPr>
          <w:rStyle w:val="big-number"/>
          <w:rtl/>
        </w:rPr>
        <w:t>1.</w:t>
      </w:r>
      <w:r>
        <w:rPr>
          <w:rStyle w:val="big-number"/>
          <w:rtl/>
        </w:rPr>
        <w:tab/>
      </w:r>
      <w:r>
        <w:rPr>
          <w:rStyle w:val="default"/>
          <w:rFonts w:cs="FrankRuehl" w:hint="cs"/>
          <w:rtl/>
        </w:rPr>
        <w:t xml:space="preserve">לעניין נזק באזור </w:t>
      </w:r>
      <w:r w:rsidR="00E23898">
        <w:rPr>
          <w:rStyle w:val="default"/>
          <w:rFonts w:cs="FrankRuehl" w:hint="cs"/>
          <w:rtl/>
        </w:rPr>
        <w:t>זכאי</w:t>
      </w:r>
      <w:r>
        <w:rPr>
          <w:rStyle w:val="default"/>
          <w:rFonts w:cs="FrankRuehl" w:hint="cs"/>
          <w:rtl/>
        </w:rPr>
        <w:t xml:space="preserve"> שאירע בתקופה שמיום </w:t>
      </w:r>
      <w:r w:rsidR="00E23898">
        <w:rPr>
          <w:rStyle w:val="default"/>
          <w:rFonts w:cs="FrankRuehl" w:hint="cs"/>
          <w:rtl/>
        </w:rPr>
        <w:t>י"ז באדר התשע"ב (11 במרס 2012</w:t>
      </w:r>
      <w:r>
        <w:rPr>
          <w:rStyle w:val="default"/>
          <w:rFonts w:cs="FrankRuehl" w:hint="cs"/>
          <w:rtl/>
        </w:rPr>
        <w:t xml:space="preserve">) עד יום </w:t>
      </w:r>
      <w:r w:rsidR="00E23898">
        <w:rPr>
          <w:rStyle w:val="default"/>
          <w:rFonts w:cs="FrankRuehl" w:hint="cs"/>
          <w:rtl/>
        </w:rPr>
        <w:t>כ"א באדר התשע"ב (15 במרס 2012</w:t>
      </w:r>
      <w:r>
        <w:rPr>
          <w:rStyle w:val="default"/>
          <w:rFonts w:cs="FrankRuehl" w:hint="cs"/>
          <w:rtl/>
        </w:rPr>
        <w:t xml:space="preserve">), יראו כאילו בתקנות מס רכוש וקרן פיצויים (תשלום פיצויים) (נזק מלחמה ונזק עקיף), התשל"ג-1973 (להלן </w:t>
      </w:r>
      <w:r>
        <w:rPr>
          <w:rStyle w:val="default"/>
          <w:rFonts w:cs="FrankRuehl"/>
          <w:rtl/>
        </w:rPr>
        <w:t>–</w:t>
      </w:r>
      <w:r>
        <w:rPr>
          <w:rStyle w:val="default"/>
          <w:rFonts w:cs="FrankRuehl" w:hint="cs"/>
          <w:rtl/>
        </w:rPr>
        <w:t xml:space="preserve"> התקנות העיקריות) </w:t>
      </w:r>
      <w:r>
        <w:rPr>
          <w:rStyle w:val="default"/>
          <w:rFonts w:cs="FrankRuehl"/>
          <w:rtl/>
        </w:rPr>
        <w:t>–</w:t>
      </w:r>
    </w:p>
    <w:p w14:paraId="2E792F83" w14:textId="77777777" w:rsidR="002D24EB" w:rsidRDefault="002D24E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בתקנה 1 </w:t>
      </w:r>
      <w:r>
        <w:rPr>
          <w:rStyle w:val="default"/>
          <w:rFonts w:cs="FrankRuehl"/>
          <w:rtl/>
        </w:rPr>
        <w:t>–</w:t>
      </w:r>
    </w:p>
    <w:p w14:paraId="7A206D88" w14:textId="77777777" w:rsidR="002D24EB" w:rsidRDefault="002D24E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במקום ההגדרה "שווי של נזק עקיף" נאמר:</w:t>
      </w:r>
    </w:p>
    <w:p w14:paraId="4916FC68" w14:textId="77777777" w:rsidR="002D24EB" w:rsidRDefault="002D24EB" w:rsidP="00E23898">
      <w:pPr>
        <w:pStyle w:val="P00"/>
        <w:spacing w:before="72"/>
        <w:ind w:left="1474" w:right="1134"/>
        <w:rPr>
          <w:rStyle w:val="default"/>
          <w:rFonts w:cs="FrankRuehl" w:hint="cs"/>
          <w:rtl/>
        </w:rPr>
      </w:pPr>
      <w:r>
        <w:rPr>
          <w:rStyle w:val="default"/>
          <w:rFonts w:cs="FrankRuehl" w:hint="cs"/>
          <w:rtl/>
        </w:rPr>
        <w:t xml:space="preserve">""אזור </w:t>
      </w:r>
      <w:r w:rsidR="00E23898">
        <w:rPr>
          <w:rStyle w:val="default"/>
          <w:rFonts w:cs="FrankRuehl" w:hint="cs"/>
          <w:rtl/>
        </w:rPr>
        <w:t>זכאי</w:t>
      </w:r>
      <w:r w:rsidR="0077742C">
        <w:rPr>
          <w:rStyle w:val="default"/>
          <w:rFonts w:cs="FrankRuehl" w:hint="cs"/>
          <w:rtl/>
        </w:rPr>
        <w:t xml:space="preserve">" </w:t>
      </w:r>
      <w:r w:rsidR="0077742C">
        <w:rPr>
          <w:rStyle w:val="default"/>
          <w:rFonts w:cs="FrankRuehl"/>
          <w:rtl/>
        </w:rPr>
        <w:t>–</w:t>
      </w:r>
      <w:r w:rsidR="0077742C">
        <w:rPr>
          <w:rStyle w:val="default"/>
          <w:rFonts w:cs="FrankRuehl" w:hint="cs"/>
          <w:rtl/>
        </w:rPr>
        <w:t xml:space="preserve"> </w:t>
      </w:r>
      <w:r w:rsidR="00E23898">
        <w:rPr>
          <w:rStyle w:val="default"/>
          <w:rFonts w:cs="FrankRuehl" w:hint="cs"/>
          <w:rtl/>
        </w:rPr>
        <w:t>היישובים השוכנים בין 7 ו-40 קילומטרים מגדר המערכת המקיפה את רצועת עזה, המוכרזים בזה יישובי</w:t>
      </w:r>
      <w:r w:rsidR="0077742C">
        <w:rPr>
          <w:rStyle w:val="default"/>
          <w:rFonts w:cs="FrankRuehl" w:hint="cs"/>
          <w:rtl/>
        </w:rPr>
        <w:t xml:space="preserve"> ספר מיום </w:t>
      </w:r>
      <w:r w:rsidR="00E23898">
        <w:rPr>
          <w:rStyle w:val="default"/>
          <w:rFonts w:cs="FrankRuehl" w:hint="cs"/>
          <w:rtl/>
        </w:rPr>
        <w:t>י"ז באדר התשע"ב (11 במרס 2012</w:t>
      </w:r>
      <w:r w:rsidR="0077742C">
        <w:rPr>
          <w:rStyle w:val="default"/>
          <w:rFonts w:cs="FrankRuehl" w:hint="cs"/>
          <w:rtl/>
        </w:rPr>
        <w:t xml:space="preserve">) עד יום </w:t>
      </w:r>
      <w:r w:rsidR="00E23898">
        <w:rPr>
          <w:rStyle w:val="default"/>
          <w:rFonts w:cs="FrankRuehl" w:hint="cs"/>
          <w:rtl/>
        </w:rPr>
        <w:t>כ"א באדר התשע"ב (15 במרס 2012</w:t>
      </w:r>
      <w:r w:rsidR="0077742C">
        <w:rPr>
          <w:rStyle w:val="default"/>
          <w:rFonts w:cs="FrankRuehl" w:hint="cs"/>
          <w:rtl/>
        </w:rPr>
        <w:t xml:space="preserve">) (להלן </w:t>
      </w:r>
      <w:r w:rsidR="0077742C">
        <w:rPr>
          <w:rStyle w:val="default"/>
          <w:rFonts w:cs="FrankRuehl"/>
          <w:rtl/>
        </w:rPr>
        <w:t>–</w:t>
      </w:r>
      <w:r w:rsidR="0077742C">
        <w:rPr>
          <w:rStyle w:val="default"/>
          <w:rFonts w:cs="FrankRuehl" w:hint="cs"/>
          <w:rtl/>
        </w:rPr>
        <w:t xml:space="preserve"> תקופת ההכרזה)</w:t>
      </w:r>
      <w:r>
        <w:rPr>
          <w:rStyle w:val="default"/>
          <w:rFonts w:cs="FrankRuehl" w:hint="cs"/>
          <w:rtl/>
        </w:rPr>
        <w:t>;</w:t>
      </w:r>
    </w:p>
    <w:p w14:paraId="11DE0151" w14:textId="77777777" w:rsidR="002D24EB" w:rsidRDefault="002D24EB" w:rsidP="00E23898">
      <w:pPr>
        <w:pStyle w:val="P00"/>
        <w:spacing w:before="72"/>
        <w:ind w:left="1474" w:right="1134"/>
        <w:rPr>
          <w:rStyle w:val="default"/>
          <w:rFonts w:cs="FrankRuehl" w:hint="cs"/>
          <w:rtl/>
        </w:rPr>
      </w:pPr>
      <w:r>
        <w:rPr>
          <w:rStyle w:val="default"/>
          <w:rFonts w:cs="FrankRuehl" w:hint="cs"/>
          <w:rtl/>
        </w:rPr>
        <w:t>"</w:t>
      </w:r>
      <w:r w:rsidR="00E23898">
        <w:rPr>
          <w:rStyle w:val="default"/>
          <w:rFonts w:cs="FrankRuehl" w:hint="cs"/>
          <w:rtl/>
        </w:rPr>
        <w:t xml:space="preserve">הוראה על סגירת מוסד חינוך" </w:t>
      </w:r>
      <w:r w:rsidR="00E23898">
        <w:rPr>
          <w:rStyle w:val="default"/>
          <w:rFonts w:cs="FrankRuehl"/>
          <w:rtl/>
        </w:rPr>
        <w:t>–</w:t>
      </w:r>
      <w:r w:rsidR="00E23898">
        <w:rPr>
          <w:rStyle w:val="default"/>
          <w:rFonts w:cs="FrankRuehl" w:hint="cs"/>
          <w:rtl/>
        </w:rPr>
        <w:t xml:space="preserve"> הוראה של שירות ההתגוננות האזרחית על סגירת מוסד חינוך ברשות מקומית באזור זכאי, המנויה בתוספת השנייה, שניתנה בין התאריכים י"ז באדר התשע"ב (11 במרס 2012) וי"ט באדר התשע"ב (13 במרס 2012), במועדים הנקובים בתוספת, או הוראה כאמור שניתנה בין התאריכים כ' באדר התשע"ב (14 במרס 2012) וכ"א באדר התשע"ב (15 במרס 2012), על ידי רשות מקומית באזור זכאי המנויה בתוספת השלישית, במועדים הנקובים בתוספת</w:t>
      </w:r>
      <w:r>
        <w:rPr>
          <w:rStyle w:val="default"/>
          <w:rFonts w:cs="FrankRuehl" w:hint="cs"/>
          <w:rtl/>
        </w:rPr>
        <w:t>;</w:t>
      </w:r>
    </w:p>
    <w:p w14:paraId="0CE54A9C" w14:textId="77777777" w:rsidR="0077742C" w:rsidRDefault="0077742C" w:rsidP="0077742C">
      <w:pPr>
        <w:pStyle w:val="P00"/>
        <w:spacing w:before="72"/>
        <w:ind w:left="1474" w:right="1134"/>
        <w:rPr>
          <w:rStyle w:val="default"/>
          <w:rFonts w:cs="FrankRuehl" w:hint="cs"/>
          <w:rtl/>
        </w:rPr>
      </w:pPr>
      <w:r>
        <w:rPr>
          <w:rStyle w:val="default"/>
          <w:rFonts w:cs="FrankRuehl" w:hint="cs"/>
          <w:rtl/>
        </w:rPr>
        <w:t xml:space="preserve">"מוסד ציבורי זכאי" </w:t>
      </w:r>
      <w:r>
        <w:rPr>
          <w:rStyle w:val="default"/>
          <w:rFonts w:cs="FrankRuehl"/>
          <w:rtl/>
        </w:rPr>
        <w:t>–</w:t>
      </w:r>
      <w:r>
        <w:rPr>
          <w:rStyle w:val="default"/>
          <w:rFonts w:cs="FrankRuehl" w:hint="cs"/>
          <w:rtl/>
        </w:rPr>
        <w:t xml:space="preserve"> מוסד ציבורי כהגדרתו בסעיף 9(2)(ב) לפקודה, שמתקיימים בו שני אלה:</w:t>
      </w:r>
    </w:p>
    <w:p w14:paraId="536BEF67" w14:textId="77777777" w:rsidR="0077742C" w:rsidRDefault="0077742C" w:rsidP="00FC4209">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שליש לפחות מהכנסתו בשנת המס </w:t>
      </w:r>
      <w:r w:rsidR="00FC4209">
        <w:rPr>
          <w:rStyle w:val="default"/>
          <w:rFonts w:cs="FrankRuehl" w:hint="cs"/>
          <w:rtl/>
        </w:rPr>
        <w:t>2010</w:t>
      </w:r>
      <w:r>
        <w:rPr>
          <w:rStyle w:val="default"/>
          <w:rFonts w:cs="FrankRuehl" w:hint="cs"/>
          <w:rtl/>
        </w:rPr>
        <w:t xml:space="preserve">, כפי שדווחה בדוח שהגיש לפי סעיף 131 לפקודה, לא היתה מתמיכה, לפי סעיף 3א לחוק יסודות התקציב, התשמ"ה-1985, מתמיכה מאת רשות מקומית או מתרומות (להלן </w:t>
      </w:r>
      <w:r>
        <w:rPr>
          <w:rStyle w:val="default"/>
          <w:rFonts w:cs="FrankRuehl"/>
          <w:rtl/>
        </w:rPr>
        <w:t>–</w:t>
      </w:r>
      <w:r>
        <w:rPr>
          <w:rStyle w:val="default"/>
          <w:rFonts w:cs="FrankRuehl" w:hint="cs"/>
          <w:rtl/>
        </w:rPr>
        <w:t xml:space="preserve"> תמיכות ותרומות);</w:t>
      </w:r>
    </w:p>
    <w:p w14:paraId="6ECC2D1D" w14:textId="77777777" w:rsidR="0077742C" w:rsidRDefault="0077742C" w:rsidP="00FC420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עיקר הכנסתו בשנת המס </w:t>
      </w:r>
      <w:r w:rsidR="00FC4209">
        <w:rPr>
          <w:rStyle w:val="default"/>
          <w:rFonts w:cs="FrankRuehl" w:hint="cs"/>
          <w:rtl/>
        </w:rPr>
        <w:t>2010</w:t>
      </w:r>
      <w:r>
        <w:rPr>
          <w:rStyle w:val="default"/>
          <w:rFonts w:cs="FrankRuehl" w:hint="cs"/>
          <w:rtl/>
        </w:rPr>
        <w:t xml:space="preserve"> כפי שדווחה בדוח שהגיש לפי סעיף 131 לפקודה, שלא מתמיכות ותרומות, היתה ממכירת שירותים או מצרכים מדי חודש</w:t>
      </w:r>
      <w:r w:rsidR="00FC4209">
        <w:rPr>
          <w:rStyle w:val="default"/>
          <w:rFonts w:cs="FrankRuehl" w:hint="cs"/>
          <w:rtl/>
        </w:rPr>
        <w:t xml:space="preserve"> בחודשו</w:t>
      </w:r>
      <w:r>
        <w:rPr>
          <w:rStyle w:val="default"/>
          <w:rFonts w:cs="FrankRuehl" w:hint="cs"/>
          <w:rtl/>
        </w:rPr>
        <w:t>;</w:t>
      </w:r>
    </w:p>
    <w:p w14:paraId="29EBA48D" w14:textId="77777777" w:rsidR="002D24EB" w:rsidRDefault="0077742C" w:rsidP="00FC4209">
      <w:pPr>
        <w:pStyle w:val="P00"/>
        <w:spacing w:before="72"/>
        <w:ind w:left="1474" w:right="1134"/>
        <w:rPr>
          <w:rStyle w:val="default"/>
          <w:rFonts w:cs="FrankRuehl" w:hint="cs"/>
          <w:rtl/>
        </w:rPr>
      </w:pPr>
      <w:r>
        <w:rPr>
          <w:rStyle w:val="default"/>
          <w:rFonts w:cs="FrankRuehl" w:hint="cs"/>
          <w:rtl/>
        </w:rPr>
        <w:t xml:space="preserve">"קבלן כוח אדם" </w:t>
      </w:r>
      <w:r>
        <w:rPr>
          <w:rStyle w:val="default"/>
          <w:rFonts w:cs="FrankRuehl"/>
          <w:rtl/>
        </w:rPr>
        <w:t>–</w:t>
      </w:r>
      <w:r>
        <w:rPr>
          <w:rStyle w:val="default"/>
          <w:rFonts w:cs="FrankRuehl" w:hint="cs"/>
          <w:rtl/>
        </w:rPr>
        <w:t xml:space="preserve"> כהגדרת</w:t>
      </w:r>
      <w:r w:rsidR="00FC4209">
        <w:rPr>
          <w:rStyle w:val="default"/>
          <w:rFonts w:cs="FrankRuehl" w:hint="cs"/>
          <w:rtl/>
        </w:rPr>
        <w:t>ו</w:t>
      </w:r>
      <w:r>
        <w:rPr>
          <w:rStyle w:val="default"/>
          <w:rFonts w:cs="FrankRuehl" w:hint="cs"/>
          <w:rtl/>
        </w:rPr>
        <w:t xml:space="preserve"> בחוק העסקת עובדים על ידי קבלני כוח אדם, התשנ"ו-1996;</w:t>
      </w:r>
    </w:p>
    <w:p w14:paraId="5014882B" w14:textId="77777777" w:rsidR="002D24EB" w:rsidRDefault="002D24EB" w:rsidP="00FC4209">
      <w:pPr>
        <w:pStyle w:val="P00"/>
        <w:spacing w:before="72"/>
        <w:ind w:left="1474" w:right="1134"/>
        <w:rPr>
          <w:rStyle w:val="default"/>
          <w:rFonts w:cs="FrankRuehl" w:hint="cs"/>
          <w:rtl/>
        </w:rPr>
      </w:pPr>
      <w:r>
        <w:rPr>
          <w:rStyle w:val="default"/>
          <w:rFonts w:cs="FrankRuehl" w:hint="cs"/>
          <w:rtl/>
        </w:rPr>
        <w:t xml:space="preserve">"שווי של נזק עקיף" </w:t>
      </w:r>
      <w:r>
        <w:rPr>
          <w:rStyle w:val="default"/>
          <w:rFonts w:cs="FrankRuehl"/>
          <w:rtl/>
        </w:rPr>
        <w:t>–</w:t>
      </w:r>
      <w:r>
        <w:rPr>
          <w:rStyle w:val="default"/>
          <w:rFonts w:cs="FrankRuehl" w:hint="cs"/>
          <w:rtl/>
        </w:rPr>
        <w:t xml:space="preserve"> כשהנזק נגרם כתוצאה מנזק מלחמה, </w:t>
      </w:r>
      <w:r w:rsidR="0077742C">
        <w:rPr>
          <w:rStyle w:val="default"/>
          <w:rFonts w:cs="FrankRuehl" w:hint="cs"/>
          <w:rtl/>
        </w:rPr>
        <w:t>בשל תשלום שכר עבודה</w:t>
      </w:r>
      <w:r w:rsidR="00FC4209">
        <w:rPr>
          <w:rStyle w:val="default"/>
          <w:rFonts w:cs="FrankRuehl" w:hint="cs"/>
          <w:rtl/>
        </w:rPr>
        <w:t xml:space="preserve"> </w:t>
      </w:r>
      <w:r w:rsidR="00FC4209">
        <w:rPr>
          <w:rStyle w:val="default"/>
          <w:rFonts w:cs="FrankRuehl"/>
          <w:rtl/>
        </w:rPr>
        <w:t>–</w:t>
      </w:r>
    </w:p>
    <w:p w14:paraId="3EB8B662" w14:textId="77777777" w:rsidR="008813A2" w:rsidRDefault="002D24EB" w:rsidP="00FC4209">
      <w:pPr>
        <w:pStyle w:val="P00"/>
        <w:spacing w:before="72"/>
        <w:ind w:left="1928" w:right="1134"/>
        <w:rPr>
          <w:rStyle w:val="default"/>
          <w:rFonts w:cs="FrankRuehl" w:hint="cs"/>
          <w:rtl/>
        </w:rPr>
      </w:pPr>
      <w:r>
        <w:rPr>
          <w:rStyle w:val="default"/>
          <w:rFonts w:cs="FrankRuehl" w:hint="cs"/>
          <w:rtl/>
        </w:rPr>
        <w:t>(</w:t>
      </w:r>
      <w:r w:rsidR="00FC4209">
        <w:rPr>
          <w:rStyle w:val="default"/>
          <w:rFonts w:cs="FrankRuehl" w:hint="cs"/>
          <w:rtl/>
        </w:rPr>
        <w:t>1</w:t>
      </w:r>
      <w:r>
        <w:rPr>
          <w:rStyle w:val="default"/>
          <w:rFonts w:cs="FrankRuehl" w:hint="cs"/>
          <w:rtl/>
        </w:rPr>
        <w:t>)</w:t>
      </w:r>
      <w:r>
        <w:rPr>
          <w:rStyle w:val="default"/>
          <w:rFonts w:cs="FrankRuehl" w:hint="cs"/>
          <w:rtl/>
        </w:rPr>
        <w:tab/>
      </w:r>
      <w:r w:rsidR="008813A2">
        <w:rPr>
          <w:rStyle w:val="default"/>
          <w:rFonts w:cs="FrankRuehl" w:hint="cs"/>
          <w:rtl/>
        </w:rPr>
        <w:t xml:space="preserve">לגבי ניזוק שאינו ניזוק המפורט בפסקאות (2) עד (4) </w:t>
      </w:r>
      <w:r w:rsidR="008813A2">
        <w:rPr>
          <w:rStyle w:val="default"/>
          <w:rFonts w:cs="FrankRuehl"/>
          <w:rtl/>
        </w:rPr>
        <w:t>–</w:t>
      </w:r>
      <w:r w:rsidR="008813A2">
        <w:rPr>
          <w:rStyle w:val="default"/>
          <w:rFonts w:cs="FrankRuehl" w:hint="cs"/>
          <w:rtl/>
        </w:rPr>
        <w:t xml:space="preserve"> </w:t>
      </w:r>
      <w:r w:rsidR="00FC4209">
        <w:rPr>
          <w:rStyle w:val="default"/>
          <w:rFonts w:cs="FrankRuehl" w:hint="cs"/>
          <w:rtl/>
        </w:rPr>
        <w:t xml:space="preserve">280 שקלים חדשים (להלן </w:t>
      </w:r>
      <w:r w:rsidR="00FC4209">
        <w:rPr>
          <w:rStyle w:val="default"/>
          <w:rFonts w:cs="FrankRuehl"/>
          <w:rtl/>
        </w:rPr>
        <w:t>–</w:t>
      </w:r>
      <w:r w:rsidR="00FC4209">
        <w:rPr>
          <w:rStyle w:val="default"/>
          <w:rFonts w:cs="FrankRuehl" w:hint="cs"/>
          <w:rtl/>
        </w:rPr>
        <w:t xml:space="preserve"> שווי הנזק)</w:t>
      </w:r>
      <w:r w:rsidR="008813A2">
        <w:rPr>
          <w:rStyle w:val="default"/>
          <w:rFonts w:cs="FrankRuehl" w:hint="cs"/>
          <w:rtl/>
        </w:rPr>
        <w:t xml:space="preserve"> </w:t>
      </w:r>
      <w:r w:rsidR="00FC4209">
        <w:rPr>
          <w:rStyle w:val="default"/>
          <w:rFonts w:cs="FrankRuehl" w:hint="cs"/>
          <w:rtl/>
        </w:rPr>
        <w:t xml:space="preserve">לכל יום עבודה ששילם בעד </w:t>
      </w:r>
      <w:r w:rsidR="008813A2">
        <w:rPr>
          <w:rStyle w:val="default"/>
          <w:rFonts w:cs="FrankRuehl" w:hint="cs"/>
          <w:rtl/>
        </w:rPr>
        <w:t>יום היעדרות של העובד בשל המצב הביטחוני</w:t>
      </w:r>
      <w:r w:rsidR="00FC4209">
        <w:rPr>
          <w:rStyle w:val="default"/>
          <w:rFonts w:cs="FrankRuehl" w:hint="cs"/>
          <w:rtl/>
        </w:rPr>
        <w:t xml:space="preserve">, ולגבי יחיד שהכנסתו היא רק מעסק או משלח יד כאמור בסעיף 2(1) לפקודה (להלן </w:t>
      </w:r>
      <w:r w:rsidR="00FC4209">
        <w:rPr>
          <w:rStyle w:val="default"/>
          <w:rFonts w:cs="FrankRuehl"/>
          <w:rtl/>
        </w:rPr>
        <w:t>–</w:t>
      </w:r>
      <w:r w:rsidR="00FC4209">
        <w:rPr>
          <w:rStyle w:val="default"/>
          <w:rFonts w:cs="FrankRuehl" w:hint="cs"/>
          <w:rtl/>
        </w:rPr>
        <w:t xml:space="preserve"> עובד עצמאי) </w:t>
      </w:r>
      <w:r w:rsidR="00FC4209">
        <w:rPr>
          <w:rStyle w:val="default"/>
          <w:rFonts w:cs="FrankRuehl"/>
          <w:rtl/>
        </w:rPr>
        <w:t>–</w:t>
      </w:r>
      <w:r w:rsidR="00FC4209">
        <w:rPr>
          <w:rStyle w:val="default"/>
          <w:rFonts w:cs="FrankRuehl" w:hint="cs"/>
          <w:rtl/>
        </w:rPr>
        <w:t xml:space="preserve"> שווי הנזק, בעד כל יום היעדרות של העובד העצמאי בשל המצב הביטחוני</w:t>
      </w:r>
      <w:r w:rsidR="008813A2">
        <w:rPr>
          <w:rStyle w:val="default"/>
          <w:rFonts w:cs="FrankRuehl" w:hint="cs"/>
          <w:rtl/>
        </w:rPr>
        <w:t>;</w:t>
      </w:r>
    </w:p>
    <w:p w14:paraId="4F39A27F" w14:textId="77777777" w:rsidR="008813A2" w:rsidRDefault="008813A2" w:rsidP="00FC420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לגבי ניזוק שהוא קיבוץ </w:t>
      </w:r>
      <w:r>
        <w:rPr>
          <w:rStyle w:val="default"/>
          <w:rFonts w:cs="FrankRuehl"/>
          <w:rtl/>
        </w:rPr>
        <w:t>–</w:t>
      </w:r>
      <w:r>
        <w:rPr>
          <w:rStyle w:val="default"/>
          <w:rFonts w:cs="FrankRuehl" w:hint="cs"/>
          <w:rtl/>
        </w:rPr>
        <w:t xml:space="preserve"> שווי הנזק</w:t>
      </w:r>
      <w:r w:rsidR="00FC4209">
        <w:rPr>
          <w:rStyle w:val="default"/>
          <w:rFonts w:cs="FrankRuehl" w:hint="cs"/>
          <w:rtl/>
        </w:rPr>
        <w:t>,</w:t>
      </w:r>
      <w:r>
        <w:rPr>
          <w:rStyle w:val="default"/>
          <w:rFonts w:cs="FrankRuehl" w:hint="cs"/>
          <w:rtl/>
        </w:rPr>
        <w:t xml:space="preserve"> </w:t>
      </w:r>
      <w:r w:rsidR="00FC4209">
        <w:rPr>
          <w:rStyle w:val="default"/>
          <w:rFonts w:cs="FrankRuehl" w:hint="cs"/>
          <w:rtl/>
        </w:rPr>
        <w:t xml:space="preserve">מוכפל בסך כל ימי ההיעדרות בשל המצב הביטחוני ששולמו לעובד שאינו חבר קיבוץ, בתוספת שווי הנזק מוכפל בסך כל ימי ההיעדרות בשל המצב הביטחוני של חברי הקיבוץ העובדים בתעשייה, במסחר, בשירותים, בחקלאות או בתיירות בקיבוץ, ולמעט חברי הקיבוץ העוסקים במתן שירותים לחברי הקיבוץ </w:t>
      </w:r>
      <w:r w:rsidR="00FC4209">
        <w:rPr>
          <w:rStyle w:val="default"/>
          <w:rFonts w:cs="FrankRuehl" w:hint="cs"/>
          <w:rtl/>
        </w:rPr>
        <w:lastRenderedPageBreak/>
        <w:t>עצמם</w:t>
      </w:r>
      <w:r>
        <w:rPr>
          <w:rStyle w:val="default"/>
          <w:rFonts w:cs="FrankRuehl" w:hint="cs"/>
          <w:rtl/>
        </w:rPr>
        <w:t>;</w:t>
      </w:r>
    </w:p>
    <w:p w14:paraId="711BB441" w14:textId="77777777" w:rsidR="008813A2" w:rsidRDefault="008813A2" w:rsidP="00FC4209">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לגבי ניזוק שהוא קבלן כוח אדם </w:t>
      </w:r>
      <w:r>
        <w:rPr>
          <w:rStyle w:val="default"/>
          <w:rFonts w:cs="FrankRuehl"/>
          <w:rtl/>
        </w:rPr>
        <w:t>–</w:t>
      </w:r>
      <w:r>
        <w:rPr>
          <w:rStyle w:val="default"/>
          <w:rFonts w:cs="FrankRuehl" w:hint="cs"/>
          <w:rtl/>
        </w:rPr>
        <w:t xml:space="preserve"> </w:t>
      </w:r>
      <w:r w:rsidR="00FC4209">
        <w:rPr>
          <w:rStyle w:val="default"/>
          <w:rFonts w:cs="FrankRuehl" w:hint="cs"/>
          <w:rtl/>
        </w:rPr>
        <w:t>שווי הנזק לכל יום עבודה ששילם בעד יום היעדרות של העובד בשל המצב הביטחוני</w:t>
      </w:r>
      <w:r>
        <w:rPr>
          <w:rStyle w:val="default"/>
          <w:rFonts w:cs="FrankRuehl" w:hint="cs"/>
          <w:rtl/>
        </w:rPr>
        <w:t>;</w:t>
      </w:r>
    </w:p>
    <w:p w14:paraId="4EDF24D0" w14:textId="77777777" w:rsidR="008813A2" w:rsidRDefault="008813A2" w:rsidP="00FC4209">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 xml:space="preserve">לגבי ניזוק שהוא מוסד ציבורי זכאי </w:t>
      </w:r>
      <w:r>
        <w:rPr>
          <w:rStyle w:val="default"/>
          <w:rFonts w:cs="FrankRuehl"/>
          <w:rtl/>
        </w:rPr>
        <w:t>–</w:t>
      </w:r>
      <w:r>
        <w:rPr>
          <w:rStyle w:val="default"/>
          <w:rFonts w:cs="FrankRuehl" w:hint="cs"/>
          <w:rtl/>
        </w:rPr>
        <w:t xml:space="preserve"> השיעור המתקבל מחלוקת סכום הכנסתו בשנת המס </w:t>
      </w:r>
      <w:r w:rsidR="00FC4209">
        <w:rPr>
          <w:rStyle w:val="default"/>
          <w:rFonts w:cs="FrankRuehl" w:hint="cs"/>
          <w:rtl/>
        </w:rPr>
        <w:t>2010</w:t>
      </w:r>
      <w:r>
        <w:rPr>
          <w:rStyle w:val="default"/>
          <w:rFonts w:cs="FrankRuehl" w:hint="cs"/>
          <w:rtl/>
        </w:rPr>
        <w:t xml:space="preserve">, כפי שדווחה בדוח שהגיש לפי סעיף 131 לפקודה, שלא מתמיכות ותרומות, בסכום הכנסתו האמורה, כולל תמיכות ותרומות, שהוא מוכפל </w:t>
      </w:r>
      <w:r w:rsidR="00FC4209">
        <w:rPr>
          <w:rStyle w:val="default"/>
          <w:rFonts w:cs="FrankRuehl" w:hint="cs"/>
          <w:rtl/>
        </w:rPr>
        <w:t>בשווי הנזק ששילם</w:t>
      </w:r>
      <w:r>
        <w:rPr>
          <w:rStyle w:val="default"/>
          <w:rFonts w:cs="FrankRuehl" w:hint="cs"/>
          <w:rtl/>
        </w:rPr>
        <w:t xml:space="preserve"> </w:t>
      </w:r>
      <w:r w:rsidR="00FC4209">
        <w:rPr>
          <w:rStyle w:val="default"/>
          <w:rFonts w:cs="FrankRuehl" w:hint="cs"/>
          <w:rtl/>
        </w:rPr>
        <w:t xml:space="preserve">בעד </w:t>
      </w:r>
      <w:r>
        <w:rPr>
          <w:rStyle w:val="default"/>
          <w:rFonts w:cs="FrankRuehl" w:hint="cs"/>
          <w:rtl/>
        </w:rPr>
        <w:t>יום היעדרות של העובד בשל המצב הביטחוני;</w:t>
      </w:r>
    </w:p>
    <w:p w14:paraId="61941B7F" w14:textId="77777777" w:rsidR="00FC4209" w:rsidRDefault="00FC4209" w:rsidP="00FC4209">
      <w:pPr>
        <w:pStyle w:val="P00"/>
        <w:spacing w:before="72"/>
        <w:ind w:left="1928" w:right="1134"/>
        <w:rPr>
          <w:rStyle w:val="default"/>
          <w:rFonts w:cs="FrankRuehl" w:hint="cs"/>
          <w:rtl/>
        </w:rPr>
      </w:pPr>
      <w:r>
        <w:rPr>
          <w:rStyle w:val="default"/>
          <w:rFonts w:cs="FrankRuehl" w:hint="cs"/>
          <w:rtl/>
        </w:rPr>
        <w:t>מועסק העובד במשרה חלקית, יהיה הנזק החלק היחסי משווי הנזק שיחסו לכלל הנזק הוא כיחס מספר שעות העבודה הרגילות ביום של אותו עובד, לסך כל שעות העבודה במשרה מלאה;</w:t>
      </w:r>
    </w:p>
    <w:p w14:paraId="09EFD279" w14:textId="77777777" w:rsidR="008813A2" w:rsidRDefault="008813A2" w:rsidP="00FC4209">
      <w:pPr>
        <w:pStyle w:val="P00"/>
        <w:spacing w:before="72"/>
        <w:ind w:left="1928" w:right="1134"/>
        <w:rPr>
          <w:rStyle w:val="default"/>
          <w:rFonts w:cs="FrankRuehl" w:hint="cs"/>
          <w:rtl/>
        </w:rPr>
      </w:pPr>
      <w:r>
        <w:rPr>
          <w:rStyle w:val="default"/>
          <w:rFonts w:cs="FrankRuehl" w:hint="cs"/>
          <w:rtl/>
        </w:rPr>
        <w:t xml:space="preserve">לא עבד העובד </w:t>
      </w:r>
      <w:r w:rsidR="00FC4209">
        <w:rPr>
          <w:rStyle w:val="default"/>
          <w:rFonts w:cs="FrankRuehl" w:hint="cs"/>
          <w:rtl/>
        </w:rPr>
        <w:t xml:space="preserve">או העובד העצמאי </w:t>
      </w:r>
      <w:r>
        <w:rPr>
          <w:rStyle w:val="default"/>
          <w:rFonts w:cs="FrankRuehl" w:hint="cs"/>
          <w:rtl/>
        </w:rPr>
        <w:t>האמור בחלק מיום העבודה, יה</w:t>
      </w:r>
      <w:r w:rsidR="00FC4209">
        <w:rPr>
          <w:rStyle w:val="default"/>
          <w:rFonts w:cs="FrankRuehl" w:hint="cs"/>
          <w:rtl/>
        </w:rPr>
        <w:t>יה</w:t>
      </w:r>
      <w:r>
        <w:rPr>
          <w:rStyle w:val="default"/>
          <w:rFonts w:cs="FrankRuehl" w:hint="cs"/>
          <w:rtl/>
        </w:rPr>
        <w:t xml:space="preserve"> הנזק החלק היחסי </w:t>
      </w:r>
      <w:r w:rsidR="00FC4209">
        <w:rPr>
          <w:rStyle w:val="default"/>
          <w:rFonts w:cs="FrankRuehl" w:hint="cs"/>
          <w:rtl/>
        </w:rPr>
        <w:t>משווי הנזק</w:t>
      </w:r>
      <w:r>
        <w:rPr>
          <w:rStyle w:val="default"/>
          <w:rFonts w:cs="FrankRuehl" w:hint="cs"/>
          <w:rtl/>
        </w:rPr>
        <w:t xml:space="preserve">, </w:t>
      </w:r>
      <w:r w:rsidR="00FC4209">
        <w:rPr>
          <w:rStyle w:val="default"/>
          <w:rFonts w:cs="FrankRuehl" w:hint="cs"/>
          <w:rtl/>
        </w:rPr>
        <w:t xml:space="preserve">או משווי הנזק לעובד עצמאי, לפי העניין, </w:t>
      </w:r>
      <w:r>
        <w:rPr>
          <w:rStyle w:val="default"/>
          <w:rFonts w:cs="FrankRuehl" w:hint="cs"/>
          <w:rtl/>
        </w:rPr>
        <w:t xml:space="preserve">שיחסו לכלל </w:t>
      </w:r>
      <w:r w:rsidR="00FC4209">
        <w:rPr>
          <w:rStyle w:val="default"/>
          <w:rFonts w:cs="FrankRuehl" w:hint="cs"/>
          <w:rtl/>
        </w:rPr>
        <w:t>שווי הנזק</w:t>
      </w:r>
      <w:r>
        <w:rPr>
          <w:rStyle w:val="default"/>
          <w:rFonts w:cs="FrankRuehl" w:hint="cs"/>
          <w:rtl/>
        </w:rPr>
        <w:t xml:space="preserve"> הוא כיחס מספר השעות שבהן לא עבד העובד כאמור, לסך כל שעות העבודה הרגילות ביום של אותו עובד, ובלבד שמספר השעות שבהן לא עבד העובד גבוה משעה אחת;</w:t>
      </w:r>
    </w:p>
    <w:p w14:paraId="506A1EAF" w14:textId="77777777" w:rsidR="00FC4209" w:rsidRDefault="008813A2" w:rsidP="00FC4209">
      <w:pPr>
        <w:pStyle w:val="P00"/>
        <w:spacing w:before="72"/>
        <w:ind w:left="1474" w:right="1134"/>
        <w:rPr>
          <w:rStyle w:val="default"/>
          <w:rFonts w:cs="FrankRuehl" w:hint="cs"/>
          <w:rtl/>
        </w:rPr>
      </w:pPr>
      <w:r>
        <w:rPr>
          <w:rStyle w:val="default"/>
          <w:rFonts w:cs="FrankRuehl" w:hint="cs"/>
          <w:rtl/>
        </w:rPr>
        <w:t xml:space="preserve">"יום היעדרות בשל המצב הביטחוני" </w:t>
      </w:r>
      <w:r>
        <w:rPr>
          <w:rStyle w:val="default"/>
          <w:rFonts w:cs="FrankRuehl"/>
          <w:rtl/>
        </w:rPr>
        <w:t>–</w:t>
      </w:r>
    </w:p>
    <w:p w14:paraId="1227F84B" w14:textId="77777777" w:rsidR="00FC4209" w:rsidRDefault="00FC4209" w:rsidP="00FC4209">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r>
      <w:r w:rsidR="008813A2">
        <w:rPr>
          <w:rStyle w:val="default"/>
          <w:rFonts w:cs="FrankRuehl" w:hint="cs"/>
          <w:rtl/>
        </w:rPr>
        <w:t>יום שבו עובד נעדר מעבודתו אצל ניזוק</w:t>
      </w:r>
      <w:r>
        <w:rPr>
          <w:rStyle w:val="default"/>
          <w:rFonts w:cs="FrankRuehl" w:hint="cs"/>
          <w:rtl/>
        </w:rPr>
        <w:t xml:space="preserve"> או יום שבו עובד עצמאי נעדר מעסקו או מעיסוקו במשלח ידו</w:t>
      </w:r>
      <w:r w:rsidR="008813A2">
        <w:rPr>
          <w:rStyle w:val="default"/>
          <w:rFonts w:cs="FrankRuehl" w:hint="cs"/>
          <w:rtl/>
        </w:rPr>
        <w:t xml:space="preserve">, למעט יום שבו נעדר בשל מחלה, תאונה, חופשה שנתית, מילואים, </w:t>
      </w:r>
      <w:r>
        <w:rPr>
          <w:rStyle w:val="default"/>
          <w:rFonts w:cs="FrankRuehl" w:hint="cs"/>
          <w:rtl/>
        </w:rPr>
        <w:t>לצורך השגחה על ילדו הנמצא עמו עקב הוראה על סגירת מוסד החינוך שבו לומד או שוהה הילד ואין במקום העבודה של העובד או של בן זוגו, או של העובד העצמאי או של בן זוגו, מסגרת נאותה להשגחה על הילד, ומתקיים אחד מאלה:</w:t>
      </w:r>
    </w:p>
    <w:p w14:paraId="226D0B1F" w14:textId="77777777" w:rsidR="008813A2" w:rsidRDefault="008813A2" w:rsidP="00FC4209">
      <w:pPr>
        <w:pStyle w:val="P00"/>
        <w:tabs>
          <w:tab w:val="left" w:pos="3289"/>
        </w:tabs>
        <w:spacing w:before="72"/>
        <w:ind w:left="2381" w:right="1134"/>
        <w:rPr>
          <w:rStyle w:val="default"/>
          <w:rFonts w:cs="FrankRuehl" w:hint="cs"/>
          <w:rtl/>
        </w:rPr>
      </w:pPr>
      <w:r>
        <w:rPr>
          <w:rStyle w:val="default"/>
          <w:rFonts w:cs="FrankRuehl" w:hint="cs"/>
          <w:rtl/>
        </w:rPr>
        <w:t>(א)</w:t>
      </w:r>
      <w:r>
        <w:rPr>
          <w:rStyle w:val="default"/>
          <w:rFonts w:cs="FrankRuehl" w:hint="cs"/>
          <w:rtl/>
        </w:rPr>
        <w:tab/>
        <w:t xml:space="preserve">הילד נמצא בהחזקתו הבלעדית של העובד או </w:t>
      </w:r>
      <w:r w:rsidR="00FC4209">
        <w:rPr>
          <w:rStyle w:val="default"/>
          <w:rFonts w:cs="FrankRuehl" w:hint="cs"/>
          <w:rtl/>
        </w:rPr>
        <w:t xml:space="preserve">של העובד העצמאי או </w:t>
      </w:r>
      <w:r>
        <w:rPr>
          <w:rStyle w:val="default"/>
          <w:rFonts w:cs="FrankRuehl" w:hint="cs"/>
          <w:rtl/>
        </w:rPr>
        <w:t xml:space="preserve">שהעובד </w:t>
      </w:r>
      <w:r w:rsidR="00FC4209">
        <w:rPr>
          <w:rStyle w:val="default"/>
          <w:rFonts w:cs="FrankRuehl" w:hint="cs"/>
          <w:rtl/>
        </w:rPr>
        <w:t xml:space="preserve">או העובד העצמאי </w:t>
      </w:r>
      <w:r>
        <w:rPr>
          <w:rStyle w:val="default"/>
          <w:rFonts w:cs="FrankRuehl" w:hint="cs"/>
          <w:rtl/>
        </w:rPr>
        <w:t>הוא הורה יחיד של הילד;</w:t>
      </w:r>
    </w:p>
    <w:p w14:paraId="4C506EBD" w14:textId="77777777" w:rsidR="008813A2" w:rsidRDefault="008813A2" w:rsidP="00FC4209">
      <w:pPr>
        <w:pStyle w:val="P00"/>
        <w:tabs>
          <w:tab w:val="left" w:pos="3289"/>
        </w:tabs>
        <w:spacing w:before="72"/>
        <w:ind w:left="2381" w:right="1134"/>
        <w:rPr>
          <w:rStyle w:val="default"/>
          <w:rFonts w:cs="FrankRuehl" w:hint="cs"/>
          <w:rtl/>
        </w:rPr>
      </w:pPr>
      <w:r>
        <w:rPr>
          <w:rStyle w:val="default"/>
          <w:rFonts w:cs="FrankRuehl" w:hint="cs"/>
          <w:rtl/>
        </w:rPr>
        <w:t>(ב)</w:t>
      </w:r>
      <w:r>
        <w:rPr>
          <w:rStyle w:val="default"/>
          <w:rFonts w:cs="FrankRuehl" w:hint="cs"/>
          <w:rtl/>
        </w:rPr>
        <w:tab/>
        <w:t xml:space="preserve">בן זוגו של העובד </w:t>
      </w:r>
      <w:r w:rsidR="00FC4209">
        <w:rPr>
          <w:rStyle w:val="default"/>
          <w:rFonts w:cs="FrankRuehl" w:hint="cs"/>
          <w:rtl/>
        </w:rPr>
        <w:t xml:space="preserve">או של העובד העצמאי </w:t>
      </w:r>
      <w:r>
        <w:rPr>
          <w:rStyle w:val="default"/>
          <w:rFonts w:cs="FrankRuehl" w:hint="cs"/>
          <w:rtl/>
        </w:rPr>
        <w:t xml:space="preserve">הוא עובד או עובד עצמאי, ולא נעדר מעבודתו, מעסקו או מעיסוקו במשלח ידו, לצורך השגחה על הילד, ואם בן הזוג אינו עובד או עובד עצמאי </w:t>
      </w:r>
      <w:r>
        <w:rPr>
          <w:rStyle w:val="default"/>
          <w:rFonts w:cs="FrankRuehl"/>
          <w:rtl/>
        </w:rPr>
        <w:t>–</w:t>
      </w:r>
      <w:r>
        <w:rPr>
          <w:rStyle w:val="default"/>
          <w:rFonts w:cs="FrankRuehl" w:hint="cs"/>
          <w:rtl/>
        </w:rPr>
        <w:t xml:space="preserve"> </w:t>
      </w:r>
      <w:r w:rsidR="00FC4209">
        <w:rPr>
          <w:rStyle w:val="default"/>
          <w:rFonts w:cs="FrankRuehl" w:hint="cs"/>
          <w:rtl/>
        </w:rPr>
        <w:t xml:space="preserve">הוכח להנחת דעתו של המנהל כי </w:t>
      </w:r>
      <w:r>
        <w:rPr>
          <w:rStyle w:val="default"/>
          <w:rFonts w:cs="FrankRuehl" w:hint="cs"/>
          <w:rtl/>
        </w:rPr>
        <w:t>נבצר ממנו להשגיח על הילד;</w:t>
      </w:r>
    </w:p>
    <w:p w14:paraId="44B537A1" w14:textId="77777777" w:rsidR="008813A2" w:rsidRDefault="008813A2" w:rsidP="0062185C">
      <w:pPr>
        <w:pStyle w:val="P00"/>
        <w:spacing w:before="72"/>
        <w:ind w:left="2381" w:right="1134"/>
        <w:rPr>
          <w:rStyle w:val="default"/>
          <w:rFonts w:cs="FrankRuehl" w:hint="cs"/>
          <w:rtl/>
        </w:rPr>
      </w:pPr>
      <w:r>
        <w:rPr>
          <w:rStyle w:val="default"/>
          <w:rFonts w:cs="FrankRuehl" w:hint="cs"/>
          <w:rtl/>
        </w:rPr>
        <w:t xml:space="preserve">הוראות פסקה זו יחולו, לגבי עובד שהוא אומן, ואולם ההיעדרות של עובד כאמור תיחשב כיום היעדרות רק אם לא ניתן פיצוי לפי פסקה זו בעד אותו יום בשל יום </w:t>
      </w:r>
      <w:r w:rsidR="001E7813">
        <w:rPr>
          <w:rStyle w:val="default"/>
          <w:rFonts w:cs="FrankRuehl" w:hint="cs"/>
          <w:rtl/>
        </w:rPr>
        <w:t xml:space="preserve">היעדרות של הורהו הטבעי או הורהו המאמץ של הילד, לפי העניין, לצורך השגחה על אותו ילד; לעניין זה </w:t>
      </w:r>
      <w:r w:rsidR="001E7813">
        <w:rPr>
          <w:rStyle w:val="default"/>
          <w:rFonts w:cs="FrankRuehl"/>
          <w:rtl/>
        </w:rPr>
        <w:t>–</w:t>
      </w:r>
    </w:p>
    <w:p w14:paraId="7723F5B3" w14:textId="77777777" w:rsidR="001E7813" w:rsidRDefault="001E7813" w:rsidP="0062185C">
      <w:pPr>
        <w:pStyle w:val="P00"/>
        <w:tabs>
          <w:tab w:val="left" w:pos="3289"/>
        </w:tabs>
        <w:spacing w:before="72"/>
        <w:ind w:right="1134"/>
        <w:rPr>
          <w:rStyle w:val="default"/>
          <w:rFonts w:cs="FrankRuehl" w:hint="cs"/>
          <w:rtl/>
        </w:rPr>
      </w:pPr>
      <w:r>
        <w:rPr>
          <w:rStyle w:val="default"/>
          <w:rFonts w:cs="FrankRuehl" w:hint="cs"/>
          <w:rtl/>
        </w:rPr>
        <w:t xml:space="preserve">"אומן" </w:t>
      </w:r>
      <w:r>
        <w:rPr>
          <w:rStyle w:val="default"/>
          <w:rFonts w:cs="FrankRuehl"/>
          <w:rtl/>
        </w:rPr>
        <w:t>–</w:t>
      </w:r>
      <w:r>
        <w:rPr>
          <w:rStyle w:val="default"/>
          <w:rFonts w:cs="FrankRuehl" w:hint="cs"/>
          <w:rtl/>
        </w:rPr>
        <w:t xml:space="preserve"> מי שאושר בידי שר הרווחה והשירותים החברתיים לשמש כמשפחת אומנה, בין לבדו ובין יחד עם בן זוגו;</w:t>
      </w:r>
    </w:p>
    <w:p w14:paraId="3995C88B" w14:textId="77777777" w:rsidR="001E7813" w:rsidRDefault="001E7813" w:rsidP="0062185C">
      <w:pPr>
        <w:pStyle w:val="P00"/>
        <w:tabs>
          <w:tab w:val="left" w:pos="3289"/>
        </w:tabs>
        <w:spacing w:before="72"/>
        <w:ind w:right="1134"/>
        <w:rPr>
          <w:rStyle w:val="default"/>
          <w:rFonts w:cs="FrankRuehl" w:hint="cs"/>
          <w:rtl/>
        </w:rPr>
      </w:pPr>
      <w:r>
        <w:rPr>
          <w:rStyle w:val="default"/>
          <w:rFonts w:cs="FrankRuehl" w:hint="cs"/>
          <w:rtl/>
        </w:rPr>
        <w:t xml:space="preserve">"הורה יחיד", "ילד", "מוסד חינוך" </w:t>
      </w:r>
      <w:r>
        <w:rPr>
          <w:rStyle w:val="default"/>
          <w:rFonts w:cs="FrankRuehl"/>
          <w:rtl/>
        </w:rPr>
        <w:t>–</w:t>
      </w:r>
      <w:r>
        <w:rPr>
          <w:rStyle w:val="default"/>
          <w:rFonts w:cs="FrankRuehl" w:hint="cs"/>
          <w:rtl/>
        </w:rPr>
        <w:t xml:space="preserve"> כהגדרתם בחוק הגנה על עובדים בשעת חירום, התשס"ו-2006;</w:t>
      </w:r>
    </w:p>
    <w:p w14:paraId="423B415B" w14:textId="77777777" w:rsidR="002A6834" w:rsidRDefault="002A6834" w:rsidP="002A6834">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יום שבו עובד נעדר מעבודתו אצל ניזוק או יום שבו עובד עצמאי נעדר מעסקו או מעיסוקו במשלח ידו, למעט יום שבו נעדר בשל מחלה, תאונה, חופשה שנתית, מילואים, עקב הוראה על סגירת מוסד החינוך שבו העובד מועסק או שהוא עסקו של העובד העצמאי;</w:t>
      </w:r>
    </w:p>
    <w:p w14:paraId="7647171F" w14:textId="77777777" w:rsidR="002D24EB" w:rsidRDefault="002D24EB" w:rsidP="002A6834">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בהגדרה "ניזוק", בסופה נאמר "ולעניין </w:t>
      </w:r>
      <w:r w:rsidR="00B470A4">
        <w:rPr>
          <w:rStyle w:val="default"/>
          <w:rFonts w:cs="FrankRuehl" w:hint="cs"/>
          <w:rtl/>
        </w:rPr>
        <w:t xml:space="preserve">ההגדרה "שווי של נזק עקיף", מי </w:t>
      </w:r>
      <w:r w:rsidR="002A6834">
        <w:rPr>
          <w:rStyle w:val="default"/>
          <w:rFonts w:cs="FrankRuehl" w:hint="cs"/>
          <w:rtl/>
        </w:rPr>
        <w:t>שהתקיימו בעובדו, או בו אם הוא עובד עצמאי, תנאי ההגדרה</w:t>
      </w:r>
      <w:r w:rsidR="00B470A4">
        <w:rPr>
          <w:rStyle w:val="default"/>
          <w:rFonts w:cs="FrankRuehl" w:hint="cs"/>
          <w:rtl/>
        </w:rPr>
        <w:t xml:space="preserve"> "יום היעדרות בשל המצב הביטחוני"</w:t>
      </w:r>
      <w:r w:rsidR="002A6834">
        <w:rPr>
          <w:rStyle w:val="default"/>
          <w:rFonts w:cs="FrankRuehl" w:hint="cs"/>
          <w:rtl/>
        </w:rPr>
        <w:t>."</w:t>
      </w:r>
      <w:r w:rsidR="00C0388B">
        <w:rPr>
          <w:rStyle w:val="default"/>
          <w:rFonts w:cs="FrankRuehl" w:hint="cs"/>
          <w:rtl/>
        </w:rPr>
        <w:t>;</w:t>
      </w:r>
    </w:p>
    <w:p w14:paraId="204F0304" w14:textId="77777777" w:rsidR="002D24EB" w:rsidRDefault="002D24EB" w:rsidP="002A683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בתקנה </w:t>
      </w:r>
      <w:r w:rsidR="002A6834">
        <w:rPr>
          <w:rStyle w:val="default"/>
          <w:rFonts w:cs="FrankRuehl" w:hint="cs"/>
          <w:rtl/>
        </w:rPr>
        <w:t xml:space="preserve">2 </w:t>
      </w:r>
      <w:r w:rsidR="002A6834">
        <w:rPr>
          <w:rStyle w:val="default"/>
          <w:rFonts w:cs="FrankRuehl"/>
          <w:rtl/>
        </w:rPr>
        <w:t>–</w:t>
      </w:r>
    </w:p>
    <w:p w14:paraId="12336295" w14:textId="77777777" w:rsidR="002A6834" w:rsidRDefault="002A6834" w:rsidP="002A683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בתקנת משנה (א), בסופה נאמר "הראשונה.";</w:t>
      </w:r>
    </w:p>
    <w:p w14:paraId="5859B576" w14:textId="77777777" w:rsidR="002A6834" w:rsidRDefault="002A6834" w:rsidP="002A683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תקנת משנה (ב) </w:t>
      </w:r>
      <w:r>
        <w:rPr>
          <w:rStyle w:val="default"/>
          <w:rFonts w:cs="FrankRuehl"/>
          <w:rtl/>
        </w:rPr>
        <w:t>–</w:t>
      </w:r>
      <w:r>
        <w:rPr>
          <w:rStyle w:val="default"/>
          <w:rFonts w:cs="FrankRuehl" w:hint="cs"/>
          <w:rtl/>
        </w:rPr>
        <w:t xml:space="preserve"> בטלה;</w:t>
      </w:r>
    </w:p>
    <w:p w14:paraId="049346B7" w14:textId="77777777" w:rsidR="002D24EB" w:rsidRDefault="002D24EB" w:rsidP="002A683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C0388B">
        <w:rPr>
          <w:rStyle w:val="default"/>
          <w:rFonts w:cs="FrankRuehl" w:hint="cs"/>
          <w:rtl/>
        </w:rPr>
        <w:t xml:space="preserve">בתקנה </w:t>
      </w:r>
      <w:r w:rsidR="002A6834">
        <w:rPr>
          <w:rStyle w:val="default"/>
          <w:rFonts w:cs="FrankRuehl" w:hint="cs"/>
          <w:rtl/>
        </w:rPr>
        <w:t xml:space="preserve">5 </w:t>
      </w:r>
      <w:r w:rsidR="002A6834">
        <w:rPr>
          <w:rStyle w:val="default"/>
          <w:rFonts w:cs="FrankRuehl"/>
          <w:rtl/>
        </w:rPr>
        <w:t>–</w:t>
      </w:r>
    </w:p>
    <w:p w14:paraId="210C7B9A" w14:textId="77777777" w:rsidR="002A6834" w:rsidRDefault="002A6834" w:rsidP="002A6834">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תקנת משנה (א) </w:t>
      </w:r>
      <w:r>
        <w:rPr>
          <w:rStyle w:val="default"/>
          <w:rFonts w:cs="FrankRuehl"/>
          <w:rtl/>
        </w:rPr>
        <w:t>–</w:t>
      </w:r>
      <w:r>
        <w:rPr>
          <w:rStyle w:val="default"/>
          <w:rFonts w:cs="FrankRuehl" w:hint="cs"/>
          <w:rtl/>
        </w:rPr>
        <w:t xml:space="preserve"> בטלה;</w:t>
      </w:r>
    </w:p>
    <w:p w14:paraId="76EE815C" w14:textId="77777777" w:rsidR="002A6834" w:rsidRDefault="002A6834" w:rsidP="002A6834">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בתקנת משנה (ב), במקום "תוך חודש מיום קרות הנזק" נאמר "בתוך שלושה חודשים מיום פרסומן של תקנות מס רכוש וקרן פיצויים (תשלום פיצויים) (נזק מלחמה ונזק עקיף) (הוראת שעה), התשע"ב-2012.";</w:t>
      </w:r>
    </w:p>
    <w:p w14:paraId="36E58C07" w14:textId="77777777" w:rsidR="002A6834" w:rsidRDefault="002A6834" w:rsidP="002A6834">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אחרי תקנת משנה (ב) נאמר:</w:t>
      </w:r>
    </w:p>
    <w:p w14:paraId="1F39A7B6" w14:textId="77777777" w:rsidR="002A6834" w:rsidRDefault="002A6834" w:rsidP="002A6834">
      <w:pPr>
        <w:pStyle w:val="P00"/>
        <w:spacing w:before="72"/>
        <w:ind w:left="1474" w:right="1134"/>
        <w:rPr>
          <w:rStyle w:val="default"/>
          <w:rFonts w:cs="FrankRuehl" w:hint="cs"/>
          <w:rtl/>
        </w:rPr>
      </w:pPr>
      <w:r>
        <w:rPr>
          <w:rStyle w:val="default"/>
          <w:rFonts w:cs="FrankRuehl" w:hint="cs"/>
          <w:rtl/>
        </w:rPr>
        <w:t>"(ב1) לתביעה לפי תקנת משנה (ב), יצורפו הצהרה של הניזוק, לרבות קבלן כוח אדם והצהרה של העובד, והכל בנוסח שיורה המנהל.";</w:t>
      </w:r>
    </w:p>
    <w:p w14:paraId="01E3A951" w14:textId="77777777" w:rsidR="002A6834" w:rsidRDefault="002A6834" w:rsidP="002A683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בתקנה 8(ד), במקום הסיפה החל במילים "תיווסף ריבית בשיעור הקבוע" נאמר "ייווספו הפרשי הצמדה וריבית החל בתום 30 ימים מיום הגשת התביעה לפיצויים עד יום התשלום.";</w:t>
      </w:r>
    </w:p>
    <w:p w14:paraId="15E344BF" w14:textId="77777777" w:rsidR="00C0388B" w:rsidRDefault="00C0388B" w:rsidP="002A6834">
      <w:pPr>
        <w:pStyle w:val="P00"/>
        <w:spacing w:before="72"/>
        <w:ind w:left="624" w:right="1134"/>
        <w:rPr>
          <w:rStyle w:val="default"/>
          <w:rFonts w:cs="FrankRuehl" w:hint="cs"/>
          <w:rtl/>
        </w:rPr>
      </w:pPr>
      <w:r>
        <w:rPr>
          <w:rStyle w:val="default"/>
          <w:rFonts w:cs="FrankRuehl" w:hint="cs"/>
          <w:rtl/>
        </w:rPr>
        <w:t>(</w:t>
      </w:r>
      <w:r w:rsidR="002A6834">
        <w:rPr>
          <w:rStyle w:val="default"/>
          <w:rFonts w:cs="FrankRuehl" w:hint="cs"/>
          <w:rtl/>
        </w:rPr>
        <w:t>5</w:t>
      </w:r>
      <w:r>
        <w:rPr>
          <w:rStyle w:val="default"/>
          <w:rFonts w:cs="FrankRuehl" w:hint="cs"/>
          <w:rtl/>
        </w:rPr>
        <w:t>)</w:t>
      </w:r>
      <w:r>
        <w:rPr>
          <w:rStyle w:val="default"/>
          <w:rFonts w:cs="FrankRuehl" w:hint="cs"/>
          <w:rtl/>
        </w:rPr>
        <w:tab/>
        <w:t xml:space="preserve">בתוספת </w:t>
      </w:r>
      <w:r>
        <w:rPr>
          <w:rStyle w:val="default"/>
          <w:rFonts w:cs="FrankRuehl"/>
          <w:rtl/>
        </w:rPr>
        <w:t>–</w:t>
      </w:r>
    </w:p>
    <w:p w14:paraId="4AD10F55" w14:textId="77777777" w:rsidR="00C0388B" w:rsidRDefault="00C0388B" w:rsidP="002A6834">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במקום הכותרת נאמר "תוספת ראשונה";</w:t>
      </w:r>
    </w:p>
    <w:p w14:paraId="51460658" w14:textId="77777777" w:rsidR="00C0388B" w:rsidRDefault="00C0388B" w:rsidP="00C0388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בפרט 2, במקום "משווי הנזק" נאמר "משווי של נזק עקיף";</w:t>
      </w:r>
    </w:p>
    <w:p w14:paraId="066E4F57" w14:textId="77777777" w:rsidR="002A6834" w:rsidRDefault="002A6834" w:rsidP="002A6834">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אחרי התוספת הראשונה נאמר:</w:t>
      </w:r>
    </w:p>
    <w:p w14:paraId="50E66943" w14:textId="77777777" w:rsidR="002A6834" w:rsidRDefault="002A6834" w:rsidP="002A6834">
      <w:pPr>
        <w:pStyle w:val="P00"/>
        <w:spacing w:before="72"/>
        <w:ind w:left="1021" w:right="1134"/>
        <w:jc w:val="center"/>
        <w:rPr>
          <w:rStyle w:val="default"/>
          <w:rFonts w:cs="FrankRuehl" w:hint="cs"/>
          <w:rtl/>
        </w:rPr>
      </w:pPr>
      <w:r>
        <w:rPr>
          <w:rStyle w:val="default"/>
          <w:rFonts w:cs="FrankRuehl" w:hint="cs"/>
          <w:rtl/>
        </w:rPr>
        <w:t>"</w:t>
      </w:r>
      <w:r w:rsidRPr="002A6834">
        <w:rPr>
          <w:rStyle w:val="default"/>
          <w:rFonts w:cs="FrankRuehl" w:hint="cs"/>
          <w:b/>
          <w:bCs/>
          <w:sz w:val="24"/>
          <w:szCs w:val="24"/>
          <w:rtl/>
        </w:rPr>
        <w:t>תוספת שנייה</w:t>
      </w:r>
    </w:p>
    <w:p w14:paraId="32611312" w14:textId="77777777" w:rsidR="002A6834" w:rsidRPr="002A6834" w:rsidRDefault="002A6834" w:rsidP="002A6834">
      <w:pPr>
        <w:pStyle w:val="P00"/>
        <w:spacing w:before="72"/>
        <w:ind w:left="1021" w:right="1134"/>
        <w:jc w:val="center"/>
        <w:rPr>
          <w:rStyle w:val="default"/>
          <w:rFonts w:cs="FrankRuehl" w:hint="cs"/>
          <w:sz w:val="24"/>
          <w:szCs w:val="24"/>
          <w:rtl/>
        </w:rPr>
      </w:pPr>
      <w:r w:rsidRPr="002A6834">
        <w:rPr>
          <w:rStyle w:val="default"/>
          <w:rFonts w:cs="FrankRuehl" w:hint="cs"/>
          <w:sz w:val="24"/>
          <w:szCs w:val="24"/>
          <w:rtl/>
        </w:rPr>
        <w:t xml:space="preserve">(תקנה 1 </w:t>
      </w:r>
      <w:r w:rsidRPr="002A6834">
        <w:rPr>
          <w:rStyle w:val="default"/>
          <w:rFonts w:cs="FrankRuehl"/>
          <w:sz w:val="24"/>
          <w:szCs w:val="24"/>
          <w:rtl/>
        </w:rPr>
        <w:t>–</w:t>
      </w:r>
      <w:r w:rsidRPr="002A6834">
        <w:rPr>
          <w:rStyle w:val="default"/>
          <w:rFonts w:cs="FrankRuehl" w:hint="cs"/>
          <w:sz w:val="24"/>
          <w:szCs w:val="24"/>
          <w:rtl/>
        </w:rPr>
        <w:t xml:space="preserve"> ההגדרה "הוראה על סגירת מוסד חינוך" </w:t>
      </w:r>
      <w:r>
        <w:rPr>
          <w:rStyle w:val="default"/>
          <w:rFonts w:cs="FrankRuehl"/>
          <w:sz w:val="24"/>
          <w:szCs w:val="24"/>
          <w:rtl/>
        </w:rPr>
        <w:br/>
      </w:r>
      <w:r w:rsidRPr="002A6834">
        <w:rPr>
          <w:rStyle w:val="default"/>
          <w:rFonts w:cs="FrankRuehl" w:hint="cs"/>
          <w:sz w:val="24"/>
          <w:szCs w:val="24"/>
          <w:rtl/>
        </w:rPr>
        <w:t>על ידי שירות ההתגוננות האזרחית)</w:t>
      </w:r>
    </w:p>
    <w:p w14:paraId="51256A50" w14:textId="77777777" w:rsidR="002A6834" w:rsidRDefault="002A6834" w:rsidP="00C038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אופקים</w:t>
      </w:r>
    </w:p>
    <w:p w14:paraId="236C5190" w14:textId="77777777" w:rsidR="002A6834" w:rsidRDefault="002A6834" w:rsidP="00C038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אשדוד</w:t>
      </w:r>
    </w:p>
    <w:p w14:paraId="0D81B444" w14:textId="77777777" w:rsidR="002A6834" w:rsidRDefault="002A6834" w:rsidP="00C038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אשקלון</w:t>
      </w:r>
    </w:p>
    <w:p w14:paraId="43ED5BF6" w14:textId="77777777" w:rsidR="002A6834" w:rsidRDefault="002A6834" w:rsidP="00C0388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באר טוביה</w:t>
      </w:r>
    </w:p>
    <w:p w14:paraId="03EDBC3F" w14:textId="77777777" w:rsidR="002A6834" w:rsidRDefault="002A6834" w:rsidP="00C0388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באר שבע</w:t>
      </w:r>
    </w:p>
    <w:p w14:paraId="525B6220" w14:textId="77777777" w:rsidR="002A6834" w:rsidRDefault="002A6834" w:rsidP="00C0388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המועצה המקומית בני עי"ש</w:t>
      </w:r>
    </w:p>
    <w:p w14:paraId="16D04A08" w14:textId="77777777" w:rsidR="002A6834" w:rsidRDefault="002A6834" w:rsidP="00C0388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המועצה האזורית בני שמעון </w:t>
      </w:r>
      <w:r>
        <w:rPr>
          <w:rStyle w:val="default"/>
          <w:rFonts w:cs="FrankRuehl"/>
          <w:rtl/>
        </w:rPr>
        <w:t>–</w:t>
      </w:r>
    </w:p>
    <w:p w14:paraId="4FB4D7AB" w14:textId="77777777" w:rsidR="002A6834" w:rsidRDefault="002A6834" w:rsidP="002A6834">
      <w:pPr>
        <w:pStyle w:val="P00"/>
        <w:spacing w:before="72"/>
        <w:ind w:left="1474" w:right="1134"/>
        <w:rPr>
          <w:rStyle w:val="default"/>
          <w:rFonts w:cs="FrankRuehl" w:hint="cs"/>
          <w:rtl/>
        </w:rPr>
      </w:pPr>
      <w:r>
        <w:rPr>
          <w:rStyle w:val="default"/>
          <w:rFonts w:cs="FrankRuehl" w:hint="cs"/>
          <w:rtl/>
        </w:rPr>
        <w:t xml:space="preserve">לגבי היישוב שומריה </w:t>
      </w:r>
      <w:r>
        <w:rPr>
          <w:rStyle w:val="default"/>
          <w:rFonts w:cs="FrankRuehl"/>
          <w:rtl/>
        </w:rPr>
        <w:t>–</w:t>
      </w:r>
      <w:r>
        <w:rPr>
          <w:rStyle w:val="default"/>
          <w:rFonts w:cs="FrankRuehl" w:hint="cs"/>
          <w:rtl/>
        </w:rPr>
        <w:t xml:space="preserve"> י"ז באדר התשע"ב (11 במרס 2012) בלבד</w:t>
      </w:r>
    </w:p>
    <w:p w14:paraId="67C28EE4" w14:textId="77777777" w:rsidR="002A6834" w:rsidRDefault="002A6834" w:rsidP="00C0388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המועצה האזורית ברנר </w:t>
      </w:r>
      <w:r>
        <w:rPr>
          <w:rStyle w:val="default"/>
          <w:rFonts w:cs="FrankRuehl"/>
          <w:rtl/>
        </w:rPr>
        <w:t>–</w:t>
      </w:r>
      <w:r>
        <w:rPr>
          <w:rStyle w:val="default"/>
          <w:rFonts w:cs="FrankRuehl" w:hint="cs"/>
          <w:rtl/>
        </w:rPr>
        <w:t xml:space="preserve"> היישובים בניה וקידרון בלבד</w:t>
      </w:r>
    </w:p>
    <w:p w14:paraId="2DF09D84" w14:textId="77777777" w:rsidR="002A6834" w:rsidRDefault="002A6834" w:rsidP="00C0388B">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גדרה</w:t>
      </w:r>
    </w:p>
    <w:p w14:paraId="02D79EE2" w14:textId="77777777" w:rsidR="002A6834" w:rsidRDefault="002A6834" w:rsidP="002A6834">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גדרות</w:t>
      </w:r>
    </w:p>
    <w:p w14:paraId="24F6F3FC" w14:textId="77777777" w:rsidR="002A6834" w:rsidRDefault="002A6834" w:rsidP="002A6834">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גן יבנה</w:t>
      </w:r>
    </w:p>
    <w:p w14:paraId="30FAC0A6" w14:textId="77777777" w:rsidR="002A6834" w:rsidRDefault="002A6834" w:rsidP="002A6834">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 xml:space="preserve">המועצה האזורית הר חברון </w:t>
      </w:r>
      <w:r>
        <w:rPr>
          <w:rStyle w:val="default"/>
          <w:rFonts w:cs="FrankRuehl"/>
          <w:rtl/>
        </w:rPr>
        <w:t>–</w:t>
      </w:r>
      <w:r>
        <w:rPr>
          <w:rStyle w:val="default"/>
          <w:rFonts w:cs="FrankRuehl" w:hint="cs"/>
          <w:rtl/>
        </w:rPr>
        <w:t xml:space="preserve"> היישובים אשכולות, נהוגות, וסנסנה בלבד</w:t>
      </w:r>
    </w:p>
    <w:p w14:paraId="1EBD7055" w14:textId="77777777" w:rsidR="002A6834" w:rsidRDefault="002A6834" w:rsidP="002A6834">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חבל יבנה</w:t>
      </w:r>
    </w:p>
    <w:p w14:paraId="648B200E" w14:textId="77777777" w:rsidR="002A6834" w:rsidRDefault="002A6834" w:rsidP="002A6834">
      <w:pPr>
        <w:pStyle w:val="P00"/>
        <w:spacing w:before="72"/>
        <w:ind w:left="1475" w:right="1134" w:hanging="454"/>
        <w:rPr>
          <w:rStyle w:val="default"/>
          <w:rFonts w:cs="FrankRuehl" w:hint="cs"/>
          <w:rtl/>
        </w:rPr>
      </w:pPr>
      <w:r>
        <w:rPr>
          <w:rStyle w:val="default"/>
          <w:rFonts w:cs="FrankRuehl" w:hint="cs"/>
          <w:rtl/>
        </w:rPr>
        <w:t>14</w:t>
      </w:r>
      <w:r>
        <w:rPr>
          <w:rStyle w:val="default"/>
          <w:rFonts w:cs="FrankRuehl" w:hint="cs"/>
          <w:rtl/>
        </w:rPr>
        <w:tab/>
        <w:t>המועצה האזורית חוף אשקלון (למעט היישובים: גברעם, זיקים, יד מרדכי, כרמיה, נתיב העשרה)</w:t>
      </w:r>
    </w:p>
    <w:p w14:paraId="4859953F" w14:textId="77777777" w:rsidR="002A6834" w:rsidRDefault="002A6834" w:rsidP="002A6834">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יבנה</w:t>
      </w:r>
    </w:p>
    <w:p w14:paraId="2FBF7BC3" w14:textId="77777777" w:rsidR="002A6834" w:rsidRDefault="002A6834" w:rsidP="00DA75F2">
      <w:pPr>
        <w:pStyle w:val="P00"/>
        <w:spacing w:before="72"/>
        <w:ind w:left="1475" w:right="1134" w:hanging="454"/>
        <w:rPr>
          <w:rStyle w:val="default"/>
          <w:rFonts w:cs="FrankRuehl" w:hint="cs"/>
          <w:rtl/>
        </w:rPr>
      </w:pPr>
      <w:r>
        <w:rPr>
          <w:rStyle w:val="default"/>
          <w:rFonts w:cs="FrankRuehl" w:hint="cs"/>
          <w:rtl/>
        </w:rPr>
        <w:t>16</w:t>
      </w:r>
      <w:r>
        <w:rPr>
          <w:rStyle w:val="default"/>
          <w:rFonts w:cs="FrankRuehl" w:hint="cs"/>
          <w:rtl/>
        </w:rPr>
        <w:tab/>
      </w:r>
      <w:r w:rsidR="00DA75F2">
        <w:rPr>
          <w:rStyle w:val="default"/>
          <w:rFonts w:cs="FrankRuehl" w:hint="cs"/>
          <w:rtl/>
        </w:rPr>
        <w:t xml:space="preserve">המועצה האזורית יואב (היישובים בית גוברין, גלאון </w:t>
      </w:r>
      <w:r w:rsidR="00DA75F2">
        <w:rPr>
          <w:rStyle w:val="default"/>
          <w:rFonts w:cs="FrankRuehl"/>
          <w:rtl/>
        </w:rPr>
        <w:t>–</w:t>
      </w:r>
      <w:r w:rsidR="00DA75F2">
        <w:rPr>
          <w:rStyle w:val="default"/>
          <w:rFonts w:cs="FrankRuehl" w:hint="cs"/>
          <w:rtl/>
        </w:rPr>
        <w:t xml:space="preserve"> לא התקיימו לימודים ביום י"ז באדר התשע"ב (11 במרס 2012) בלבד; היישוב בית ניר </w:t>
      </w:r>
      <w:r w:rsidR="00DA75F2">
        <w:rPr>
          <w:rStyle w:val="default"/>
          <w:rFonts w:cs="FrankRuehl"/>
          <w:rtl/>
        </w:rPr>
        <w:t>–</w:t>
      </w:r>
      <w:r w:rsidR="00DA75F2">
        <w:rPr>
          <w:rStyle w:val="default"/>
          <w:rFonts w:cs="FrankRuehl" w:hint="cs"/>
          <w:rtl/>
        </w:rPr>
        <w:t xml:space="preserve"> לא התקיימו לימודים בימים י"ז וי"ח באדר התשע"ב (11 ו-12 במרס 2012 בלבד))</w:t>
      </w:r>
    </w:p>
    <w:p w14:paraId="5FFBB491" w14:textId="77777777" w:rsidR="00DA75F2" w:rsidRDefault="00DA75F2" w:rsidP="002A6834">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להבים</w:t>
      </w:r>
    </w:p>
    <w:p w14:paraId="564AF884" w14:textId="77777777" w:rsidR="00DA75F2" w:rsidRDefault="00DA75F2" w:rsidP="002A6834">
      <w:pPr>
        <w:pStyle w:val="P00"/>
        <w:spacing w:before="72"/>
        <w:ind w:left="1021" w:right="1134"/>
        <w:rPr>
          <w:rStyle w:val="default"/>
          <w:rFonts w:cs="FrankRuehl" w:hint="cs"/>
          <w:rtl/>
        </w:rPr>
      </w:pPr>
      <w:r>
        <w:rPr>
          <w:rStyle w:val="default"/>
          <w:rFonts w:cs="FrankRuehl" w:hint="cs"/>
          <w:rtl/>
        </w:rPr>
        <w:t>18</w:t>
      </w:r>
      <w:r>
        <w:rPr>
          <w:rStyle w:val="default"/>
          <w:rFonts w:cs="FrankRuehl" w:hint="cs"/>
          <w:rtl/>
        </w:rPr>
        <w:tab/>
        <w:t>לכיש</w:t>
      </w:r>
    </w:p>
    <w:p w14:paraId="152CB1A1" w14:textId="77777777" w:rsidR="00DA75F2" w:rsidRDefault="00DA75F2" w:rsidP="002A6834">
      <w:pPr>
        <w:pStyle w:val="P00"/>
        <w:spacing w:before="72"/>
        <w:ind w:left="1021" w:right="1134"/>
        <w:rPr>
          <w:rStyle w:val="default"/>
          <w:rFonts w:cs="FrankRuehl" w:hint="cs"/>
          <w:rtl/>
        </w:rPr>
      </w:pPr>
      <w:r>
        <w:rPr>
          <w:rStyle w:val="default"/>
          <w:rFonts w:cs="FrankRuehl" w:hint="cs"/>
          <w:rtl/>
        </w:rPr>
        <w:t>19</w:t>
      </w:r>
      <w:r>
        <w:rPr>
          <w:rStyle w:val="default"/>
          <w:rFonts w:cs="FrankRuehl" w:hint="cs"/>
          <w:rtl/>
        </w:rPr>
        <w:tab/>
        <w:t>לקיה</w:t>
      </w:r>
    </w:p>
    <w:p w14:paraId="6EA72083" w14:textId="77777777" w:rsidR="00DA75F2" w:rsidRDefault="00DA75F2" w:rsidP="002A6834">
      <w:pPr>
        <w:pStyle w:val="P00"/>
        <w:spacing w:before="72"/>
        <w:ind w:left="1021" w:right="1134"/>
        <w:rPr>
          <w:rStyle w:val="default"/>
          <w:rFonts w:cs="FrankRuehl" w:hint="cs"/>
          <w:rtl/>
        </w:rPr>
      </w:pPr>
      <w:r>
        <w:rPr>
          <w:rStyle w:val="default"/>
          <w:rFonts w:cs="FrankRuehl" w:hint="cs"/>
          <w:rtl/>
        </w:rPr>
        <w:t>20</w:t>
      </w:r>
      <w:r>
        <w:rPr>
          <w:rStyle w:val="default"/>
          <w:rFonts w:cs="FrankRuehl" w:hint="cs"/>
          <w:rtl/>
        </w:rPr>
        <w:tab/>
        <w:t>מטה יהודה</w:t>
      </w:r>
    </w:p>
    <w:p w14:paraId="1C97362E" w14:textId="77777777" w:rsidR="00DA75F2" w:rsidRDefault="00DA75F2" w:rsidP="002A6834">
      <w:pPr>
        <w:pStyle w:val="P00"/>
        <w:spacing w:before="72"/>
        <w:ind w:left="1021" w:right="1134"/>
        <w:rPr>
          <w:rStyle w:val="default"/>
          <w:rFonts w:cs="FrankRuehl" w:hint="cs"/>
          <w:rtl/>
        </w:rPr>
      </w:pPr>
      <w:r>
        <w:rPr>
          <w:rStyle w:val="default"/>
          <w:rFonts w:cs="FrankRuehl" w:hint="cs"/>
          <w:rtl/>
        </w:rPr>
        <w:t>21</w:t>
      </w:r>
      <w:r>
        <w:rPr>
          <w:rStyle w:val="default"/>
          <w:rFonts w:cs="FrankRuehl" w:hint="cs"/>
          <w:rtl/>
        </w:rPr>
        <w:tab/>
        <w:t>מרחבים</w:t>
      </w:r>
    </w:p>
    <w:p w14:paraId="70064E76" w14:textId="77777777" w:rsidR="00DA75F2" w:rsidRDefault="00DA75F2" w:rsidP="002A6834">
      <w:pPr>
        <w:pStyle w:val="P00"/>
        <w:spacing w:before="72"/>
        <w:ind w:left="1021" w:right="1134"/>
        <w:rPr>
          <w:rStyle w:val="default"/>
          <w:rFonts w:cs="FrankRuehl" w:hint="cs"/>
          <w:rtl/>
        </w:rPr>
      </w:pPr>
      <w:r>
        <w:rPr>
          <w:rStyle w:val="default"/>
          <w:rFonts w:cs="FrankRuehl" w:hint="cs"/>
          <w:rtl/>
        </w:rPr>
        <w:t>22</w:t>
      </w:r>
      <w:r>
        <w:rPr>
          <w:rStyle w:val="default"/>
          <w:rFonts w:cs="FrankRuehl" w:hint="cs"/>
          <w:rtl/>
        </w:rPr>
        <w:tab/>
        <w:t>נחל שורק</w:t>
      </w:r>
    </w:p>
    <w:p w14:paraId="3CFCF735" w14:textId="77777777" w:rsidR="00DA75F2" w:rsidRDefault="00DA75F2" w:rsidP="002A6834">
      <w:pPr>
        <w:pStyle w:val="P00"/>
        <w:spacing w:before="72"/>
        <w:ind w:left="1021" w:right="1134"/>
        <w:rPr>
          <w:rStyle w:val="default"/>
          <w:rFonts w:cs="FrankRuehl" w:hint="cs"/>
          <w:rtl/>
        </w:rPr>
      </w:pPr>
      <w:r>
        <w:rPr>
          <w:rStyle w:val="default"/>
          <w:rFonts w:cs="FrankRuehl" w:hint="cs"/>
          <w:rtl/>
        </w:rPr>
        <w:t>23</w:t>
      </w:r>
      <w:r>
        <w:rPr>
          <w:rStyle w:val="default"/>
          <w:rFonts w:cs="FrankRuehl" w:hint="cs"/>
          <w:rtl/>
        </w:rPr>
        <w:tab/>
        <w:t>נתיבות</w:t>
      </w:r>
    </w:p>
    <w:p w14:paraId="4FA48D49" w14:textId="77777777" w:rsidR="00DA75F2" w:rsidRDefault="00DA75F2" w:rsidP="002A6834">
      <w:pPr>
        <w:pStyle w:val="P00"/>
        <w:spacing w:before="72"/>
        <w:ind w:left="1021" w:right="1134"/>
        <w:rPr>
          <w:rStyle w:val="default"/>
          <w:rFonts w:cs="FrankRuehl" w:hint="cs"/>
          <w:rtl/>
        </w:rPr>
      </w:pPr>
      <w:r>
        <w:rPr>
          <w:rStyle w:val="default"/>
          <w:rFonts w:cs="FrankRuehl" w:hint="cs"/>
          <w:rtl/>
        </w:rPr>
        <w:t>24</w:t>
      </w:r>
      <w:r>
        <w:rPr>
          <w:rStyle w:val="default"/>
          <w:rFonts w:cs="FrankRuehl" w:hint="cs"/>
          <w:rtl/>
        </w:rPr>
        <w:tab/>
        <w:t>עומר</w:t>
      </w:r>
    </w:p>
    <w:p w14:paraId="76CD0BF9" w14:textId="77777777" w:rsidR="00DA75F2" w:rsidRDefault="00DA75F2" w:rsidP="002A6834">
      <w:pPr>
        <w:pStyle w:val="P00"/>
        <w:spacing w:before="72"/>
        <w:ind w:left="1021" w:right="1134"/>
        <w:rPr>
          <w:rStyle w:val="default"/>
          <w:rFonts w:cs="FrankRuehl" w:hint="cs"/>
          <w:rtl/>
        </w:rPr>
      </w:pPr>
      <w:r>
        <w:rPr>
          <w:rStyle w:val="default"/>
          <w:rFonts w:cs="FrankRuehl" w:hint="cs"/>
          <w:rtl/>
        </w:rPr>
        <w:t>25</w:t>
      </w:r>
      <w:r>
        <w:rPr>
          <w:rStyle w:val="default"/>
          <w:rFonts w:cs="FrankRuehl" w:hint="cs"/>
          <w:rtl/>
        </w:rPr>
        <w:tab/>
        <w:t>קרית גת</w:t>
      </w:r>
    </w:p>
    <w:p w14:paraId="33514339" w14:textId="77777777" w:rsidR="00DA75F2" w:rsidRDefault="00DA75F2" w:rsidP="002A6834">
      <w:pPr>
        <w:pStyle w:val="P00"/>
        <w:spacing w:before="72"/>
        <w:ind w:left="1021" w:right="1134"/>
        <w:rPr>
          <w:rStyle w:val="default"/>
          <w:rFonts w:cs="FrankRuehl" w:hint="cs"/>
          <w:rtl/>
        </w:rPr>
      </w:pPr>
      <w:r>
        <w:rPr>
          <w:rStyle w:val="default"/>
          <w:rFonts w:cs="FrankRuehl" w:hint="cs"/>
          <w:rtl/>
        </w:rPr>
        <w:t>26</w:t>
      </w:r>
      <w:r>
        <w:rPr>
          <w:rStyle w:val="default"/>
          <w:rFonts w:cs="FrankRuehl" w:hint="cs"/>
          <w:rtl/>
        </w:rPr>
        <w:tab/>
        <w:t>קרית מלאכי</w:t>
      </w:r>
    </w:p>
    <w:p w14:paraId="4F8CAD9C" w14:textId="77777777" w:rsidR="00DA75F2" w:rsidRDefault="00DA75F2" w:rsidP="002A6834">
      <w:pPr>
        <w:pStyle w:val="P00"/>
        <w:spacing w:before="72"/>
        <w:ind w:left="1021" w:right="1134"/>
        <w:rPr>
          <w:rStyle w:val="default"/>
          <w:rFonts w:cs="FrankRuehl" w:hint="cs"/>
          <w:rtl/>
        </w:rPr>
      </w:pPr>
      <w:r>
        <w:rPr>
          <w:rStyle w:val="default"/>
          <w:rFonts w:cs="FrankRuehl" w:hint="cs"/>
          <w:rtl/>
        </w:rPr>
        <w:t>27</w:t>
      </w:r>
      <w:r>
        <w:rPr>
          <w:rStyle w:val="default"/>
          <w:rFonts w:cs="FrankRuehl" w:hint="cs"/>
          <w:rtl/>
        </w:rPr>
        <w:tab/>
        <w:t>רהט</w:t>
      </w:r>
    </w:p>
    <w:p w14:paraId="62ED1396" w14:textId="77777777" w:rsidR="00DA75F2" w:rsidRDefault="00DA75F2" w:rsidP="002A6834">
      <w:pPr>
        <w:pStyle w:val="P00"/>
        <w:spacing w:before="72"/>
        <w:ind w:left="1021" w:right="1134"/>
        <w:rPr>
          <w:rStyle w:val="default"/>
          <w:rFonts w:cs="FrankRuehl" w:hint="cs"/>
          <w:rtl/>
        </w:rPr>
      </w:pPr>
      <w:r>
        <w:rPr>
          <w:rStyle w:val="default"/>
          <w:rFonts w:cs="FrankRuehl" w:hint="cs"/>
          <w:rtl/>
        </w:rPr>
        <w:t>28</w:t>
      </w:r>
      <w:r>
        <w:rPr>
          <w:rStyle w:val="default"/>
          <w:rFonts w:cs="FrankRuehl" w:hint="cs"/>
          <w:rtl/>
        </w:rPr>
        <w:tab/>
        <w:t>רמת הנגב</w:t>
      </w:r>
    </w:p>
    <w:p w14:paraId="3C153A22" w14:textId="77777777" w:rsidR="00DA75F2" w:rsidRDefault="00DA75F2" w:rsidP="002A6834">
      <w:pPr>
        <w:pStyle w:val="P00"/>
        <w:spacing w:before="72"/>
        <w:ind w:left="1021" w:right="1134"/>
        <w:rPr>
          <w:rStyle w:val="default"/>
          <w:rFonts w:cs="FrankRuehl" w:hint="cs"/>
          <w:rtl/>
        </w:rPr>
      </w:pPr>
      <w:r>
        <w:rPr>
          <w:rStyle w:val="default"/>
          <w:rFonts w:cs="FrankRuehl" w:hint="cs"/>
          <w:rtl/>
        </w:rPr>
        <w:t>29</w:t>
      </w:r>
      <w:r>
        <w:rPr>
          <w:rStyle w:val="default"/>
          <w:rFonts w:cs="FrankRuehl" w:hint="cs"/>
          <w:rtl/>
        </w:rPr>
        <w:tab/>
        <w:t>שפיר</w:t>
      </w:r>
    </w:p>
    <w:p w14:paraId="1563FF9F" w14:textId="77777777" w:rsidR="00DA75F2" w:rsidRDefault="00DA75F2" w:rsidP="002A6834">
      <w:pPr>
        <w:pStyle w:val="P00"/>
        <w:spacing w:before="72"/>
        <w:ind w:left="1021" w:right="1134"/>
        <w:rPr>
          <w:rStyle w:val="default"/>
          <w:rFonts w:cs="FrankRuehl" w:hint="cs"/>
          <w:rtl/>
        </w:rPr>
      </w:pPr>
    </w:p>
    <w:p w14:paraId="3852455D" w14:textId="77777777" w:rsidR="00DA75F2" w:rsidRPr="00DA75F2" w:rsidRDefault="00DA75F2" w:rsidP="00DA75F2">
      <w:pPr>
        <w:pStyle w:val="P00"/>
        <w:spacing w:before="72"/>
        <w:ind w:left="1021" w:right="1134"/>
        <w:jc w:val="center"/>
        <w:rPr>
          <w:rStyle w:val="default"/>
          <w:rFonts w:cs="FrankRuehl" w:hint="cs"/>
          <w:b/>
          <w:bCs/>
          <w:sz w:val="24"/>
          <w:szCs w:val="24"/>
          <w:rtl/>
        </w:rPr>
      </w:pPr>
      <w:r w:rsidRPr="00DA75F2">
        <w:rPr>
          <w:rStyle w:val="default"/>
          <w:rFonts w:cs="FrankRuehl" w:hint="cs"/>
          <w:b/>
          <w:bCs/>
          <w:sz w:val="24"/>
          <w:szCs w:val="24"/>
          <w:rtl/>
        </w:rPr>
        <w:t>תוספת שלישית</w:t>
      </w:r>
    </w:p>
    <w:p w14:paraId="473BC904" w14:textId="77777777" w:rsidR="00DA75F2" w:rsidRPr="00DA75F2" w:rsidRDefault="00DA75F2" w:rsidP="00DA75F2">
      <w:pPr>
        <w:pStyle w:val="P00"/>
        <w:spacing w:before="72"/>
        <w:ind w:left="1021" w:right="1134"/>
        <w:jc w:val="center"/>
        <w:rPr>
          <w:rStyle w:val="default"/>
          <w:rFonts w:cs="FrankRuehl" w:hint="cs"/>
          <w:sz w:val="24"/>
          <w:szCs w:val="24"/>
          <w:rtl/>
        </w:rPr>
      </w:pPr>
      <w:r w:rsidRPr="00DA75F2">
        <w:rPr>
          <w:rStyle w:val="default"/>
          <w:rFonts w:cs="FrankRuehl" w:hint="cs"/>
          <w:sz w:val="24"/>
          <w:szCs w:val="24"/>
          <w:rtl/>
        </w:rPr>
        <w:t xml:space="preserve">(תקנה 1 </w:t>
      </w:r>
      <w:r w:rsidRPr="00DA75F2">
        <w:rPr>
          <w:rStyle w:val="default"/>
          <w:rFonts w:cs="FrankRuehl"/>
          <w:sz w:val="24"/>
          <w:szCs w:val="24"/>
          <w:rtl/>
        </w:rPr>
        <w:t>–</w:t>
      </w:r>
      <w:r w:rsidRPr="00DA75F2">
        <w:rPr>
          <w:rStyle w:val="default"/>
          <w:rFonts w:cs="FrankRuehl" w:hint="cs"/>
          <w:sz w:val="24"/>
          <w:szCs w:val="24"/>
          <w:rtl/>
        </w:rPr>
        <w:t xml:space="preserve"> ההגדרה "הוראה על סגירת מוסד חינוך" על ידי רשות מקומית)</w:t>
      </w:r>
    </w:p>
    <w:p w14:paraId="5B9B7C30" w14:textId="77777777" w:rsidR="00DA75F2" w:rsidRPr="00DA75F2" w:rsidRDefault="00DA75F2" w:rsidP="00DA75F2">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237"/>
        </w:tabs>
        <w:spacing w:before="72"/>
        <w:ind w:left="1021" w:right="1134"/>
        <w:rPr>
          <w:rStyle w:val="default"/>
          <w:rFonts w:cs="FrankRuehl" w:hint="cs"/>
          <w:sz w:val="22"/>
          <w:szCs w:val="22"/>
          <w:rtl/>
        </w:rPr>
      </w:pPr>
      <w:r>
        <w:rPr>
          <w:rStyle w:val="default"/>
          <w:rFonts w:cs="FrankRuehl" w:hint="cs"/>
          <w:sz w:val="22"/>
          <w:szCs w:val="22"/>
          <w:rtl/>
        </w:rPr>
        <w:tab/>
      </w:r>
      <w:r w:rsidRPr="00DA75F2">
        <w:rPr>
          <w:rStyle w:val="default"/>
          <w:rFonts w:cs="FrankRuehl" w:hint="cs"/>
          <w:sz w:val="22"/>
          <w:szCs w:val="22"/>
          <w:rtl/>
        </w:rPr>
        <w:t>כ' באדר התשע"ב (14 במרס 2012)</w:t>
      </w:r>
      <w:r w:rsidRPr="00DA75F2">
        <w:rPr>
          <w:rStyle w:val="default"/>
          <w:rFonts w:cs="FrankRuehl" w:hint="cs"/>
          <w:sz w:val="22"/>
          <w:szCs w:val="22"/>
          <w:rtl/>
        </w:rPr>
        <w:tab/>
        <w:t>כ"א באדר התשע"ב (15 במרס 2012)</w:t>
      </w:r>
    </w:p>
    <w:p w14:paraId="76F82031"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1021" w:right="1134"/>
        <w:rPr>
          <w:rStyle w:val="default"/>
          <w:rFonts w:cs="FrankRuehl" w:hint="cs"/>
          <w:rtl/>
        </w:rPr>
      </w:pPr>
      <w:r>
        <w:rPr>
          <w:rStyle w:val="default"/>
          <w:rFonts w:cs="FrankRuehl" w:hint="cs"/>
          <w:rtl/>
        </w:rPr>
        <w:t>תראבין א-צאנע (יישוב)</w:t>
      </w:r>
      <w:r>
        <w:rPr>
          <w:rStyle w:val="default"/>
          <w:rFonts w:cs="FrankRuehl" w:hint="cs"/>
          <w:rtl/>
        </w:rPr>
        <w:tab/>
        <w:t>תראבין א-צאנע (יישוב)</w:t>
      </w:r>
    </w:p>
    <w:p w14:paraId="27F7E114"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1021" w:right="1134"/>
        <w:rPr>
          <w:rStyle w:val="default"/>
          <w:rFonts w:cs="FrankRuehl" w:hint="cs"/>
          <w:rtl/>
        </w:rPr>
      </w:pPr>
      <w:r>
        <w:rPr>
          <w:rStyle w:val="default"/>
          <w:rFonts w:cs="FrankRuehl" w:hint="cs"/>
          <w:rtl/>
        </w:rPr>
        <w:t>ברכיה</w:t>
      </w:r>
      <w:r>
        <w:rPr>
          <w:rStyle w:val="default"/>
          <w:rFonts w:cs="FrankRuehl" w:hint="cs"/>
          <w:rtl/>
        </w:rPr>
        <w:tab/>
        <w:t>אשדוד</w:t>
      </w:r>
    </w:p>
    <w:p w14:paraId="6B8277AE"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1021" w:right="1134"/>
        <w:rPr>
          <w:rStyle w:val="default"/>
          <w:rFonts w:cs="FrankRuehl" w:hint="cs"/>
          <w:rtl/>
        </w:rPr>
      </w:pPr>
      <w:r>
        <w:rPr>
          <w:rStyle w:val="default"/>
          <w:rFonts w:cs="FrankRuehl" w:hint="cs"/>
          <w:rtl/>
        </w:rPr>
        <w:t>ניצן</w:t>
      </w:r>
      <w:r>
        <w:rPr>
          <w:rStyle w:val="default"/>
          <w:rFonts w:cs="FrankRuehl" w:hint="cs"/>
          <w:rtl/>
        </w:rPr>
        <w:tab/>
        <w:t>בית קמה</w:t>
      </w:r>
    </w:p>
    <w:p w14:paraId="07364FFE"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1021" w:right="1134"/>
        <w:rPr>
          <w:rStyle w:val="default"/>
          <w:rFonts w:cs="FrankRuehl" w:hint="cs"/>
          <w:rtl/>
        </w:rPr>
      </w:pPr>
      <w:r>
        <w:rPr>
          <w:rStyle w:val="default"/>
          <w:rFonts w:cs="FrankRuehl" w:hint="cs"/>
          <w:rtl/>
        </w:rPr>
        <w:t>ניצנים</w:t>
      </w:r>
      <w:r>
        <w:rPr>
          <w:rStyle w:val="default"/>
          <w:rFonts w:cs="FrankRuehl" w:hint="cs"/>
          <w:rtl/>
        </w:rPr>
        <w:tab/>
        <w:t>ניר גלים</w:t>
      </w:r>
    </w:p>
    <w:p w14:paraId="49A76777"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1021" w:right="1134"/>
        <w:rPr>
          <w:rStyle w:val="default"/>
          <w:rFonts w:cs="FrankRuehl" w:hint="cs"/>
          <w:rtl/>
        </w:rPr>
      </w:pPr>
      <w:r>
        <w:rPr>
          <w:rStyle w:val="default"/>
          <w:rFonts w:cs="FrankRuehl" w:hint="cs"/>
          <w:rtl/>
        </w:rPr>
        <w:t>נתיבות</w:t>
      </w:r>
      <w:r>
        <w:rPr>
          <w:rStyle w:val="default"/>
          <w:rFonts w:cs="FrankRuehl" w:hint="cs"/>
          <w:rtl/>
        </w:rPr>
        <w:tab/>
        <w:t>אשקלון</w:t>
      </w:r>
    </w:p>
    <w:p w14:paraId="36390FCE"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1021" w:right="1134"/>
        <w:rPr>
          <w:rStyle w:val="default"/>
          <w:rFonts w:cs="FrankRuehl" w:hint="cs"/>
          <w:rtl/>
        </w:rPr>
      </w:pPr>
      <w:r>
        <w:rPr>
          <w:rStyle w:val="default"/>
          <w:rFonts w:cs="FrankRuehl" w:hint="cs"/>
          <w:rtl/>
        </w:rPr>
        <w:t>בית הגדי</w:t>
      </w:r>
      <w:r>
        <w:rPr>
          <w:rStyle w:val="default"/>
          <w:rFonts w:cs="FrankRuehl" w:hint="cs"/>
          <w:rtl/>
        </w:rPr>
        <w:tab/>
        <w:t>באר שבע</w:t>
      </w:r>
    </w:p>
    <w:p w14:paraId="462027EE"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1021" w:right="1134"/>
        <w:rPr>
          <w:rStyle w:val="default"/>
          <w:rFonts w:cs="FrankRuehl" w:hint="cs"/>
          <w:rtl/>
        </w:rPr>
      </w:pPr>
      <w:r>
        <w:rPr>
          <w:rStyle w:val="default"/>
          <w:rFonts w:cs="FrankRuehl" w:hint="cs"/>
          <w:rtl/>
        </w:rPr>
        <w:t>מעגלים</w:t>
      </w:r>
      <w:r>
        <w:rPr>
          <w:rStyle w:val="default"/>
          <w:rFonts w:cs="FrankRuehl" w:hint="cs"/>
          <w:rtl/>
        </w:rPr>
        <w:tab/>
        <w:t>גבעות בר</w:t>
      </w:r>
    </w:p>
    <w:p w14:paraId="5AA8A3FC"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1021" w:right="1134"/>
        <w:rPr>
          <w:rStyle w:val="default"/>
          <w:rFonts w:cs="FrankRuehl" w:hint="cs"/>
          <w:rtl/>
        </w:rPr>
      </w:pPr>
      <w:r>
        <w:rPr>
          <w:rStyle w:val="default"/>
          <w:rFonts w:cs="FrankRuehl" w:hint="cs"/>
          <w:rtl/>
        </w:rPr>
        <w:t>חבל יבנה</w:t>
      </w:r>
      <w:r>
        <w:rPr>
          <w:rStyle w:val="default"/>
          <w:rFonts w:cs="FrankRuehl" w:hint="cs"/>
          <w:rtl/>
        </w:rPr>
        <w:tab/>
        <w:t>חצרים</w:t>
      </w:r>
    </w:p>
    <w:p w14:paraId="12A7E22D"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1021" w:right="1134"/>
        <w:rPr>
          <w:rStyle w:val="default"/>
          <w:rFonts w:cs="FrankRuehl" w:hint="cs"/>
          <w:rtl/>
        </w:rPr>
      </w:pPr>
      <w:r>
        <w:rPr>
          <w:rStyle w:val="default"/>
          <w:rFonts w:cs="FrankRuehl" w:hint="cs"/>
          <w:rtl/>
        </w:rPr>
        <w:t>גדרות</w:t>
      </w:r>
      <w:r>
        <w:rPr>
          <w:rStyle w:val="default"/>
          <w:rFonts w:cs="FrankRuehl" w:hint="cs"/>
          <w:rtl/>
        </w:rPr>
        <w:tab/>
        <w:t>ברכיה</w:t>
      </w:r>
    </w:p>
    <w:p w14:paraId="4D9C93D7"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4536" w:right="1134"/>
        <w:rPr>
          <w:rStyle w:val="default"/>
          <w:rFonts w:cs="FrankRuehl" w:hint="cs"/>
          <w:rtl/>
        </w:rPr>
      </w:pPr>
      <w:r>
        <w:rPr>
          <w:rStyle w:val="default"/>
          <w:rFonts w:cs="FrankRuehl" w:hint="cs"/>
          <w:rtl/>
        </w:rPr>
        <w:t>ניצן</w:t>
      </w:r>
    </w:p>
    <w:p w14:paraId="0AE0817D"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4536" w:right="1134"/>
        <w:rPr>
          <w:rStyle w:val="default"/>
          <w:rFonts w:cs="FrankRuehl" w:hint="cs"/>
          <w:rtl/>
        </w:rPr>
      </w:pPr>
      <w:r>
        <w:rPr>
          <w:rStyle w:val="default"/>
          <w:rFonts w:cs="FrankRuehl" w:hint="cs"/>
          <w:rtl/>
        </w:rPr>
        <w:t>ניצנים</w:t>
      </w:r>
    </w:p>
    <w:p w14:paraId="61D45ED7"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4536" w:right="1134"/>
        <w:rPr>
          <w:rStyle w:val="default"/>
          <w:rFonts w:cs="FrankRuehl" w:hint="cs"/>
          <w:rtl/>
        </w:rPr>
      </w:pPr>
      <w:r>
        <w:rPr>
          <w:rStyle w:val="default"/>
          <w:rFonts w:cs="FrankRuehl" w:hint="cs"/>
          <w:rtl/>
        </w:rPr>
        <w:t>גת (קיבוץ)</w:t>
      </w:r>
    </w:p>
    <w:p w14:paraId="2B47546B"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4536" w:right="1134"/>
        <w:rPr>
          <w:rStyle w:val="default"/>
          <w:rFonts w:cs="FrankRuehl" w:hint="cs"/>
          <w:rtl/>
        </w:rPr>
      </w:pPr>
      <w:r>
        <w:rPr>
          <w:rStyle w:val="default"/>
          <w:rFonts w:cs="FrankRuehl" w:hint="cs"/>
          <w:rtl/>
        </w:rPr>
        <w:t>כפר מנחם</w:t>
      </w:r>
    </w:p>
    <w:p w14:paraId="6A7E5F71"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4536" w:right="1134"/>
        <w:rPr>
          <w:rStyle w:val="default"/>
          <w:rFonts w:cs="FrankRuehl" w:hint="cs"/>
          <w:rtl/>
        </w:rPr>
      </w:pPr>
      <w:r>
        <w:rPr>
          <w:rStyle w:val="default"/>
          <w:rFonts w:cs="FrankRuehl" w:hint="cs"/>
          <w:rtl/>
        </w:rPr>
        <w:t>גילת</w:t>
      </w:r>
    </w:p>
    <w:p w14:paraId="0D205256"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4536" w:right="1134"/>
        <w:rPr>
          <w:rStyle w:val="default"/>
          <w:rFonts w:cs="FrankRuehl" w:hint="cs"/>
          <w:rtl/>
        </w:rPr>
      </w:pPr>
      <w:r>
        <w:rPr>
          <w:rStyle w:val="default"/>
          <w:rFonts w:cs="FrankRuehl" w:hint="cs"/>
          <w:rtl/>
        </w:rPr>
        <w:t>מבועים</w:t>
      </w:r>
    </w:p>
    <w:p w14:paraId="2C037061"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4536" w:right="1134"/>
        <w:rPr>
          <w:rStyle w:val="default"/>
          <w:rFonts w:cs="FrankRuehl" w:hint="cs"/>
          <w:rtl/>
        </w:rPr>
      </w:pPr>
      <w:r>
        <w:rPr>
          <w:rStyle w:val="default"/>
          <w:rFonts w:cs="FrankRuehl" w:hint="cs"/>
          <w:rtl/>
        </w:rPr>
        <w:t>מסלול</w:t>
      </w:r>
    </w:p>
    <w:p w14:paraId="1AFB097D"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4536" w:right="1134"/>
        <w:rPr>
          <w:rStyle w:val="default"/>
          <w:rFonts w:cs="FrankRuehl" w:hint="cs"/>
          <w:rtl/>
        </w:rPr>
      </w:pPr>
      <w:r>
        <w:rPr>
          <w:rStyle w:val="default"/>
          <w:rFonts w:cs="FrankRuehl" w:hint="cs"/>
          <w:rtl/>
        </w:rPr>
        <w:t>נתיבות</w:t>
      </w:r>
    </w:p>
    <w:p w14:paraId="2BA7C87E"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4536" w:right="1134"/>
        <w:rPr>
          <w:rStyle w:val="default"/>
          <w:rFonts w:cs="FrankRuehl" w:hint="cs"/>
          <w:rtl/>
        </w:rPr>
      </w:pPr>
      <w:r>
        <w:rPr>
          <w:rStyle w:val="default"/>
          <w:rFonts w:cs="FrankRuehl" w:hint="cs"/>
          <w:rtl/>
        </w:rPr>
        <w:t>עומר</w:t>
      </w:r>
    </w:p>
    <w:p w14:paraId="5EC35992"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4536" w:right="1134"/>
        <w:rPr>
          <w:rStyle w:val="default"/>
          <w:rFonts w:cs="FrankRuehl" w:hint="cs"/>
          <w:rtl/>
        </w:rPr>
      </w:pPr>
      <w:r>
        <w:rPr>
          <w:rStyle w:val="default"/>
          <w:rFonts w:cs="FrankRuehl" w:hint="cs"/>
          <w:rtl/>
        </w:rPr>
        <w:t>קרית גת</w:t>
      </w:r>
    </w:p>
    <w:p w14:paraId="0750210A"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4536" w:right="1134"/>
        <w:rPr>
          <w:rStyle w:val="default"/>
          <w:rFonts w:cs="FrankRuehl" w:hint="cs"/>
          <w:rtl/>
        </w:rPr>
      </w:pPr>
      <w:r>
        <w:rPr>
          <w:rStyle w:val="default"/>
          <w:rFonts w:cs="FrankRuehl" w:hint="cs"/>
          <w:rtl/>
        </w:rPr>
        <w:t>קרית מלאכי</w:t>
      </w:r>
    </w:p>
    <w:p w14:paraId="28103ECC"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4536" w:right="1134"/>
        <w:rPr>
          <w:rStyle w:val="default"/>
          <w:rFonts w:cs="FrankRuehl" w:hint="cs"/>
          <w:rtl/>
        </w:rPr>
      </w:pPr>
      <w:r>
        <w:rPr>
          <w:rStyle w:val="default"/>
          <w:rFonts w:cs="FrankRuehl" w:hint="cs"/>
          <w:rtl/>
        </w:rPr>
        <w:t>בית הגדי</w:t>
      </w:r>
    </w:p>
    <w:p w14:paraId="1245DA80"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4536" w:right="1134"/>
        <w:rPr>
          <w:rStyle w:val="default"/>
          <w:rFonts w:cs="FrankRuehl" w:hint="cs"/>
          <w:rtl/>
        </w:rPr>
      </w:pPr>
      <w:r>
        <w:rPr>
          <w:rStyle w:val="default"/>
          <w:rFonts w:cs="FrankRuehl" w:hint="cs"/>
          <w:rtl/>
        </w:rPr>
        <w:t>מעגלים</w:t>
      </w:r>
    </w:p>
    <w:p w14:paraId="1CDC116E"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4536" w:right="1134"/>
        <w:rPr>
          <w:rStyle w:val="default"/>
          <w:rFonts w:cs="FrankRuehl" w:hint="cs"/>
          <w:rtl/>
        </w:rPr>
      </w:pPr>
      <w:r>
        <w:rPr>
          <w:rStyle w:val="default"/>
          <w:rFonts w:cs="FrankRuehl" w:hint="cs"/>
          <w:rtl/>
        </w:rPr>
        <w:t>גן יבנה</w:t>
      </w:r>
    </w:p>
    <w:p w14:paraId="419573E4"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4536" w:right="1134"/>
        <w:rPr>
          <w:rStyle w:val="default"/>
          <w:rFonts w:cs="FrankRuehl" w:hint="cs"/>
          <w:rtl/>
        </w:rPr>
      </w:pPr>
      <w:r>
        <w:rPr>
          <w:rStyle w:val="default"/>
          <w:rFonts w:cs="FrankRuehl" w:hint="cs"/>
          <w:rtl/>
        </w:rPr>
        <w:t>חבל יבנה</w:t>
      </w:r>
    </w:p>
    <w:p w14:paraId="1D8BBDE2" w14:textId="77777777" w:rsidR="00DA75F2" w:rsidRDefault="00DA75F2" w:rsidP="00DA75F2">
      <w:pPr>
        <w:pStyle w:val="P00"/>
        <w:tabs>
          <w:tab w:val="clear" w:pos="624"/>
          <w:tab w:val="clear" w:pos="1021"/>
          <w:tab w:val="clear" w:pos="1474"/>
          <w:tab w:val="clear" w:pos="1928"/>
          <w:tab w:val="clear" w:pos="2381"/>
          <w:tab w:val="clear" w:pos="2835"/>
          <w:tab w:val="clear" w:pos="6259"/>
          <w:tab w:val="left" w:pos="4536"/>
        </w:tabs>
        <w:spacing w:before="72"/>
        <w:ind w:left="4536" w:right="1134"/>
        <w:rPr>
          <w:rStyle w:val="default"/>
          <w:rFonts w:cs="FrankRuehl" w:hint="cs"/>
          <w:rtl/>
        </w:rPr>
      </w:pPr>
      <w:r>
        <w:rPr>
          <w:rStyle w:val="default"/>
          <w:rFonts w:cs="FrankRuehl" w:hint="cs"/>
          <w:rtl/>
        </w:rPr>
        <w:t>גדרות"</w:t>
      </w:r>
    </w:p>
    <w:p w14:paraId="15004898" w14:textId="77777777" w:rsidR="002D24EB" w:rsidRDefault="002D24EB">
      <w:pPr>
        <w:pStyle w:val="P00"/>
        <w:spacing w:before="72"/>
        <w:ind w:left="0" w:right="1134"/>
        <w:rPr>
          <w:rStyle w:val="default"/>
          <w:rFonts w:cs="FrankRuehl" w:hint="cs"/>
          <w:rtl/>
        </w:rPr>
      </w:pPr>
      <w:bookmarkStart w:id="1" w:name="Seif2"/>
      <w:bookmarkEnd w:id="1"/>
      <w:r>
        <w:rPr>
          <w:lang w:val="he-IL"/>
        </w:rPr>
        <w:pict w14:anchorId="684B6555">
          <v:rect id="_x0000_s1064" style="position:absolute;left:0;text-align:left;margin-left:464.5pt;margin-top:8.05pt;width:75.05pt;height:14pt;z-index:251657728" o:allowincell="f" filled="f" stroked="f" strokecolor="lime" strokeweight=".25pt">
            <v:textbox style="mso-next-textbox:#_x0000_s1064" inset="0,0,0,0">
              <w:txbxContent>
                <w:p w14:paraId="04010CDA" w14:textId="77777777" w:rsidR="004F01ED" w:rsidRDefault="00A43FDF">
                  <w:pPr>
                    <w:spacing w:line="160" w:lineRule="exact"/>
                    <w:jc w:val="left"/>
                    <w:rPr>
                      <w:rFonts w:cs="Miriam" w:hint="cs"/>
                      <w:noProof/>
                      <w:szCs w:val="18"/>
                      <w:rtl/>
                    </w:rPr>
                  </w:pPr>
                  <w:r>
                    <w:rPr>
                      <w:rFonts w:cs="Miriam" w:hint="cs"/>
                      <w:szCs w:val="18"/>
                      <w:rtl/>
                    </w:rPr>
                    <w:t>תחולה</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(א)</w:t>
      </w:r>
      <w:r>
        <w:rPr>
          <w:rStyle w:val="default"/>
          <w:rFonts w:cs="FrankRuehl" w:hint="cs"/>
          <w:rtl/>
        </w:rPr>
        <w:tab/>
        <w:t>תקנות אלה לא יחולו על ניזוק שהוא אחד מאלה:</w:t>
      </w:r>
    </w:p>
    <w:p w14:paraId="46ED9941" w14:textId="77777777" w:rsidR="002D24EB" w:rsidRDefault="002D24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המדינה;</w:t>
      </w:r>
    </w:p>
    <w:p w14:paraId="241D28A2" w14:textId="77777777" w:rsidR="002D24EB" w:rsidRDefault="002D24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גוף מתוקצב או תאגיד בריאות כהגדרתם בסעיף 21 לחוק יסודות התקציב, התשמ"ה-1985;</w:t>
      </w:r>
    </w:p>
    <w:p w14:paraId="0DAC9669" w14:textId="77777777" w:rsidR="002D24EB" w:rsidRDefault="002D24E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חברה ממשלתית כהגדרתה בחוק החברות הממשלתיות, התשל"ה-1975;</w:t>
      </w:r>
    </w:p>
    <w:p w14:paraId="3112FF88" w14:textId="77777777" w:rsidR="002D24EB" w:rsidRDefault="00A43FD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קופת חולים;</w:t>
      </w:r>
    </w:p>
    <w:p w14:paraId="40E1BF86" w14:textId="77777777" w:rsidR="00A43FDF" w:rsidRDefault="00DA75F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מוסד ציבורי</w:t>
      </w:r>
      <w:r w:rsidR="00A43FDF">
        <w:rPr>
          <w:rStyle w:val="default"/>
          <w:rFonts w:cs="FrankRuehl" w:hint="cs"/>
          <w:rtl/>
        </w:rPr>
        <w:t xml:space="preserve"> כהגדרתו בסעיף 9(2)(ב) לפקוד</w:t>
      </w:r>
      <w:r>
        <w:rPr>
          <w:rStyle w:val="default"/>
          <w:rFonts w:cs="FrankRuehl" w:hint="cs"/>
          <w:rtl/>
        </w:rPr>
        <w:t>ה, למעט אם הוא מוסד ציבורי זכאי;</w:t>
      </w:r>
    </w:p>
    <w:p w14:paraId="2F7D5D95" w14:textId="77777777" w:rsidR="00DA75F2" w:rsidRDefault="00DA75F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מוסד להשכלה גבוהה, כהגדרתו בחוק זכויות הסטודנט, התשס"ז-2007, אשר שכר הלימוד משולם לו מראש על ידי מרבית תלמידיו, בעד סמסטר אחד לפחות.</w:t>
      </w:r>
    </w:p>
    <w:p w14:paraId="777BF82A" w14:textId="77777777" w:rsidR="00A43FDF" w:rsidRDefault="00A43FDF" w:rsidP="00DA75F2">
      <w:pPr>
        <w:pStyle w:val="P00"/>
        <w:spacing w:before="72"/>
        <w:ind w:left="0" w:right="1134"/>
        <w:rPr>
          <w:rStyle w:val="default"/>
          <w:rFonts w:cs="FrankRuehl" w:hint="cs"/>
          <w:rtl/>
        </w:rPr>
      </w:pPr>
      <w:r>
        <w:rPr>
          <w:rStyle w:val="default"/>
          <w:rFonts w:cs="FrankRuehl" w:hint="cs"/>
          <w:rtl/>
        </w:rPr>
        <w:tab/>
        <w:t>(</w:t>
      </w:r>
      <w:r w:rsidR="00DA75F2">
        <w:rPr>
          <w:rStyle w:val="default"/>
          <w:rFonts w:cs="FrankRuehl" w:hint="cs"/>
          <w:rtl/>
        </w:rPr>
        <w:t>ב)</w:t>
      </w:r>
      <w:r w:rsidR="00DA75F2">
        <w:rPr>
          <w:rStyle w:val="default"/>
          <w:rFonts w:cs="FrankRuehl" w:hint="cs"/>
          <w:rtl/>
        </w:rPr>
        <w:tab/>
        <w:t>ה</w:t>
      </w:r>
      <w:r>
        <w:rPr>
          <w:rStyle w:val="default"/>
          <w:rFonts w:cs="FrankRuehl" w:hint="cs"/>
          <w:rtl/>
        </w:rPr>
        <w:t xml:space="preserve">הגדרה "שווי של נזק עקיף" כנוסחה בתקנה 1 </w:t>
      </w:r>
      <w:r w:rsidR="00DA75F2">
        <w:rPr>
          <w:rStyle w:val="default"/>
          <w:rFonts w:cs="FrankRuehl" w:hint="cs"/>
          <w:rtl/>
        </w:rPr>
        <w:t>ל</w:t>
      </w:r>
      <w:r>
        <w:rPr>
          <w:rStyle w:val="default"/>
          <w:rFonts w:cs="FrankRuehl" w:hint="cs"/>
          <w:rtl/>
        </w:rPr>
        <w:t>תקנות אלה לא תחול על ניזוק שמתקיים בו אחד מאלה:</w:t>
      </w:r>
    </w:p>
    <w:p w14:paraId="69EC57B2" w14:textId="77777777" w:rsidR="00A43FDF" w:rsidRDefault="00A43FDF" w:rsidP="00DA75F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הוא לא הגיש לפקיד השומה דין וחשבון בטופס 102 בשל חודש </w:t>
      </w:r>
      <w:r w:rsidR="00DA75F2">
        <w:rPr>
          <w:rStyle w:val="default"/>
          <w:rFonts w:cs="FrankRuehl" w:hint="cs"/>
          <w:rtl/>
        </w:rPr>
        <w:t>פברואר 2012</w:t>
      </w:r>
      <w:r>
        <w:rPr>
          <w:rStyle w:val="default"/>
          <w:rFonts w:cs="FrankRuehl" w:hint="cs"/>
          <w:rtl/>
        </w:rPr>
        <w:t>, הכל לפי תקנות מס הכנסה (ניכוי ממשכורת ומשכר עבודה ותשלום מס מעסיקים), התשנ"ג-1993;</w:t>
      </w:r>
    </w:p>
    <w:p w14:paraId="2AED2BFF" w14:textId="77777777" w:rsidR="00A43FDF" w:rsidRDefault="00A43FDF" w:rsidP="00A43F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דיווח לרשות המסים בישראל על סגירת עסקו, לפני תחילת תקופת ההכרזה;</w:t>
      </w:r>
    </w:p>
    <w:p w14:paraId="67BD916D" w14:textId="77777777" w:rsidR="00A43FDF" w:rsidRDefault="00A43FDF" w:rsidP="00A43FD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עסקו לא היה פעיל לפני תחילת תקופת ההכרזה; לעניין זה, יראו ניזוק כמי שעסקו לא היה פעיל אם הוא לא הגיש לרשות המסים בישראל שניים מתוך ארבעת הדוחות האחרונים שהיה חייב בהגשתם לפי חוק מס ערך מוסף, בשל התקופה שלפני תחילת תקופת ההכרזה, אלא אם כן הוכיח הניזוק, להנחת דעתו של המנהל, שעסקו היה פעיל.</w:t>
      </w:r>
    </w:p>
    <w:p w14:paraId="6E8100D9" w14:textId="77777777" w:rsidR="002D24EB" w:rsidRDefault="002D24EB" w:rsidP="00DA75F2">
      <w:pPr>
        <w:pStyle w:val="P00"/>
        <w:spacing w:before="72"/>
        <w:ind w:left="0" w:right="1134"/>
        <w:rPr>
          <w:rStyle w:val="default"/>
          <w:rFonts w:cs="FrankRuehl" w:hint="cs"/>
          <w:rtl/>
        </w:rPr>
      </w:pPr>
      <w:bookmarkStart w:id="2" w:name="Seif3"/>
      <w:bookmarkEnd w:id="2"/>
      <w:r>
        <w:rPr>
          <w:lang w:val="he-IL"/>
        </w:rPr>
        <w:pict w14:anchorId="2F7B4A31">
          <v:rect id="_x0000_s1073" style="position:absolute;left:0;text-align:left;margin-left:464.5pt;margin-top:8.05pt;width:75.05pt;height:19.1pt;z-index:251658752" o:allowincell="f" filled="f" stroked="f" strokecolor="lime" strokeweight=".25pt">
            <v:textbox style="mso-next-textbox:#_x0000_s1073" inset="0,0,0,0">
              <w:txbxContent>
                <w:p w14:paraId="26DD5AB7" w14:textId="77777777" w:rsidR="004F01ED" w:rsidRDefault="004F01ED">
                  <w:pPr>
                    <w:spacing w:line="160" w:lineRule="exact"/>
                    <w:jc w:val="left"/>
                    <w:rPr>
                      <w:rFonts w:cs="Miriam" w:hint="cs"/>
                      <w:noProof/>
                      <w:szCs w:val="18"/>
                      <w:rtl/>
                    </w:rPr>
                  </w:pPr>
                  <w:r>
                    <w:rPr>
                      <w:rFonts w:cs="Miriam" w:hint="cs"/>
                      <w:szCs w:val="18"/>
                      <w:rtl/>
                    </w:rPr>
                    <w:t>שמירת דינים</w:t>
                  </w:r>
                </w:p>
              </w:txbxContent>
            </v:textbox>
            <w10:anchorlock/>
          </v:rect>
        </w:pict>
      </w:r>
      <w:r>
        <w:rPr>
          <w:rStyle w:val="big-number"/>
          <w:rFonts w:hint="cs"/>
          <w:rtl/>
        </w:rPr>
        <w:t>3</w:t>
      </w:r>
      <w:r w:rsidRPr="00D37B6E">
        <w:rPr>
          <w:rStyle w:val="default"/>
          <w:rFonts w:cs="FrankRuehl"/>
          <w:rtl/>
        </w:rPr>
        <w:t>.</w:t>
      </w:r>
      <w:r w:rsidRPr="00D37B6E">
        <w:rPr>
          <w:rStyle w:val="default"/>
          <w:rFonts w:cs="FrankRuehl"/>
          <w:rtl/>
        </w:rPr>
        <w:tab/>
      </w:r>
      <w:r>
        <w:rPr>
          <w:rStyle w:val="default"/>
          <w:rFonts w:cs="FrankRuehl" w:hint="cs"/>
          <w:rtl/>
        </w:rPr>
        <w:t xml:space="preserve">אין באמור בתקנות אלה כדי לפגוע בזכאותו של ניזוק </w:t>
      </w:r>
      <w:r w:rsidR="00D37B6E">
        <w:rPr>
          <w:rStyle w:val="default"/>
          <w:rFonts w:cs="FrankRuehl" w:hint="cs"/>
          <w:rtl/>
        </w:rPr>
        <w:t xml:space="preserve">ביישוב או </w:t>
      </w:r>
      <w:r>
        <w:rPr>
          <w:rStyle w:val="default"/>
          <w:rFonts w:cs="FrankRuehl" w:hint="cs"/>
          <w:rtl/>
        </w:rPr>
        <w:t xml:space="preserve">באזור </w:t>
      </w:r>
      <w:r w:rsidR="00D37B6E">
        <w:rPr>
          <w:rStyle w:val="default"/>
          <w:rFonts w:cs="FrankRuehl" w:hint="cs"/>
          <w:rtl/>
        </w:rPr>
        <w:t>שהוכרז יישוב ספר</w:t>
      </w:r>
      <w:r>
        <w:rPr>
          <w:rStyle w:val="default"/>
          <w:rFonts w:cs="FrankRuehl" w:hint="cs"/>
          <w:rtl/>
        </w:rPr>
        <w:t xml:space="preserve"> ערב </w:t>
      </w:r>
      <w:r w:rsidR="00DA75F2">
        <w:rPr>
          <w:rStyle w:val="default"/>
          <w:rFonts w:cs="FrankRuehl" w:hint="cs"/>
          <w:rtl/>
        </w:rPr>
        <w:t>תקופת האכרזה שבהגדרה "אזור זכאי" בתקנה 1</w:t>
      </w:r>
      <w:r>
        <w:rPr>
          <w:rStyle w:val="default"/>
          <w:rFonts w:cs="FrankRuehl" w:hint="cs"/>
          <w:rtl/>
        </w:rPr>
        <w:t xml:space="preserve">, </w:t>
      </w:r>
      <w:r w:rsidR="00D37B6E">
        <w:rPr>
          <w:rStyle w:val="default"/>
          <w:rFonts w:cs="FrankRuehl" w:hint="cs"/>
          <w:rtl/>
        </w:rPr>
        <w:t>והוא רשאי לבחור בין פיצוי לפי תקנות אלה לבין פיצוי לפי התקנות העיקריות</w:t>
      </w:r>
      <w:r>
        <w:rPr>
          <w:rStyle w:val="default"/>
          <w:rFonts w:cs="FrankRuehl" w:hint="cs"/>
          <w:rtl/>
        </w:rPr>
        <w:t>.</w:t>
      </w:r>
    </w:p>
    <w:p w14:paraId="660A8781" w14:textId="77777777" w:rsidR="002D24EB" w:rsidRDefault="002D24EB">
      <w:pPr>
        <w:pStyle w:val="P00"/>
        <w:spacing w:before="72"/>
        <w:ind w:left="0" w:right="1134"/>
        <w:rPr>
          <w:rStyle w:val="default"/>
          <w:rFonts w:cs="FrankRuehl" w:hint="cs"/>
          <w:rtl/>
        </w:rPr>
      </w:pPr>
    </w:p>
    <w:p w14:paraId="3CFD57AD" w14:textId="77777777" w:rsidR="002D24EB" w:rsidRDefault="002D24EB">
      <w:pPr>
        <w:pStyle w:val="P00"/>
        <w:spacing w:before="72"/>
        <w:ind w:left="0" w:right="1134"/>
        <w:rPr>
          <w:rStyle w:val="default"/>
          <w:rFonts w:cs="FrankRuehl" w:hint="cs"/>
          <w:rtl/>
        </w:rPr>
      </w:pPr>
    </w:p>
    <w:p w14:paraId="5E194C55" w14:textId="77777777" w:rsidR="002D24EB" w:rsidRDefault="00DA75F2" w:rsidP="00DA75F2">
      <w:pPr>
        <w:pStyle w:val="sig-1"/>
        <w:tabs>
          <w:tab w:val="clear" w:pos="851"/>
          <w:tab w:val="clear" w:pos="2835"/>
          <w:tab w:val="clear" w:pos="4820"/>
          <w:tab w:val="center" w:pos="5103"/>
        </w:tabs>
        <w:ind w:left="0" w:right="1134"/>
        <w:rPr>
          <w:rStyle w:val="default"/>
          <w:rFonts w:cs="FrankRuehl" w:hint="cs"/>
          <w:rtl/>
        </w:rPr>
      </w:pPr>
      <w:r>
        <w:rPr>
          <w:rStyle w:val="default"/>
          <w:rFonts w:cs="FrankRuehl" w:hint="cs"/>
          <w:rtl/>
        </w:rPr>
        <w:t>ט"ו בסיוון התשע"ב (5 ביוני 2012</w:t>
      </w:r>
      <w:r w:rsidR="002D24EB">
        <w:rPr>
          <w:rStyle w:val="default"/>
          <w:rFonts w:cs="FrankRuehl" w:hint="cs"/>
          <w:rtl/>
        </w:rPr>
        <w:t>)</w:t>
      </w:r>
      <w:r w:rsidR="002D24EB">
        <w:rPr>
          <w:rStyle w:val="default"/>
          <w:rFonts w:cs="FrankRuehl" w:hint="cs"/>
          <w:rtl/>
        </w:rPr>
        <w:tab/>
      </w:r>
      <w:r>
        <w:rPr>
          <w:rStyle w:val="default"/>
          <w:rFonts w:cs="FrankRuehl" w:hint="cs"/>
          <w:rtl/>
        </w:rPr>
        <w:t>יובל שטייניץ</w:t>
      </w:r>
    </w:p>
    <w:p w14:paraId="0B923379" w14:textId="77777777" w:rsidR="002D24EB" w:rsidRDefault="002D24EB">
      <w:pPr>
        <w:pStyle w:val="sig-1"/>
        <w:tabs>
          <w:tab w:val="clear" w:pos="851"/>
          <w:tab w:val="clear" w:pos="2835"/>
          <w:tab w:val="clear" w:pos="4820"/>
          <w:tab w:val="center" w:pos="5103"/>
        </w:tabs>
        <w:ind w:left="0" w:right="1134"/>
        <w:rPr>
          <w:rStyle w:val="default"/>
          <w:rFonts w:cs="FrankRuehl" w:hint="cs"/>
          <w:sz w:val="22"/>
          <w:szCs w:val="22"/>
          <w:rtl/>
        </w:rPr>
      </w:pPr>
      <w:r>
        <w:rPr>
          <w:rStyle w:val="default"/>
          <w:rFonts w:cs="FrankRuehl" w:hint="cs"/>
          <w:sz w:val="22"/>
          <w:szCs w:val="22"/>
          <w:rtl/>
        </w:rPr>
        <w:tab/>
        <w:t>שר האוצר</w:t>
      </w:r>
    </w:p>
    <w:p w14:paraId="02CD4D3A" w14:textId="77777777" w:rsidR="00E23898" w:rsidRDefault="00E23898">
      <w:pPr>
        <w:pStyle w:val="P00"/>
        <w:spacing w:before="72"/>
        <w:ind w:left="0" w:right="1134"/>
        <w:rPr>
          <w:rStyle w:val="default"/>
          <w:rFonts w:cs="FrankRuehl" w:hint="cs"/>
          <w:rtl/>
        </w:rPr>
      </w:pPr>
    </w:p>
    <w:p w14:paraId="19185A40" w14:textId="77777777" w:rsidR="003522DE" w:rsidRDefault="003522DE">
      <w:pPr>
        <w:pStyle w:val="P00"/>
        <w:spacing w:before="72"/>
        <w:ind w:left="0" w:right="1134"/>
        <w:rPr>
          <w:rStyle w:val="default"/>
          <w:rFonts w:cs="FrankRuehl" w:hint="cs"/>
          <w:rtl/>
        </w:rPr>
      </w:pPr>
    </w:p>
    <w:p w14:paraId="564B1B39" w14:textId="77777777" w:rsidR="002D24EB" w:rsidRDefault="002D24EB">
      <w:pPr>
        <w:pStyle w:val="P00"/>
        <w:spacing w:before="72"/>
        <w:ind w:left="0" w:right="1134"/>
        <w:rPr>
          <w:rStyle w:val="default"/>
          <w:rFonts w:cs="FrankRuehl" w:hint="cs"/>
          <w:rtl/>
        </w:rPr>
      </w:pPr>
      <w:bookmarkStart w:id="3" w:name="LawPartEnd"/>
      <w:bookmarkEnd w:id="3"/>
    </w:p>
    <w:p w14:paraId="1A603F9D" w14:textId="77777777" w:rsidR="00753AE3" w:rsidRDefault="00753AE3">
      <w:pPr>
        <w:pStyle w:val="P00"/>
        <w:spacing w:before="72"/>
        <w:ind w:left="0" w:right="1134"/>
        <w:rPr>
          <w:rStyle w:val="default"/>
          <w:rFonts w:cs="FrankRuehl"/>
          <w:rtl/>
        </w:rPr>
      </w:pPr>
    </w:p>
    <w:p w14:paraId="79751EB5" w14:textId="77777777" w:rsidR="00753AE3" w:rsidRDefault="00753AE3">
      <w:pPr>
        <w:pStyle w:val="P00"/>
        <w:spacing w:before="72"/>
        <w:ind w:left="0" w:right="1134"/>
        <w:rPr>
          <w:rStyle w:val="default"/>
          <w:rFonts w:cs="FrankRuehl"/>
          <w:rtl/>
        </w:rPr>
      </w:pPr>
    </w:p>
    <w:p w14:paraId="1D27FA32" w14:textId="77777777" w:rsidR="00753AE3" w:rsidRDefault="00753AE3" w:rsidP="00753AE3">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21B60E22" w14:textId="77777777" w:rsidR="002D24EB" w:rsidRPr="00753AE3" w:rsidRDefault="002D24EB" w:rsidP="00753AE3">
      <w:pPr>
        <w:pStyle w:val="P00"/>
        <w:spacing w:before="72"/>
        <w:ind w:left="0" w:right="1134"/>
        <w:jc w:val="center"/>
        <w:rPr>
          <w:rStyle w:val="default"/>
          <w:rFonts w:cs="David" w:hint="cs"/>
          <w:color w:val="0000FF"/>
          <w:szCs w:val="24"/>
          <w:u w:val="single"/>
          <w:rtl/>
        </w:rPr>
      </w:pPr>
    </w:p>
    <w:sectPr w:rsidR="002D24EB" w:rsidRPr="00753AE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9FA22" w14:textId="77777777" w:rsidR="00D710A8" w:rsidRPr="00482E6A" w:rsidRDefault="00D710A8">
      <w:pPr>
        <w:rPr>
          <w:rFonts w:cs="Times New Roman"/>
        </w:rPr>
      </w:pPr>
      <w:r>
        <w:separator/>
      </w:r>
    </w:p>
  </w:endnote>
  <w:endnote w:type="continuationSeparator" w:id="0">
    <w:p w14:paraId="4E80722A" w14:textId="77777777" w:rsidR="00D710A8" w:rsidRPr="00482E6A" w:rsidRDefault="00D710A8">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F8600" w14:textId="77777777" w:rsidR="004F01ED" w:rsidRDefault="004F01E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2E46839" w14:textId="77777777" w:rsidR="004F01ED" w:rsidRDefault="004F01E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2F7F0B5B" w14:textId="77777777" w:rsidR="004F01ED" w:rsidRDefault="004F01E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3AE3">
      <w:rPr>
        <w:rFonts w:cs="TopType Jerushalmi"/>
        <w:noProof/>
        <w:color w:val="000000"/>
        <w:sz w:val="14"/>
        <w:szCs w:val="14"/>
      </w:rPr>
      <w:t>Z:\000-law\yael\2012\2012-06-19\tav\500_711.doc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A53C" w14:textId="77777777" w:rsidR="004F01ED" w:rsidRDefault="004F01E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53AE3">
      <w:rPr>
        <w:rFonts w:hAnsi="FrankRuehl" w:cs="FrankRuehl"/>
        <w:noProof/>
        <w:sz w:val="24"/>
        <w:szCs w:val="24"/>
        <w:rtl/>
      </w:rPr>
      <w:t>6</w:t>
    </w:r>
    <w:r>
      <w:rPr>
        <w:rFonts w:hAnsi="FrankRuehl" w:cs="FrankRuehl"/>
        <w:sz w:val="24"/>
        <w:szCs w:val="24"/>
        <w:rtl/>
      </w:rPr>
      <w:fldChar w:fldCharType="end"/>
    </w:r>
  </w:p>
  <w:p w14:paraId="30CBB083" w14:textId="77777777" w:rsidR="004F01ED" w:rsidRDefault="004F01E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113F5088" w14:textId="77777777" w:rsidR="004F01ED" w:rsidRDefault="004F01E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3AE3">
      <w:rPr>
        <w:rFonts w:cs="TopType Jerushalmi"/>
        <w:noProof/>
        <w:color w:val="000000"/>
        <w:sz w:val="14"/>
        <w:szCs w:val="14"/>
      </w:rPr>
      <w:t>Z:\000-law\yael\2012\2012-06-19\tav\500_711.doc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A0B40" w14:textId="77777777" w:rsidR="00D710A8" w:rsidRDefault="00D710A8">
      <w:pPr>
        <w:spacing w:before="60" w:line="240" w:lineRule="auto"/>
        <w:ind w:right="1134"/>
      </w:pPr>
      <w:r>
        <w:separator/>
      </w:r>
    </w:p>
  </w:footnote>
  <w:footnote w:type="continuationSeparator" w:id="0">
    <w:p w14:paraId="3D1BB8E3" w14:textId="77777777" w:rsidR="00D710A8" w:rsidRPr="00482E6A" w:rsidRDefault="00D710A8">
      <w:pPr>
        <w:rPr>
          <w:rFonts w:cs="Times New Roman"/>
        </w:rPr>
      </w:pPr>
      <w:r>
        <w:continuationSeparator/>
      </w:r>
    </w:p>
  </w:footnote>
  <w:footnote w:id="1">
    <w:p w14:paraId="4BFDCBF4" w14:textId="77777777" w:rsidR="00AB2FD2" w:rsidRDefault="004F01ED" w:rsidP="00AB2FD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sidRPr="00AB2FD2">
          <w:rPr>
            <w:rStyle w:val="Hyperlink"/>
            <w:rFonts w:hint="cs"/>
            <w:sz w:val="20"/>
            <w:rtl/>
          </w:rPr>
          <w:t>ק"ת תש</w:t>
        </w:r>
        <w:r w:rsidR="00E23898" w:rsidRPr="00AB2FD2">
          <w:rPr>
            <w:rStyle w:val="Hyperlink"/>
            <w:rFonts w:hint="cs"/>
            <w:sz w:val="20"/>
            <w:rtl/>
          </w:rPr>
          <w:t>ע"ב</w:t>
        </w:r>
        <w:r w:rsidRPr="00AB2FD2">
          <w:rPr>
            <w:rStyle w:val="Hyperlink"/>
            <w:rFonts w:hint="cs"/>
            <w:sz w:val="20"/>
            <w:rtl/>
          </w:rPr>
          <w:t xml:space="preserve"> מס' </w:t>
        </w:r>
        <w:r w:rsidR="00E23898" w:rsidRPr="00AB2FD2">
          <w:rPr>
            <w:rStyle w:val="Hyperlink"/>
            <w:rFonts w:hint="cs"/>
            <w:sz w:val="20"/>
            <w:rtl/>
          </w:rPr>
          <w:t>7128</w:t>
        </w:r>
      </w:hyperlink>
      <w:r>
        <w:rPr>
          <w:rFonts w:hint="cs"/>
          <w:sz w:val="20"/>
          <w:rtl/>
        </w:rPr>
        <w:t xml:space="preserve"> מיום </w:t>
      </w:r>
      <w:r w:rsidR="00E23898">
        <w:rPr>
          <w:rFonts w:hint="cs"/>
          <w:sz w:val="20"/>
          <w:rtl/>
        </w:rPr>
        <w:t>14.6.2012</w:t>
      </w:r>
      <w:r>
        <w:rPr>
          <w:rFonts w:hint="cs"/>
          <w:sz w:val="20"/>
          <w:rtl/>
        </w:rPr>
        <w:t xml:space="preserve"> עמ' </w:t>
      </w:r>
      <w:r w:rsidR="00E23898">
        <w:rPr>
          <w:rFonts w:hint="cs"/>
          <w:sz w:val="20"/>
          <w:rtl/>
        </w:rPr>
        <w:t>1226</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9381D" w14:textId="77777777" w:rsidR="004F01ED" w:rsidRDefault="004F01E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013A96AB" w14:textId="77777777" w:rsidR="004F01ED" w:rsidRDefault="004F01E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B2C156" w14:textId="77777777" w:rsidR="004F01ED" w:rsidRDefault="004F01E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05C31" w14:textId="77777777" w:rsidR="004F01ED" w:rsidRDefault="004F01ED" w:rsidP="00E23898">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מס רכוש וקרן פיצויים (תשלום פיצויים) (נזק מלחמה ונזק עקיף) (הוראת שעה)</w:t>
    </w:r>
    <w:r>
      <w:rPr>
        <w:rFonts w:hAnsi="FrankRuehl" w:cs="FrankRuehl"/>
        <w:color w:val="000000"/>
        <w:sz w:val="28"/>
        <w:szCs w:val="28"/>
        <w:rtl/>
      </w:rPr>
      <w:t xml:space="preserve">, </w:t>
    </w:r>
    <w:r w:rsidR="00E23898">
      <w:rPr>
        <w:rFonts w:hAnsi="FrankRuehl" w:cs="FrankRuehl" w:hint="cs"/>
        <w:color w:val="000000"/>
        <w:sz w:val="28"/>
        <w:szCs w:val="28"/>
        <w:rtl/>
      </w:rPr>
      <w:t>תשע"ב-2012</w:t>
    </w:r>
  </w:p>
  <w:p w14:paraId="6B8DABCD" w14:textId="77777777" w:rsidR="004F01ED" w:rsidRDefault="004F01E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504B5CF" w14:textId="77777777" w:rsidR="004F01ED" w:rsidRDefault="004F01E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533"/>
    <w:rsid w:val="000526A7"/>
    <w:rsid w:val="00083748"/>
    <w:rsid w:val="00095C17"/>
    <w:rsid w:val="001932C1"/>
    <w:rsid w:val="001E282C"/>
    <w:rsid w:val="001E7813"/>
    <w:rsid w:val="002A6834"/>
    <w:rsid w:val="002D24EB"/>
    <w:rsid w:val="003002A4"/>
    <w:rsid w:val="003009FA"/>
    <w:rsid w:val="003522DE"/>
    <w:rsid w:val="0037126D"/>
    <w:rsid w:val="003829EE"/>
    <w:rsid w:val="0039376D"/>
    <w:rsid w:val="003961C0"/>
    <w:rsid w:val="003A0A0C"/>
    <w:rsid w:val="003D4215"/>
    <w:rsid w:val="003E2224"/>
    <w:rsid w:val="00441E6A"/>
    <w:rsid w:val="004F01ED"/>
    <w:rsid w:val="005045F5"/>
    <w:rsid w:val="00550632"/>
    <w:rsid w:val="00582145"/>
    <w:rsid w:val="005D108B"/>
    <w:rsid w:val="0062185C"/>
    <w:rsid w:val="00666B49"/>
    <w:rsid w:val="00692682"/>
    <w:rsid w:val="00753AE3"/>
    <w:rsid w:val="0077742C"/>
    <w:rsid w:val="007873B0"/>
    <w:rsid w:val="007C7755"/>
    <w:rsid w:val="00856456"/>
    <w:rsid w:val="008743DC"/>
    <w:rsid w:val="008813A2"/>
    <w:rsid w:val="008B5F4C"/>
    <w:rsid w:val="008D1DAF"/>
    <w:rsid w:val="009055DE"/>
    <w:rsid w:val="009B3501"/>
    <w:rsid w:val="009E1733"/>
    <w:rsid w:val="00A3622A"/>
    <w:rsid w:val="00A43FDF"/>
    <w:rsid w:val="00A64A84"/>
    <w:rsid w:val="00A64F6F"/>
    <w:rsid w:val="00AB2FD2"/>
    <w:rsid w:val="00AF4799"/>
    <w:rsid w:val="00B470A4"/>
    <w:rsid w:val="00BB0ACF"/>
    <w:rsid w:val="00BD06D5"/>
    <w:rsid w:val="00C0388B"/>
    <w:rsid w:val="00C341A2"/>
    <w:rsid w:val="00C634CF"/>
    <w:rsid w:val="00D37B6E"/>
    <w:rsid w:val="00D710A8"/>
    <w:rsid w:val="00DA44A0"/>
    <w:rsid w:val="00DA75F2"/>
    <w:rsid w:val="00DF4E16"/>
    <w:rsid w:val="00E06533"/>
    <w:rsid w:val="00E23898"/>
    <w:rsid w:val="00E25E9F"/>
    <w:rsid w:val="00E32C73"/>
    <w:rsid w:val="00E63082"/>
    <w:rsid w:val="00E848EB"/>
    <w:rsid w:val="00F53C58"/>
    <w:rsid w:val="00FC4209"/>
    <w:rsid w:val="00FC749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67ED68B"/>
  <w15:chartTrackingRefBased/>
  <w15:docId w15:val="{0FEAC64D-7CF3-446E-A023-82C5B1B6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1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8594</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8126465</vt:i4>
      </vt:variant>
      <vt:variant>
        <vt:i4>0</vt:i4>
      </vt:variant>
      <vt:variant>
        <vt:i4>0</vt:i4>
      </vt:variant>
      <vt:variant>
        <vt:i4>5</vt:i4>
      </vt:variant>
      <vt:variant>
        <vt:lpwstr>http://www.nevo.co.il/Law_word/law06/tak-7128.pdf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מס רכוש וקרן פיצויים</vt:lpwstr>
  </property>
  <property fmtid="{D5CDD505-2E9C-101B-9397-08002B2CF9AE}" pid="4" name="LAWNAME">
    <vt:lpwstr>תקנות מס רכוש וקרן פיצויים (תשלום פיצויים) (נזק מלחמה ונזק עקיף) (הוראת שעה), תשע"ב-2012</vt:lpwstr>
  </property>
  <property fmtid="{D5CDD505-2E9C-101B-9397-08002B2CF9AE}" pid="5" name="LAWNUMBER">
    <vt:lpwstr>0711</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MEKORSAMCHUT">
    <vt:lpwstr/>
  </property>
  <property fmtid="{D5CDD505-2E9C-101B-9397-08002B2CF9AE}" pid="23" name="MEKOR_NAME1">
    <vt:lpwstr>חוק מס רכוש וקרן פיצויים</vt:lpwstr>
  </property>
  <property fmtid="{D5CDD505-2E9C-101B-9397-08002B2CF9AE}" pid="24" name="MEKOR_SAIF1">
    <vt:lpwstr>35X;36XאX;65X</vt:lpwstr>
  </property>
  <property fmtid="{D5CDD505-2E9C-101B-9397-08002B2CF9AE}" pid="25" name="NOSE11">
    <vt:lpwstr>מסים</vt:lpwstr>
  </property>
  <property fmtid="{D5CDD505-2E9C-101B-9397-08002B2CF9AE}" pid="26" name="NOSE21">
    <vt:lpwstr>מס רכוש וקרן פיצויים</vt:lpwstr>
  </property>
  <property fmtid="{D5CDD505-2E9C-101B-9397-08002B2CF9AE}" pid="27" name="NOSE31">
    <vt:lpwstr>נזק</vt:lpwstr>
  </property>
  <property fmtid="{D5CDD505-2E9C-101B-9397-08002B2CF9AE}" pid="28" name="NOSE41">
    <vt:lpwstr>תשלום פיצויים</vt:lpwstr>
  </property>
  <property fmtid="{D5CDD505-2E9C-101B-9397-08002B2CF9AE}" pid="29" name="NOSE12">
    <vt:lpwstr>בטחון</vt:lpwstr>
  </property>
  <property fmtid="{D5CDD505-2E9C-101B-9397-08002B2CF9AE}" pid="30" name="NOSE22">
    <vt:lpwstr>נזק מלחמה ונזק עקיף</vt:lpwstr>
  </property>
  <property fmtid="{D5CDD505-2E9C-101B-9397-08002B2CF9AE}" pid="31" name="NOSE32">
    <vt:lpwstr>תשלום פיצויים</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LINKK1">
    <vt:lpwstr>http://www.nevo.co.il/Law_word/law06/tak-7128.pdf;‎רשומות - תקנות כלליות#פורסמו ק"ת תשע"ב ‏מס' 7128 #מיום 14.6.2012 עמ' 1226‏</vt:lpwstr>
  </property>
</Properties>
</file>