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55F5" w14:textId="77777777" w:rsidR="00C644B0" w:rsidRDefault="00C644B0">
      <w:pPr>
        <w:pStyle w:val="big-header"/>
        <w:ind w:left="0" w:right="1134"/>
      </w:pPr>
      <w:r>
        <w:rPr>
          <w:rtl/>
        </w:rPr>
        <w:t>תקנות מס שבח מקרקעין (תוספת מס) (בסיס לקביעת שווי של זכות במקרקעין), תשל"ה</w:t>
      </w:r>
      <w:r>
        <w:rPr>
          <w:rFonts w:hint="cs"/>
          <w:rtl/>
        </w:rPr>
        <w:t>-</w:t>
      </w:r>
      <w:r>
        <w:rPr>
          <w:rtl/>
        </w:rPr>
        <w:t>1974</w:t>
      </w:r>
    </w:p>
    <w:p w14:paraId="69BB9CED" w14:textId="77777777" w:rsidR="007F6F95" w:rsidRPr="007F6F95" w:rsidRDefault="007F6F95" w:rsidP="007F6F95">
      <w:pPr>
        <w:spacing w:line="320" w:lineRule="auto"/>
        <w:jc w:val="left"/>
        <w:rPr>
          <w:rFonts w:cs="FrankRuehl"/>
          <w:szCs w:val="26"/>
          <w:rtl/>
        </w:rPr>
      </w:pPr>
    </w:p>
    <w:p w14:paraId="5D8012ED" w14:textId="77777777" w:rsidR="007F6F95" w:rsidRDefault="007F6F95" w:rsidP="007F6F95">
      <w:pPr>
        <w:spacing w:line="320" w:lineRule="auto"/>
        <w:jc w:val="left"/>
        <w:rPr>
          <w:rtl/>
        </w:rPr>
      </w:pPr>
    </w:p>
    <w:p w14:paraId="1562FE58" w14:textId="77777777" w:rsidR="007F6F95" w:rsidRDefault="007F6F95" w:rsidP="007F6F95">
      <w:pPr>
        <w:spacing w:line="320" w:lineRule="auto"/>
        <w:jc w:val="left"/>
        <w:rPr>
          <w:rFonts w:cs="FrankRuehl"/>
          <w:szCs w:val="26"/>
          <w:rtl/>
        </w:rPr>
      </w:pPr>
      <w:r w:rsidRPr="007F6F95">
        <w:rPr>
          <w:rFonts w:cs="Miriam"/>
          <w:szCs w:val="22"/>
          <w:rtl/>
        </w:rPr>
        <w:t>מסים</w:t>
      </w:r>
      <w:r w:rsidRPr="007F6F95">
        <w:rPr>
          <w:rFonts w:cs="FrankRuehl"/>
          <w:szCs w:val="26"/>
          <w:rtl/>
        </w:rPr>
        <w:t xml:space="preserve"> – מיסוי מקרקעין – מס שבח מקרקעין</w:t>
      </w:r>
    </w:p>
    <w:p w14:paraId="11C42D32" w14:textId="77777777" w:rsidR="007F6F95" w:rsidRPr="007F6F95" w:rsidRDefault="007F6F95" w:rsidP="007F6F95">
      <w:pPr>
        <w:spacing w:line="320" w:lineRule="auto"/>
        <w:jc w:val="left"/>
        <w:rPr>
          <w:rFonts w:cs="Miriam"/>
          <w:szCs w:val="22"/>
          <w:rtl/>
        </w:rPr>
      </w:pPr>
      <w:r w:rsidRPr="007F6F95">
        <w:rPr>
          <w:rFonts w:cs="Miriam"/>
          <w:szCs w:val="22"/>
          <w:rtl/>
        </w:rPr>
        <w:t>משפט פרטי וכלכלה</w:t>
      </w:r>
      <w:r w:rsidRPr="007F6F95">
        <w:rPr>
          <w:rFonts w:cs="FrankRuehl"/>
          <w:szCs w:val="26"/>
          <w:rtl/>
        </w:rPr>
        <w:t xml:space="preserve"> – קניין – מקרקעין – מיסוי מקרקעין</w:t>
      </w:r>
    </w:p>
    <w:p w14:paraId="2E06859F" w14:textId="77777777" w:rsidR="00C644B0" w:rsidRDefault="00C644B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7FEC" w:rsidRPr="00887FEC" w14:paraId="33EF3C1A" w14:textId="77777777">
        <w:tblPrEx>
          <w:tblCellMar>
            <w:top w:w="0" w:type="dxa"/>
            <w:bottom w:w="0" w:type="dxa"/>
          </w:tblCellMar>
        </w:tblPrEx>
        <w:tc>
          <w:tcPr>
            <w:tcW w:w="1247" w:type="dxa"/>
          </w:tcPr>
          <w:p w14:paraId="4B40EFEA" w14:textId="77777777" w:rsidR="00887FEC" w:rsidRPr="00887FEC" w:rsidRDefault="00887FEC" w:rsidP="00887FEC">
            <w:pPr>
              <w:spacing w:line="240" w:lineRule="auto"/>
              <w:jc w:val="left"/>
              <w:rPr>
                <w:rFonts w:cs="Frankruhel"/>
                <w:sz w:val="24"/>
                <w:rtl/>
              </w:rPr>
            </w:pPr>
            <w:r>
              <w:rPr>
                <w:rFonts w:cs="Times New Roman"/>
                <w:sz w:val="24"/>
                <w:rtl/>
              </w:rPr>
              <w:t xml:space="preserve">סעיף 1 </w:t>
            </w:r>
          </w:p>
        </w:tc>
        <w:tc>
          <w:tcPr>
            <w:tcW w:w="5669" w:type="dxa"/>
          </w:tcPr>
          <w:p w14:paraId="1540C4F8" w14:textId="77777777" w:rsidR="00887FEC" w:rsidRPr="00887FEC" w:rsidRDefault="00887FEC" w:rsidP="00887FEC">
            <w:pPr>
              <w:spacing w:line="240" w:lineRule="auto"/>
              <w:jc w:val="left"/>
              <w:rPr>
                <w:rFonts w:cs="Frankruhel"/>
                <w:sz w:val="24"/>
                <w:rtl/>
              </w:rPr>
            </w:pPr>
            <w:r>
              <w:rPr>
                <w:rFonts w:cs="Times New Roman"/>
                <w:sz w:val="24"/>
                <w:rtl/>
              </w:rPr>
              <w:t>בסיס לקביעת שווי</w:t>
            </w:r>
          </w:p>
        </w:tc>
        <w:tc>
          <w:tcPr>
            <w:tcW w:w="567" w:type="dxa"/>
          </w:tcPr>
          <w:p w14:paraId="70D11337" w14:textId="77777777" w:rsidR="00887FEC" w:rsidRPr="00887FEC" w:rsidRDefault="00887FEC" w:rsidP="00887FEC">
            <w:pPr>
              <w:spacing w:line="240" w:lineRule="auto"/>
              <w:jc w:val="left"/>
              <w:rPr>
                <w:rStyle w:val="Hyperlink"/>
                <w:rtl/>
              </w:rPr>
            </w:pPr>
            <w:hyperlink w:anchor="Seif1" w:tooltip="בסיס לקביעת שווי" w:history="1">
              <w:r w:rsidRPr="00887FEC">
                <w:rPr>
                  <w:rStyle w:val="Hyperlink"/>
                </w:rPr>
                <w:t>Go</w:t>
              </w:r>
            </w:hyperlink>
          </w:p>
        </w:tc>
        <w:tc>
          <w:tcPr>
            <w:tcW w:w="850" w:type="dxa"/>
          </w:tcPr>
          <w:p w14:paraId="1FDB1CDE" w14:textId="77777777" w:rsidR="00887FEC" w:rsidRPr="00887FEC" w:rsidRDefault="00887FEC" w:rsidP="00887F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FEC" w:rsidRPr="00887FEC" w14:paraId="2C21F295" w14:textId="77777777">
        <w:tblPrEx>
          <w:tblCellMar>
            <w:top w:w="0" w:type="dxa"/>
            <w:bottom w:w="0" w:type="dxa"/>
          </w:tblCellMar>
        </w:tblPrEx>
        <w:tc>
          <w:tcPr>
            <w:tcW w:w="1247" w:type="dxa"/>
          </w:tcPr>
          <w:p w14:paraId="7BE187E9" w14:textId="77777777" w:rsidR="00887FEC" w:rsidRPr="00887FEC" w:rsidRDefault="00887FEC" w:rsidP="00887FEC">
            <w:pPr>
              <w:spacing w:line="240" w:lineRule="auto"/>
              <w:jc w:val="left"/>
              <w:rPr>
                <w:rFonts w:cs="Frankruhel"/>
                <w:sz w:val="24"/>
                <w:rtl/>
              </w:rPr>
            </w:pPr>
            <w:r>
              <w:rPr>
                <w:rFonts w:cs="Times New Roman"/>
                <w:sz w:val="24"/>
                <w:rtl/>
              </w:rPr>
              <w:t xml:space="preserve">סעיף 2 </w:t>
            </w:r>
          </w:p>
        </w:tc>
        <w:tc>
          <w:tcPr>
            <w:tcW w:w="5669" w:type="dxa"/>
          </w:tcPr>
          <w:p w14:paraId="1627E704" w14:textId="77777777" w:rsidR="00887FEC" w:rsidRPr="00887FEC" w:rsidRDefault="00887FEC" w:rsidP="00887FEC">
            <w:pPr>
              <w:spacing w:line="240" w:lineRule="auto"/>
              <w:jc w:val="left"/>
              <w:rPr>
                <w:rFonts w:cs="Frankruhel"/>
                <w:sz w:val="24"/>
                <w:rtl/>
              </w:rPr>
            </w:pPr>
            <w:r>
              <w:rPr>
                <w:rFonts w:cs="Times New Roman"/>
                <w:sz w:val="24"/>
                <w:rtl/>
              </w:rPr>
              <w:t>תחילה</w:t>
            </w:r>
          </w:p>
        </w:tc>
        <w:tc>
          <w:tcPr>
            <w:tcW w:w="567" w:type="dxa"/>
          </w:tcPr>
          <w:p w14:paraId="13D63130" w14:textId="77777777" w:rsidR="00887FEC" w:rsidRPr="00887FEC" w:rsidRDefault="00887FEC" w:rsidP="00887FEC">
            <w:pPr>
              <w:spacing w:line="240" w:lineRule="auto"/>
              <w:jc w:val="left"/>
              <w:rPr>
                <w:rStyle w:val="Hyperlink"/>
                <w:rtl/>
              </w:rPr>
            </w:pPr>
            <w:hyperlink w:anchor="Seif2" w:tooltip="תחילה" w:history="1">
              <w:r w:rsidRPr="00887FEC">
                <w:rPr>
                  <w:rStyle w:val="Hyperlink"/>
                </w:rPr>
                <w:t>Go</w:t>
              </w:r>
            </w:hyperlink>
          </w:p>
        </w:tc>
        <w:tc>
          <w:tcPr>
            <w:tcW w:w="850" w:type="dxa"/>
          </w:tcPr>
          <w:p w14:paraId="1B29C2C6" w14:textId="77777777" w:rsidR="00887FEC" w:rsidRPr="00887FEC" w:rsidRDefault="00887FEC" w:rsidP="00887F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7FEC" w:rsidRPr="00887FEC" w14:paraId="47426ADA" w14:textId="77777777">
        <w:tblPrEx>
          <w:tblCellMar>
            <w:top w:w="0" w:type="dxa"/>
            <w:bottom w:w="0" w:type="dxa"/>
          </w:tblCellMar>
        </w:tblPrEx>
        <w:tc>
          <w:tcPr>
            <w:tcW w:w="1247" w:type="dxa"/>
          </w:tcPr>
          <w:p w14:paraId="2D641100" w14:textId="77777777" w:rsidR="00887FEC" w:rsidRPr="00887FEC" w:rsidRDefault="00887FEC" w:rsidP="00887FEC">
            <w:pPr>
              <w:spacing w:line="240" w:lineRule="auto"/>
              <w:jc w:val="left"/>
              <w:rPr>
                <w:rFonts w:cs="Frankruhel"/>
                <w:sz w:val="24"/>
                <w:rtl/>
              </w:rPr>
            </w:pPr>
            <w:r>
              <w:rPr>
                <w:rFonts w:cs="Times New Roman"/>
                <w:sz w:val="24"/>
                <w:rtl/>
              </w:rPr>
              <w:t xml:space="preserve">סעיף 3 </w:t>
            </w:r>
          </w:p>
        </w:tc>
        <w:tc>
          <w:tcPr>
            <w:tcW w:w="5669" w:type="dxa"/>
          </w:tcPr>
          <w:p w14:paraId="72ED02CA" w14:textId="77777777" w:rsidR="00887FEC" w:rsidRPr="00887FEC" w:rsidRDefault="00887FEC" w:rsidP="00887FEC">
            <w:pPr>
              <w:spacing w:line="240" w:lineRule="auto"/>
              <w:jc w:val="left"/>
              <w:rPr>
                <w:rFonts w:cs="Frankruhel"/>
                <w:sz w:val="24"/>
                <w:rtl/>
              </w:rPr>
            </w:pPr>
            <w:r>
              <w:rPr>
                <w:rFonts w:cs="Times New Roman"/>
                <w:sz w:val="24"/>
                <w:rtl/>
              </w:rPr>
              <w:t>השם</w:t>
            </w:r>
          </w:p>
        </w:tc>
        <w:tc>
          <w:tcPr>
            <w:tcW w:w="567" w:type="dxa"/>
          </w:tcPr>
          <w:p w14:paraId="0990FEC4" w14:textId="77777777" w:rsidR="00887FEC" w:rsidRPr="00887FEC" w:rsidRDefault="00887FEC" w:rsidP="00887FEC">
            <w:pPr>
              <w:spacing w:line="240" w:lineRule="auto"/>
              <w:jc w:val="left"/>
              <w:rPr>
                <w:rStyle w:val="Hyperlink"/>
                <w:rtl/>
              </w:rPr>
            </w:pPr>
            <w:hyperlink w:anchor="Seif3" w:tooltip="השם" w:history="1">
              <w:r w:rsidRPr="00887FEC">
                <w:rPr>
                  <w:rStyle w:val="Hyperlink"/>
                </w:rPr>
                <w:t>Go</w:t>
              </w:r>
            </w:hyperlink>
          </w:p>
        </w:tc>
        <w:tc>
          <w:tcPr>
            <w:tcW w:w="850" w:type="dxa"/>
          </w:tcPr>
          <w:p w14:paraId="1A8A5097" w14:textId="77777777" w:rsidR="00887FEC" w:rsidRPr="00887FEC" w:rsidRDefault="00887FEC" w:rsidP="00887FE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A09F74C" w14:textId="77777777" w:rsidR="00C644B0" w:rsidRDefault="00C644B0">
      <w:pPr>
        <w:pStyle w:val="big-header"/>
        <w:ind w:left="0" w:right="1134"/>
        <w:rPr>
          <w:rtl/>
        </w:rPr>
      </w:pPr>
    </w:p>
    <w:p w14:paraId="4B611119" w14:textId="77777777" w:rsidR="00C644B0" w:rsidRDefault="00C644B0" w:rsidP="007F6F95">
      <w:pPr>
        <w:pStyle w:val="big-header"/>
        <w:ind w:left="0" w:right="1134"/>
        <w:rPr>
          <w:rStyle w:val="default"/>
          <w:rFonts w:cs="FrankRuehl" w:hint="cs"/>
          <w:rtl/>
        </w:rPr>
      </w:pPr>
      <w:r>
        <w:rPr>
          <w:rtl/>
        </w:rPr>
        <w:br w:type="page"/>
      </w:r>
      <w:r>
        <w:rPr>
          <w:rtl/>
        </w:rPr>
        <w:lastRenderedPageBreak/>
        <w:t>ת</w:t>
      </w:r>
      <w:r>
        <w:rPr>
          <w:rFonts w:hint="cs"/>
          <w:rtl/>
        </w:rPr>
        <w:t>קנות מס שבח מקרקעין (תוספת מס) (בסיס לקביעת שווי של זכות במקרקעין), תשל"ה-1974</w:t>
      </w:r>
      <w:r>
        <w:rPr>
          <w:rStyle w:val="default"/>
          <w:rtl/>
        </w:rPr>
        <w:footnoteReference w:customMarkFollows="1" w:id="1"/>
        <w:t>*</w:t>
      </w:r>
    </w:p>
    <w:p w14:paraId="65D9DAE6" w14:textId="77777777" w:rsidR="00C644B0" w:rsidRDefault="00C644B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3(ו) לחוק מס שבח מקרקעין (תיקון מס' 5), תשל"ה</w:t>
      </w:r>
      <w:r>
        <w:rPr>
          <w:rStyle w:val="default"/>
          <w:rFonts w:cs="FrankRuehl"/>
          <w:rtl/>
        </w:rPr>
        <w:t>–</w:t>
      </w:r>
      <w:r>
        <w:rPr>
          <w:rStyle w:val="default"/>
          <w:rFonts w:cs="FrankRuehl" w:hint="cs"/>
          <w:rtl/>
        </w:rPr>
        <w:t>1974 (להל</w:t>
      </w:r>
      <w:r>
        <w:rPr>
          <w:rStyle w:val="default"/>
          <w:rFonts w:cs="FrankRuehl"/>
          <w:rtl/>
        </w:rPr>
        <w:t>ן</w:t>
      </w:r>
      <w:r>
        <w:rPr>
          <w:rStyle w:val="default"/>
          <w:rFonts w:cs="FrankRuehl" w:hint="cs"/>
          <w:rtl/>
        </w:rPr>
        <w:t xml:space="preserve"> - החוק), ובאישור ועדת הכספים של הכנסת, אני מתקין תקנות אלה:</w:t>
      </w:r>
    </w:p>
    <w:p w14:paraId="71AF9C31" w14:textId="77777777" w:rsidR="00C644B0" w:rsidRDefault="00C644B0">
      <w:pPr>
        <w:pStyle w:val="P00"/>
        <w:spacing w:before="72"/>
        <w:ind w:left="0" w:right="1134"/>
        <w:rPr>
          <w:rStyle w:val="default"/>
          <w:rFonts w:cs="FrankRuehl"/>
          <w:rtl/>
        </w:rPr>
      </w:pPr>
      <w:bookmarkStart w:id="0" w:name="Seif1"/>
      <w:bookmarkEnd w:id="0"/>
      <w:r>
        <w:rPr>
          <w:lang w:val="he-IL"/>
        </w:rPr>
        <w:pict w14:anchorId="7D134976">
          <v:rect id="_x0000_s1026" style="position:absolute;left:0;text-align:left;margin-left:464.5pt;margin-top:8.05pt;width:75.05pt;height:8pt;z-index:251656704" o:allowincell="f" filled="f" stroked="f" strokecolor="lime" strokeweight=".25pt">
            <v:textbox inset="0,0,0,0">
              <w:txbxContent>
                <w:p w14:paraId="78C31072" w14:textId="77777777" w:rsidR="00C644B0" w:rsidRDefault="00C644B0">
                  <w:pPr>
                    <w:spacing w:line="160" w:lineRule="exact"/>
                    <w:jc w:val="left"/>
                    <w:rPr>
                      <w:rFonts w:cs="Miriam"/>
                      <w:noProof/>
                      <w:szCs w:val="18"/>
                      <w:rtl/>
                    </w:rPr>
                  </w:pPr>
                  <w:r>
                    <w:rPr>
                      <w:rFonts w:cs="Miriam"/>
                      <w:szCs w:val="18"/>
                      <w:rtl/>
                    </w:rPr>
                    <w:t>ב</w:t>
                  </w:r>
                  <w:r>
                    <w:rPr>
                      <w:rFonts w:cs="Miriam" w:hint="cs"/>
                      <w:szCs w:val="18"/>
                      <w:rtl/>
                    </w:rPr>
                    <w:t>סיס לקביעת שווי</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מכירת זכות במקרקעין שנעשתה לפני פרסומו של החוק ושלא היתה חייבת בתוספת מס אילולא החוק, רשאי המנהל לגבות תוספת מס לפי שווי הזכות במקרקעין ביום המכירה, אם הזכות במקרקעין לא </w:t>
      </w:r>
      <w:r>
        <w:rPr>
          <w:rStyle w:val="default"/>
          <w:rFonts w:cs="FrankRuehl"/>
          <w:rtl/>
        </w:rPr>
        <w:t>נ</w:t>
      </w:r>
      <w:r>
        <w:rPr>
          <w:rStyle w:val="default"/>
          <w:rFonts w:cs="FrankRuehl" w:hint="cs"/>
          <w:rtl/>
        </w:rPr>
        <w:t>רשמה בשעתה על-שם הקונה מחמת אחד העיכובים להלן, ולא חלפו מיום שהוסר העיכוב ארבעה חדשים או תקופה ארוכה יותר שהיא סבירה בנסיבות המקרה; ואלה העיכובים:</w:t>
      </w:r>
    </w:p>
    <w:p w14:paraId="7908008E" w14:textId="77777777" w:rsidR="00C644B0" w:rsidRDefault="00C644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רישום המקרקעין היתה סגורה או שנמנעה הגישה אליה או שנעדרו הפנקסים;</w:t>
      </w:r>
    </w:p>
    <w:p w14:paraId="430A320F" w14:textId="77777777" w:rsidR="00C644B0" w:rsidRDefault="00C644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המוכר הוא מדינת ישראל, רשות ה</w:t>
      </w:r>
      <w:r>
        <w:rPr>
          <w:rStyle w:val="default"/>
          <w:rFonts w:cs="FrankRuehl"/>
          <w:rtl/>
        </w:rPr>
        <w:t>פ</w:t>
      </w:r>
      <w:r>
        <w:rPr>
          <w:rStyle w:val="default"/>
          <w:rFonts w:cs="FrankRuehl" w:hint="cs"/>
          <w:rtl/>
        </w:rPr>
        <w:t>יתוח או קרן קיימת לישראל, ולפי תנאי הסכם המכירה אין לרשום את הזכות במקרקעין על שם הקונה אלא לאחר שהקים עליהם מבנה או נטע בהם נטיעות או לאחר ששילם את כל התמורה או חלק מסויים ממנה;</w:t>
      </w:r>
    </w:p>
    <w:p w14:paraId="792F47A2" w14:textId="77777777" w:rsidR="00C644B0" w:rsidRDefault="00C644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נעשתה במקרקעין פעולת תכנון על-פי חוק התכנון</w:t>
      </w:r>
      <w:r>
        <w:rPr>
          <w:rtl/>
        </w:rPr>
        <w:t> </w:t>
      </w:r>
      <w:r>
        <w:rPr>
          <w:rStyle w:val="default"/>
          <w:rFonts w:cs="FrankRuehl"/>
          <w:rtl/>
        </w:rPr>
        <w:t xml:space="preserve"> </w:t>
      </w:r>
      <w:r>
        <w:rPr>
          <w:rStyle w:val="default"/>
          <w:rFonts w:cs="FrankRuehl" w:hint="cs"/>
          <w:rtl/>
        </w:rPr>
        <w:t>והבניה, תשכ"ה</w:t>
      </w:r>
      <w:r>
        <w:rPr>
          <w:rStyle w:val="default"/>
          <w:rFonts w:cs="FrankRuehl"/>
          <w:rtl/>
        </w:rPr>
        <w:t>–</w:t>
      </w:r>
      <w:r>
        <w:rPr>
          <w:rStyle w:val="default"/>
          <w:rFonts w:cs="FrankRuehl" w:hint="cs"/>
          <w:rtl/>
        </w:rPr>
        <w:t>1965;</w:t>
      </w:r>
    </w:p>
    <w:p w14:paraId="25DBF80E" w14:textId="77777777" w:rsidR="00C644B0" w:rsidRDefault="00C644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בוצ</w:t>
      </w:r>
      <w:r>
        <w:rPr>
          <w:rStyle w:val="default"/>
          <w:rFonts w:cs="FrankRuehl"/>
          <w:rtl/>
        </w:rPr>
        <w:t>ע</w:t>
      </w:r>
      <w:r>
        <w:rPr>
          <w:rStyle w:val="default"/>
          <w:rFonts w:cs="FrankRuehl" w:hint="cs"/>
          <w:rtl/>
        </w:rPr>
        <w:t>ו במקרקעין פעולות הסדר לפי פקודת הסדר זכויות במקרקעין [נוסח חדש], תשכ"ט</w:t>
      </w:r>
      <w:r>
        <w:rPr>
          <w:rStyle w:val="default"/>
          <w:rFonts w:cs="FrankRuehl"/>
          <w:rtl/>
        </w:rPr>
        <w:t>–</w:t>
      </w:r>
      <w:r>
        <w:rPr>
          <w:rStyle w:val="default"/>
          <w:rFonts w:cs="FrankRuehl" w:hint="cs"/>
          <w:rtl/>
        </w:rPr>
        <w:t>1969;</w:t>
      </w:r>
    </w:p>
    <w:p w14:paraId="02C801A3" w14:textId="77777777" w:rsidR="00C644B0" w:rsidRDefault="00C644B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המוכר מיאן לרשום את הזכות במקרקעין על שם הקונה, והקונה הגיש לבית המשפט תביעה לאכיפת הרישום.</w:t>
      </w:r>
    </w:p>
    <w:p w14:paraId="4DF387CE" w14:textId="77777777" w:rsidR="00C644B0" w:rsidRDefault="00C644B0">
      <w:pPr>
        <w:pStyle w:val="P00"/>
        <w:spacing w:before="72"/>
        <w:ind w:left="0" w:right="1134"/>
        <w:rPr>
          <w:rStyle w:val="default"/>
          <w:rFonts w:cs="FrankRuehl"/>
          <w:rtl/>
        </w:rPr>
      </w:pPr>
      <w:bookmarkStart w:id="1" w:name="Seif2"/>
      <w:bookmarkEnd w:id="1"/>
      <w:r>
        <w:rPr>
          <w:lang w:val="he-IL"/>
        </w:rPr>
        <w:pict w14:anchorId="67F622D5">
          <v:rect id="_x0000_s1027" style="position:absolute;left:0;text-align:left;margin-left:464.5pt;margin-top:8.05pt;width:75.05pt;height:8pt;z-index:251657728" o:allowincell="f" filled="f" stroked="f" strokecolor="lime" strokeweight=".25pt">
            <v:textbox inset="0,0,0,0">
              <w:txbxContent>
                <w:p w14:paraId="2CE8F599" w14:textId="77777777" w:rsidR="00C644B0" w:rsidRDefault="00C644B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חילתן של תקנות אלה ביום תחילתו של החוק.</w:t>
      </w:r>
    </w:p>
    <w:p w14:paraId="12ADCF85" w14:textId="77777777" w:rsidR="00C644B0" w:rsidRDefault="00C644B0">
      <w:pPr>
        <w:pStyle w:val="P00"/>
        <w:spacing w:before="72"/>
        <w:ind w:left="0" w:right="1134"/>
        <w:rPr>
          <w:rStyle w:val="default"/>
          <w:rFonts w:cs="FrankRuehl"/>
          <w:rtl/>
        </w:rPr>
      </w:pPr>
      <w:bookmarkStart w:id="2" w:name="Seif3"/>
      <w:bookmarkEnd w:id="2"/>
      <w:r>
        <w:rPr>
          <w:lang w:val="he-IL"/>
        </w:rPr>
        <w:pict w14:anchorId="68A34607">
          <v:rect id="_x0000_s1028" style="position:absolute;left:0;text-align:left;margin-left:464.5pt;margin-top:8.05pt;width:75.05pt;height:8pt;z-index:251658752" o:allowincell="f" filled="f" stroked="f" strokecolor="lime" strokeweight=".25pt">
            <v:textbox inset="0,0,0,0">
              <w:txbxContent>
                <w:p w14:paraId="4DFA50BD" w14:textId="77777777" w:rsidR="00C644B0" w:rsidRDefault="00C644B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תקנות אלה ייקרא "</w:t>
      </w:r>
      <w:r>
        <w:rPr>
          <w:rStyle w:val="default"/>
          <w:rFonts w:cs="FrankRuehl"/>
          <w:rtl/>
        </w:rPr>
        <w:t>ת</w:t>
      </w:r>
      <w:r>
        <w:rPr>
          <w:rStyle w:val="default"/>
          <w:rFonts w:cs="FrankRuehl" w:hint="cs"/>
          <w:rtl/>
        </w:rPr>
        <w:t>קנות מס שבח מקרקעין (תוספת מס) (בסיס לקביעת שווי של זכות במקרקעין), תשל"ה</w:t>
      </w:r>
      <w:r>
        <w:rPr>
          <w:rStyle w:val="default"/>
          <w:rFonts w:cs="FrankRuehl"/>
          <w:rtl/>
        </w:rPr>
        <w:t>–</w:t>
      </w:r>
      <w:r>
        <w:rPr>
          <w:rStyle w:val="default"/>
          <w:rFonts w:cs="FrankRuehl" w:hint="cs"/>
          <w:rtl/>
        </w:rPr>
        <w:t>1974".</w:t>
      </w:r>
    </w:p>
    <w:p w14:paraId="30FED817" w14:textId="77777777" w:rsidR="00C644B0" w:rsidRDefault="00C644B0">
      <w:pPr>
        <w:pStyle w:val="P00"/>
        <w:spacing w:before="72"/>
        <w:ind w:left="0" w:right="1134"/>
        <w:rPr>
          <w:rStyle w:val="default"/>
          <w:rFonts w:cs="FrankRuehl"/>
          <w:rtl/>
        </w:rPr>
      </w:pPr>
    </w:p>
    <w:p w14:paraId="3BB4BBBA" w14:textId="77777777" w:rsidR="00C644B0" w:rsidRDefault="00C644B0">
      <w:pPr>
        <w:pStyle w:val="sig-0"/>
        <w:ind w:left="0" w:right="1134"/>
        <w:rPr>
          <w:rtl/>
        </w:rPr>
      </w:pPr>
      <w:r>
        <w:rPr>
          <w:rtl/>
        </w:rPr>
        <w:t>י</w:t>
      </w:r>
      <w:r>
        <w:rPr>
          <w:rFonts w:hint="cs"/>
          <w:rtl/>
        </w:rPr>
        <w:t>"ב בחשון תשל"ה (28 באוקטובר 1974)</w:t>
      </w:r>
      <w:r>
        <w:rPr>
          <w:rtl/>
        </w:rPr>
        <w:tab/>
      </w:r>
      <w:r>
        <w:rPr>
          <w:rFonts w:hint="cs"/>
          <w:rtl/>
        </w:rPr>
        <w:t>יהושע רבינוביץ</w:t>
      </w:r>
    </w:p>
    <w:p w14:paraId="1F92B274" w14:textId="77777777" w:rsidR="00C644B0" w:rsidRDefault="00C644B0">
      <w:pPr>
        <w:pStyle w:val="sig-1"/>
        <w:widowControl/>
        <w:ind w:left="0" w:right="1134"/>
        <w:rPr>
          <w:rFonts w:hint="cs"/>
          <w:rtl/>
        </w:rPr>
      </w:pPr>
      <w:r>
        <w:rPr>
          <w:rtl/>
        </w:rPr>
        <w:tab/>
      </w:r>
      <w:r>
        <w:rPr>
          <w:rtl/>
        </w:rPr>
        <w:tab/>
      </w:r>
      <w:r>
        <w:rPr>
          <w:rtl/>
        </w:rPr>
        <w:tab/>
      </w:r>
      <w:r>
        <w:rPr>
          <w:rFonts w:hint="cs"/>
          <w:rtl/>
        </w:rPr>
        <w:t>שר האוצר</w:t>
      </w:r>
    </w:p>
    <w:p w14:paraId="59D4C47C" w14:textId="77777777" w:rsidR="00C644B0" w:rsidRDefault="00C644B0">
      <w:pPr>
        <w:pStyle w:val="P00"/>
        <w:spacing w:before="72"/>
        <w:ind w:left="0" w:right="1134"/>
        <w:rPr>
          <w:rStyle w:val="default"/>
          <w:rFonts w:cs="FrankRuehl" w:hint="cs"/>
          <w:rtl/>
        </w:rPr>
      </w:pPr>
    </w:p>
    <w:p w14:paraId="5282B9AA" w14:textId="77777777" w:rsidR="00C644B0" w:rsidRDefault="00C644B0">
      <w:pPr>
        <w:pStyle w:val="P00"/>
        <w:spacing w:before="72"/>
        <w:ind w:left="0" w:right="1134"/>
        <w:rPr>
          <w:rStyle w:val="default"/>
          <w:rFonts w:cs="FrankRuehl"/>
          <w:rtl/>
        </w:rPr>
      </w:pPr>
    </w:p>
    <w:p w14:paraId="7C1988D1" w14:textId="77777777" w:rsidR="00C644B0" w:rsidRDefault="00C644B0">
      <w:pPr>
        <w:pStyle w:val="P00"/>
        <w:spacing w:before="72"/>
        <w:ind w:left="0" w:right="1134"/>
        <w:rPr>
          <w:rStyle w:val="default"/>
          <w:rFonts w:cs="FrankRuehl"/>
          <w:rtl/>
        </w:rPr>
      </w:pPr>
      <w:bookmarkStart w:id="3" w:name="LawPartEnd"/>
    </w:p>
    <w:bookmarkEnd w:id="3"/>
    <w:p w14:paraId="7AA2C6DD" w14:textId="77777777" w:rsidR="00887FEC" w:rsidRDefault="00887FEC">
      <w:pPr>
        <w:pStyle w:val="P00"/>
        <w:spacing w:before="72"/>
        <w:ind w:left="0" w:right="1134"/>
        <w:rPr>
          <w:rStyle w:val="default"/>
          <w:rFonts w:cs="FrankRuehl"/>
          <w:rtl/>
        </w:rPr>
      </w:pPr>
    </w:p>
    <w:p w14:paraId="51B3FFC0" w14:textId="77777777" w:rsidR="00887FEC" w:rsidRDefault="00887FEC">
      <w:pPr>
        <w:pStyle w:val="P00"/>
        <w:spacing w:before="72"/>
        <w:ind w:left="0" w:right="1134"/>
        <w:rPr>
          <w:rStyle w:val="default"/>
          <w:rFonts w:cs="FrankRuehl"/>
          <w:rtl/>
        </w:rPr>
      </w:pPr>
    </w:p>
    <w:p w14:paraId="01673F25" w14:textId="77777777" w:rsidR="00887FEC" w:rsidRDefault="00887FEC" w:rsidP="00887FEC">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0EE3279" w14:textId="77777777" w:rsidR="00C644B0" w:rsidRPr="00887FEC" w:rsidRDefault="00C644B0" w:rsidP="00887FEC">
      <w:pPr>
        <w:pStyle w:val="P00"/>
        <w:spacing w:before="72"/>
        <w:ind w:left="0" w:right="1134"/>
        <w:jc w:val="center"/>
        <w:rPr>
          <w:rStyle w:val="default"/>
          <w:rFonts w:cs="David"/>
          <w:color w:val="0000FF"/>
          <w:szCs w:val="24"/>
          <w:u w:val="single"/>
          <w:rtl/>
        </w:rPr>
      </w:pPr>
    </w:p>
    <w:sectPr w:rsidR="00C644B0" w:rsidRPr="00887FE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1D1F" w14:textId="77777777" w:rsidR="0059770C" w:rsidRDefault="0059770C">
      <w:r>
        <w:separator/>
      </w:r>
    </w:p>
  </w:endnote>
  <w:endnote w:type="continuationSeparator" w:id="0">
    <w:p w14:paraId="42448BA6" w14:textId="77777777" w:rsidR="0059770C" w:rsidRDefault="0059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05DF" w14:textId="77777777" w:rsidR="00C644B0" w:rsidRDefault="00C644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9EEEAA" w14:textId="77777777" w:rsidR="00C644B0" w:rsidRDefault="00C644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36C181" w14:textId="77777777" w:rsidR="00C644B0" w:rsidRDefault="00C644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7FEC">
      <w:rPr>
        <w:rFonts w:cs="TopType Jerushalmi"/>
        <w:noProof/>
        <w:color w:val="000000"/>
        <w:sz w:val="14"/>
        <w:szCs w:val="14"/>
      </w:rPr>
      <w:t>Z:\00000000000000000000000=2014------------------------\LawsForTableRun\04\276_034.doc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1ED0" w14:textId="77777777" w:rsidR="00C644B0" w:rsidRDefault="00C644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7FEC">
      <w:rPr>
        <w:rFonts w:hAnsi="FrankRuehl" w:cs="FrankRuehl"/>
        <w:noProof/>
        <w:sz w:val="24"/>
        <w:szCs w:val="24"/>
        <w:rtl/>
      </w:rPr>
      <w:t>2</w:t>
    </w:r>
    <w:r>
      <w:rPr>
        <w:rFonts w:hAnsi="FrankRuehl" w:cs="FrankRuehl"/>
        <w:sz w:val="24"/>
        <w:szCs w:val="24"/>
        <w:rtl/>
      </w:rPr>
      <w:fldChar w:fldCharType="end"/>
    </w:r>
  </w:p>
  <w:p w14:paraId="32A7DDB1" w14:textId="77777777" w:rsidR="00C644B0" w:rsidRDefault="00C644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F097C1" w14:textId="77777777" w:rsidR="00C644B0" w:rsidRDefault="00C644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7FEC">
      <w:rPr>
        <w:rFonts w:cs="TopType Jerushalmi"/>
        <w:noProof/>
        <w:color w:val="000000"/>
        <w:sz w:val="14"/>
        <w:szCs w:val="14"/>
      </w:rPr>
      <w:t>Z:\00000000000000000000000=2014------------------------\LawsForTableRun\04\276_034.doc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7606" w14:textId="77777777" w:rsidR="0059770C" w:rsidRDefault="0059770C">
      <w:pPr>
        <w:spacing w:before="60" w:line="240" w:lineRule="auto"/>
        <w:ind w:right="1134"/>
      </w:pPr>
      <w:r>
        <w:separator/>
      </w:r>
    </w:p>
  </w:footnote>
  <w:footnote w:type="continuationSeparator" w:id="0">
    <w:p w14:paraId="5952E0BA" w14:textId="77777777" w:rsidR="0059770C" w:rsidRDefault="0059770C">
      <w:pPr>
        <w:spacing w:before="60" w:line="240" w:lineRule="auto"/>
        <w:ind w:right="1134"/>
      </w:pPr>
      <w:r>
        <w:separator/>
      </w:r>
    </w:p>
  </w:footnote>
  <w:footnote w:id="1">
    <w:p w14:paraId="168DBA01" w14:textId="77777777" w:rsidR="00C644B0" w:rsidRDefault="00C644B0">
      <w:pPr>
        <w:pStyle w:val="a5"/>
        <w:spacing w:before="72" w:line="240" w:lineRule="auto"/>
        <w:ind w:right="1134"/>
        <w:rPr>
          <w:rFonts w:hint="cs"/>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ורסמו </w:t>
      </w:r>
      <w:hyperlink r:id="rId1" w:history="1">
        <w:r>
          <w:rPr>
            <w:rStyle w:val="Hyperlink"/>
            <w:rFonts w:cs="FrankRuehl" w:hint="cs"/>
            <w:sz w:val="22"/>
            <w:szCs w:val="22"/>
            <w:rtl/>
          </w:rPr>
          <w:t>ק"ת תשל"ה מס' 3239</w:t>
        </w:r>
      </w:hyperlink>
      <w:r>
        <w:rPr>
          <w:rFonts w:cs="FrankRuehl" w:hint="cs"/>
          <w:sz w:val="22"/>
          <w:szCs w:val="22"/>
          <w:rtl/>
        </w:rPr>
        <w:t xml:space="preserve"> מיום 29.10.1974 עמ' 146.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80FC" w14:textId="77777777" w:rsidR="00C644B0" w:rsidRDefault="00C644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שבח מקרקעין (תוספת מס) (בסיס לקביעת שווי של זכות במקרקעין), תשל"ה–1974</w:t>
    </w:r>
  </w:p>
  <w:p w14:paraId="7AC92A7F" w14:textId="77777777" w:rsidR="00C644B0" w:rsidRDefault="00C644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703A02" w14:textId="77777777" w:rsidR="00C644B0" w:rsidRDefault="00C644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D9E3" w14:textId="77777777" w:rsidR="00C644B0" w:rsidRDefault="00C644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מס שבח מקרקעין (תוספת מס) (בסיס לקביעת שווי של זכות במקרקעין), </w:t>
    </w:r>
    <w:r>
      <w:rPr>
        <w:rFonts w:hAnsi="FrankRuehl" w:cs="FrankRuehl" w:hint="cs"/>
        <w:color w:val="000000"/>
        <w:sz w:val="28"/>
        <w:szCs w:val="28"/>
        <w:rtl/>
      </w:rPr>
      <w:br/>
    </w:r>
    <w:r>
      <w:rPr>
        <w:rFonts w:hAnsi="FrankRuehl" w:cs="FrankRuehl"/>
        <w:color w:val="000000"/>
        <w:sz w:val="28"/>
        <w:szCs w:val="28"/>
        <w:rtl/>
      </w:rPr>
      <w:t>תשל"ה</w:t>
    </w:r>
    <w:r>
      <w:rPr>
        <w:rFonts w:hAnsi="FrankRuehl" w:cs="FrankRuehl" w:hint="cs"/>
        <w:color w:val="000000"/>
        <w:sz w:val="28"/>
        <w:szCs w:val="28"/>
        <w:rtl/>
      </w:rPr>
      <w:t>-</w:t>
    </w:r>
    <w:r>
      <w:rPr>
        <w:rFonts w:hAnsi="FrankRuehl" w:cs="FrankRuehl"/>
        <w:color w:val="000000"/>
        <w:sz w:val="28"/>
        <w:szCs w:val="28"/>
        <w:rtl/>
      </w:rPr>
      <w:t>1974</w:t>
    </w:r>
  </w:p>
  <w:p w14:paraId="6571C4FC" w14:textId="77777777" w:rsidR="00C644B0" w:rsidRDefault="00C644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9EEA90" w14:textId="77777777" w:rsidR="00C644B0" w:rsidRDefault="00C644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44B0"/>
    <w:rsid w:val="0059770C"/>
    <w:rsid w:val="007F6F95"/>
    <w:rsid w:val="00887FEC"/>
    <w:rsid w:val="00B012E0"/>
    <w:rsid w:val="00B04AD5"/>
    <w:rsid w:val="00C644B0"/>
    <w:rsid w:val="00E829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EDBCD0"/>
  <w15:chartTrackingRefBased/>
  <w15:docId w15:val="{D852E235-71F7-4518-88EF-39E2670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2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276</vt:lpstr>
    </vt:vector>
  </TitlesOfParts>
  <Company/>
  <LinksUpToDate>false</LinksUpToDate>
  <CharactersWithSpaces>1872</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7929859</vt:i4>
      </vt:variant>
      <vt:variant>
        <vt:i4>0</vt:i4>
      </vt:variant>
      <vt:variant>
        <vt:i4>0</vt:i4>
      </vt:variant>
      <vt:variant>
        <vt:i4>5</vt:i4>
      </vt:variant>
      <vt:variant>
        <vt:lpwstr>http://www.nevo.co.il/Law_word/law06/TAK-3239.pdf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מס שבח מקרקעין</vt:lpwstr>
  </property>
  <property fmtid="{D5CDD505-2E9C-101B-9397-08002B2CF9AE}" pid="4" name="LAWNAME">
    <vt:lpwstr>תקנות מס שבח מקרקעין (תוספת מס) (בסיס לקביעת שווי של זכות במקרקעין), תשל"ה-1974</vt:lpwstr>
  </property>
  <property fmtid="{D5CDD505-2E9C-101B-9397-08002B2CF9AE}" pid="5" name="LAWNUMBER">
    <vt:lpwstr>0034</vt:lpwstr>
  </property>
  <property fmtid="{D5CDD505-2E9C-101B-9397-08002B2CF9AE}" pid="6" name="TYPE">
    <vt:lpwstr>01</vt:lpwstr>
  </property>
  <property fmtid="{D5CDD505-2E9C-101B-9397-08002B2CF9AE}" pid="7" name="MEKOR_NAME1">
    <vt:lpwstr>חוק מס שבח מקרקעין</vt:lpwstr>
  </property>
  <property fmtid="{D5CDD505-2E9C-101B-9397-08002B2CF9AE}" pid="8" name="MEKOR_SAIF1">
    <vt:lpwstr>3XוX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מיסוי מקרקעין</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