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DA844" w14:textId="77777777" w:rsidR="001153D7" w:rsidRDefault="00535CC5" w:rsidP="00F575F2">
      <w:pPr>
        <w:pStyle w:val="big-header"/>
        <w:ind w:left="0" w:right="1134"/>
        <w:rPr>
          <w:rFonts w:hint="cs"/>
          <w:rtl/>
        </w:rPr>
      </w:pPr>
      <w:r>
        <w:rPr>
          <w:rFonts w:hint="cs"/>
          <w:rtl/>
        </w:rPr>
        <w:t>תקנות</w:t>
      </w:r>
      <w:r w:rsidR="00F575F2">
        <w:rPr>
          <w:rFonts w:hint="cs"/>
          <w:rtl/>
        </w:rPr>
        <w:t xml:space="preserve"> מסילות הברזל (הוראות בדבר החזקה, שמירה וטיפול בכרטיס זיכרון של טכוגרף רכבת מקומית ובפלט הגשתו לבית המשפט</w:t>
      </w:r>
      <w:r w:rsidR="00A971C7">
        <w:rPr>
          <w:rFonts w:hint="cs"/>
          <w:rtl/>
        </w:rPr>
        <w:t>)</w:t>
      </w:r>
      <w:r w:rsidR="001153D7">
        <w:rPr>
          <w:rFonts w:hint="cs"/>
          <w:rtl/>
        </w:rPr>
        <w:t xml:space="preserve">, </w:t>
      </w:r>
      <w:r w:rsidR="00EE5228">
        <w:rPr>
          <w:rFonts w:hint="cs"/>
          <w:rtl/>
        </w:rPr>
        <w:t>תשע</w:t>
      </w:r>
      <w:r w:rsidR="00C76B56">
        <w:rPr>
          <w:rFonts w:hint="cs"/>
          <w:rtl/>
        </w:rPr>
        <w:t>"</w:t>
      </w:r>
      <w:r w:rsidR="00756CAB">
        <w:rPr>
          <w:rFonts w:hint="cs"/>
          <w:rtl/>
        </w:rPr>
        <w:t>ב</w:t>
      </w:r>
      <w:r w:rsidR="00C76B56">
        <w:rPr>
          <w:rFonts w:hint="cs"/>
          <w:rtl/>
        </w:rPr>
        <w:t>-2011</w:t>
      </w:r>
    </w:p>
    <w:p w14:paraId="247D020F" w14:textId="77777777" w:rsidR="00F575F2" w:rsidRPr="00F575F2" w:rsidRDefault="00F575F2" w:rsidP="00F575F2">
      <w:pPr>
        <w:spacing w:line="320" w:lineRule="auto"/>
        <w:jc w:val="left"/>
        <w:rPr>
          <w:rFonts w:cs="FrankRuehl"/>
          <w:szCs w:val="26"/>
          <w:rtl/>
        </w:rPr>
      </w:pPr>
    </w:p>
    <w:p w14:paraId="6AC4CC9E" w14:textId="77777777" w:rsidR="00F575F2" w:rsidRDefault="00F575F2" w:rsidP="00F575F2">
      <w:pPr>
        <w:spacing w:line="320" w:lineRule="auto"/>
        <w:jc w:val="left"/>
        <w:rPr>
          <w:rtl/>
        </w:rPr>
      </w:pPr>
    </w:p>
    <w:p w14:paraId="1AEABB11" w14:textId="77777777" w:rsidR="00F575F2" w:rsidRDefault="00F575F2" w:rsidP="00F575F2">
      <w:pPr>
        <w:spacing w:line="320" w:lineRule="auto"/>
        <w:jc w:val="left"/>
        <w:rPr>
          <w:rFonts w:cs="Miriam"/>
          <w:szCs w:val="22"/>
          <w:rtl/>
        </w:rPr>
      </w:pPr>
      <w:r w:rsidRPr="00F575F2">
        <w:rPr>
          <w:rFonts w:cs="Miriam"/>
          <w:szCs w:val="22"/>
          <w:rtl/>
        </w:rPr>
        <w:t>רשויות ומשפט מנהלי</w:t>
      </w:r>
      <w:r w:rsidRPr="00F575F2">
        <w:rPr>
          <w:rFonts w:cs="FrankRuehl"/>
          <w:szCs w:val="26"/>
          <w:rtl/>
        </w:rPr>
        <w:t xml:space="preserve"> – תשתיות – מסילות הברזל – רכבת</w:t>
      </w:r>
    </w:p>
    <w:p w14:paraId="3A1743C8" w14:textId="77777777" w:rsidR="00F575F2" w:rsidRPr="00F575F2" w:rsidRDefault="00F575F2" w:rsidP="00F575F2">
      <w:pPr>
        <w:spacing w:line="320" w:lineRule="auto"/>
        <w:jc w:val="left"/>
        <w:rPr>
          <w:rFonts w:cs="Miriam" w:hint="cs"/>
          <w:szCs w:val="22"/>
          <w:rtl/>
        </w:rPr>
      </w:pPr>
      <w:r w:rsidRPr="00F575F2">
        <w:rPr>
          <w:rFonts w:cs="Miriam"/>
          <w:szCs w:val="22"/>
          <w:rtl/>
        </w:rPr>
        <w:t>רשויות ומשפט מנהלי</w:t>
      </w:r>
      <w:r w:rsidRPr="00F575F2">
        <w:rPr>
          <w:rFonts w:cs="FrankRuehl"/>
          <w:szCs w:val="26"/>
          <w:rtl/>
        </w:rPr>
        <w:t xml:space="preserve"> – תעבורה</w:t>
      </w:r>
    </w:p>
    <w:p w14:paraId="299029DF" w14:textId="77777777"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00572" w:rsidRPr="00C00572" w14:paraId="139FD20F" w14:textId="77777777" w:rsidTr="00C00572">
        <w:tblPrEx>
          <w:tblCellMar>
            <w:top w:w="0" w:type="dxa"/>
            <w:bottom w:w="0" w:type="dxa"/>
          </w:tblCellMar>
        </w:tblPrEx>
        <w:tc>
          <w:tcPr>
            <w:tcW w:w="1247" w:type="dxa"/>
          </w:tcPr>
          <w:p w14:paraId="1AA31E2A" w14:textId="77777777" w:rsidR="00C00572" w:rsidRPr="00C00572" w:rsidRDefault="00C00572" w:rsidP="00C00572">
            <w:pPr>
              <w:spacing w:line="240" w:lineRule="auto"/>
              <w:jc w:val="left"/>
              <w:rPr>
                <w:rFonts w:cs="Frankruhel" w:hint="cs"/>
                <w:sz w:val="24"/>
                <w:rtl/>
              </w:rPr>
            </w:pPr>
            <w:r>
              <w:rPr>
                <w:rFonts w:cs="Times New Roman"/>
                <w:sz w:val="24"/>
                <w:rtl/>
              </w:rPr>
              <w:t xml:space="preserve">סעיף 1 </w:t>
            </w:r>
          </w:p>
        </w:tc>
        <w:tc>
          <w:tcPr>
            <w:tcW w:w="5669" w:type="dxa"/>
          </w:tcPr>
          <w:p w14:paraId="7EC8F60A" w14:textId="77777777" w:rsidR="00C00572" w:rsidRPr="00C00572" w:rsidRDefault="00C00572" w:rsidP="00C00572">
            <w:pPr>
              <w:spacing w:line="240" w:lineRule="auto"/>
              <w:jc w:val="left"/>
              <w:rPr>
                <w:rFonts w:cs="Frankruhel" w:hint="cs"/>
                <w:sz w:val="24"/>
                <w:rtl/>
              </w:rPr>
            </w:pPr>
            <w:r>
              <w:rPr>
                <w:rFonts w:cs="Times New Roman"/>
                <w:sz w:val="24"/>
                <w:rtl/>
              </w:rPr>
              <w:t>הגדרות</w:t>
            </w:r>
          </w:p>
        </w:tc>
        <w:tc>
          <w:tcPr>
            <w:tcW w:w="567" w:type="dxa"/>
          </w:tcPr>
          <w:p w14:paraId="7E93D417" w14:textId="77777777" w:rsidR="00C00572" w:rsidRPr="00C00572" w:rsidRDefault="00C00572" w:rsidP="00C00572">
            <w:pPr>
              <w:spacing w:line="240" w:lineRule="auto"/>
              <w:jc w:val="left"/>
              <w:rPr>
                <w:rStyle w:val="Hyperlink"/>
                <w:rFonts w:hint="cs"/>
                <w:rtl/>
              </w:rPr>
            </w:pPr>
            <w:hyperlink w:anchor="Seif1" w:tooltip="הגדרות" w:history="1">
              <w:r w:rsidRPr="00C00572">
                <w:rPr>
                  <w:rStyle w:val="Hyperlink"/>
                </w:rPr>
                <w:t>Go</w:t>
              </w:r>
            </w:hyperlink>
          </w:p>
        </w:tc>
        <w:tc>
          <w:tcPr>
            <w:tcW w:w="850" w:type="dxa"/>
          </w:tcPr>
          <w:p w14:paraId="083C7D4E" w14:textId="77777777" w:rsidR="00C00572" w:rsidRPr="00C00572" w:rsidRDefault="00C00572" w:rsidP="00C0057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00572" w:rsidRPr="00C00572" w14:paraId="225206E9" w14:textId="77777777" w:rsidTr="00C00572">
        <w:tblPrEx>
          <w:tblCellMar>
            <w:top w:w="0" w:type="dxa"/>
            <w:bottom w:w="0" w:type="dxa"/>
          </w:tblCellMar>
        </w:tblPrEx>
        <w:tc>
          <w:tcPr>
            <w:tcW w:w="1247" w:type="dxa"/>
          </w:tcPr>
          <w:p w14:paraId="754A502E" w14:textId="77777777" w:rsidR="00C00572" w:rsidRPr="00C00572" w:rsidRDefault="00C00572" w:rsidP="00C00572">
            <w:pPr>
              <w:spacing w:line="240" w:lineRule="auto"/>
              <w:jc w:val="left"/>
              <w:rPr>
                <w:rFonts w:cs="Frankruhel" w:hint="cs"/>
                <w:sz w:val="24"/>
                <w:rtl/>
              </w:rPr>
            </w:pPr>
            <w:r>
              <w:rPr>
                <w:rFonts w:cs="Times New Roman"/>
                <w:sz w:val="24"/>
                <w:rtl/>
              </w:rPr>
              <w:t xml:space="preserve">סעיף 2 </w:t>
            </w:r>
          </w:p>
        </w:tc>
        <w:tc>
          <w:tcPr>
            <w:tcW w:w="5669" w:type="dxa"/>
          </w:tcPr>
          <w:p w14:paraId="3EF2E088" w14:textId="77777777" w:rsidR="00C00572" w:rsidRPr="00C00572" w:rsidRDefault="00C00572" w:rsidP="00C00572">
            <w:pPr>
              <w:spacing w:line="240" w:lineRule="auto"/>
              <w:jc w:val="left"/>
              <w:rPr>
                <w:rFonts w:cs="Frankruhel" w:hint="cs"/>
                <w:sz w:val="24"/>
                <w:rtl/>
              </w:rPr>
            </w:pPr>
            <w:r>
              <w:rPr>
                <w:rFonts w:cs="Times New Roman"/>
                <w:sz w:val="24"/>
                <w:rtl/>
              </w:rPr>
              <w:t>שמירה והחזקה של כרטיס זיכרון על ידי בעל היתר הפעלה</w:t>
            </w:r>
          </w:p>
        </w:tc>
        <w:tc>
          <w:tcPr>
            <w:tcW w:w="567" w:type="dxa"/>
          </w:tcPr>
          <w:p w14:paraId="069CA9EF" w14:textId="77777777" w:rsidR="00C00572" w:rsidRPr="00C00572" w:rsidRDefault="00C00572" w:rsidP="00C00572">
            <w:pPr>
              <w:spacing w:line="240" w:lineRule="auto"/>
              <w:jc w:val="left"/>
              <w:rPr>
                <w:rStyle w:val="Hyperlink"/>
                <w:rFonts w:hint="cs"/>
                <w:rtl/>
              </w:rPr>
            </w:pPr>
            <w:hyperlink w:anchor="Seif2" w:tooltip="שמירה והחזקה של כרטיס זיכרון על ידי בעל היתר הפעלה" w:history="1">
              <w:r w:rsidRPr="00C00572">
                <w:rPr>
                  <w:rStyle w:val="Hyperlink"/>
                </w:rPr>
                <w:t>Go</w:t>
              </w:r>
            </w:hyperlink>
          </w:p>
        </w:tc>
        <w:tc>
          <w:tcPr>
            <w:tcW w:w="850" w:type="dxa"/>
          </w:tcPr>
          <w:p w14:paraId="432FF836" w14:textId="77777777" w:rsidR="00C00572" w:rsidRPr="00C00572" w:rsidRDefault="00C00572" w:rsidP="00C0057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00572" w:rsidRPr="00C00572" w14:paraId="6731BF93" w14:textId="77777777" w:rsidTr="00C00572">
        <w:tblPrEx>
          <w:tblCellMar>
            <w:top w:w="0" w:type="dxa"/>
            <w:bottom w:w="0" w:type="dxa"/>
          </w:tblCellMar>
        </w:tblPrEx>
        <w:tc>
          <w:tcPr>
            <w:tcW w:w="1247" w:type="dxa"/>
          </w:tcPr>
          <w:p w14:paraId="3FDFE393" w14:textId="77777777" w:rsidR="00C00572" w:rsidRPr="00C00572" w:rsidRDefault="00C00572" w:rsidP="00C00572">
            <w:pPr>
              <w:spacing w:line="240" w:lineRule="auto"/>
              <w:jc w:val="left"/>
              <w:rPr>
                <w:rFonts w:cs="Frankruhel" w:hint="cs"/>
                <w:sz w:val="24"/>
                <w:rtl/>
              </w:rPr>
            </w:pPr>
            <w:r>
              <w:rPr>
                <w:rFonts w:cs="Times New Roman"/>
                <w:sz w:val="24"/>
                <w:rtl/>
              </w:rPr>
              <w:t xml:space="preserve">סעיף 3 </w:t>
            </w:r>
          </w:p>
        </w:tc>
        <w:tc>
          <w:tcPr>
            <w:tcW w:w="5669" w:type="dxa"/>
          </w:tcPr>
          <w:p w14:paraId="0B2A4A75" w14:textId="77777777" w:rsidR="00C00572" w:rsidRPr="00C00572" w:rsidRDefault="00C00572" w:rsidP="00C00572">
            <w:pPr>
              <w:spacing w:line="240" w:lineRule="auto"/>
              <w:jc w:val="left"/>
              <w:rPr>
                <w:rFonts w:cs="Frankruhel" w:hint="cs"/>
                <w:sz w:val="24"/>
                <w:rtl/>
              </w:rPr>
            </w:pPr>
            <w:r>
              <w:rPr>
                <w:rFonts w:cs="Times New Roman"/>
                <w:sz w:val="24"/>
                <w:rtl/>
              </w:rPr>
              <w:t>הגשת הפלט לבית המשפט</w:t>
            </w:r>
          </w:p>
        </w:tc>
        <w:tc>
          <w:tcPr>
            <w:tcW w:w="567" w:type="dxa"/>
          </w:tcPr>
          <w:p w14:paraId="70772BFD" w14:textId="77777777" w:rsidR="00C00572" w:rsidRPr="00C00572" w:rsidRDefault="00C00572" w:rsidP="00C00572">
            <w:pPr>
              <w:spacing w:line="240" w:lineRule="auto"/>
              <w:jc w:val="left"/>
              <w:rPr>
                <w:rStyle w:val="Hyperlink"/>
                <w:rFonts w:hint="cs"/>
                <w:rtl/>
              </w:rPr>
            </w:pPr>
            <w:hyperlink w:anchor="Seif3" w:tooltip="הגשת הפלט לבית המשפט" w:history="1">
              <w:r w:rsidRPr="00C00572">
                <w:rPr>
                  <w:rStyle w:val="Hyperlink"/>
                </w:rPr>
                <w:t>Go</w:t>
              </w:r>
            </w:hyperlink>
          </w:p>
        </w:tc>
        <w:tc>
          <w:tcPr>
            <w:tcW w:w="850" w:type="dxa"/>
          </w:tcPr>
          <w:p w14:paraId="26DF7FAC" w14:textId="77777777" w:rsidR="00C00572" w:rsidRPr="00C00572" w:rsidRDefault="00C00572" w:rsidP="00C00572">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7A8F5F4A" w14:textId="77777777" w:rsidR="001153D7" w:rsidRDefault="001153D7">
      <w:pPr>
        <w:pStyle w:val="P00"/>
        <w:spacing w:before="72"/>
        <w:ind w:left="0" w:right="1134"/>
        <w:rPr>
          <w:rFonts w:hint="cs"/>
          <w:rtl/>
        </w:rPr>
      </w:pPr>
    </w:p>
    <w:p w14:paraId="69478182" w14:textId="77777777" w:rsidR="001153D7" w:rsidRDefault="001153D7" w:rsidP="00F575F2">
      <w:pPr>
        <w:pStyle w:val="big-header"/>
        <w:ind w:left="0" w:right="1134"/>
        <w:rPr>
          <w:rStyle w:val="default"/>
          <w:rFonts w:hint="cs"/>
          <w:sz w:val="22"/>
          <w:szCs w:val="22"/>
          <w:rtl/>
        </w:rPr>
      </w:pPr>
      <w:r>
        <w:rPr>
          <w:rtl/>
        </w:rPr>
        <w:br w:type="page"/>
      </w:r>
      <w:r w:rsidR="00F575F2">
        <w:rPr>
          <w:rFonts w:hint="cs"/>
          <w:rtl/>
        </w:rPr>
        <w:lastRenderedPageBreak/>
        <w:t>תקנות מסילות הברזל (הוראות בדבר החזקה, שמירה וטיפול בכרטיס זיכרון של טכוגרף רכבת מקומית ובפלט הגשתו לבית המשפט), תשע"ב-2011</w:t>
      </w:r>
      <w:r>
        <w:rPr>
          <w:rStyle w:val="default"/>
          <w:sz w:val="22"/>
          <w:szCs w:val="22"/>
          <w:rtl/>
        </w:rPr>
        <w:footnoteReference w:customMarkFollows="1" w:id="1"/>
        <w:t>*</w:t>
      </w:r>
    </w:p>
    <w:p w14:paraId="77403A28" w14:textId="77777777" w:rsidR="001153D7" w:rsidRDefault="001153D7" w:rsidP="00F575F2">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F575F2">
        <w:rPr>
          <w:rStyle w:val="default"/>
          <w:rFonts w:cs="FrankRuehl" w:hint="cs"/>
          <w:rtl/>
        </w:rPr>
        <w:t xml:space="preserve">סמכות שר המשפטים לפי סעיף 46לז(ג) לפקודת מסילות הברזל [נוסח חדש], התשל"ב-1972 (להלן </w:t>
      </w:r>
      <w:r w:rsidR="00F575F2">
        <w:rPr>
          <w:rStyle w:val="default"/>
          <w:rFonts w:cs="FrankRuehl"/>
          <w:rtl/>
        </w:rPr>
        <w:t>–</w:t>
      </w:r>
      <w:r w:rsidR="00F575F2">
        <w:rPr>
          <w:rStyle w:val="default"/>
          <w:rFonts w:cs="FrankRuehl" w:hint="cs"/>
          <w:rtl/>
        </w:rPr>
        <w:t xml:space="preserve"> הפקודה), ובתוקף סמכות שר התחבורה והבטיחות בדרכים לפי סעיף 46לח לפקודה, אנו מתקינים תקנות אלה</w:t>
      </w:r>
      <w:r>
        <w:rPr>
          <w:rStyle w:val="default"/>
          <w:rFonts w:cs="FrankRuehl"/>
          <w:rtl/>
        </w:rPr>
        <w:t>:</w:t>
      </w:r>
    </w:p>
    <w:p w14:paraId="7603F9E1" w14:textId="77777777" w:rsidR="001153D7" w:rsidRDefault="001153D7" w:rsidP="00EF7854">
      <w:pPr>
        <w:pStyle w:val="P00"/>
        <w:spacing w:before="72"/>
        <w:ind w:left="0" w:right="1134"/>
        <w:rPr>
          <w:rStyle w:val="default"/>
          <w:rFonts w:cs="FrankRuehl" w:hint="cs"/>
          <w:rtl/>
        </w:rPr>
      </w:pPr>
      <w:bookmarkStart w:id="0" w:name="Seif1"/>
      <w:bookmarkEnd w:id="0"/>
      <w:r>
        <w:rPr>
          <w:lang w:val="he-IL"/>
        </w:rPr>
        <w:pict w14:anchorId="518460AD">
          <v:rect id="_x0000_s1026" style="position:absolute;left:0;text-align:left;margin-left:464.5pt;margin-top:8.05pt;width:75.05pt;height:13.4pt;z-index:251656704" o:allowincell="f" filled="f" stroked="f" strokecolor="lime" strokeweight=".25pt">
            <v:textbox style="mso-next-textbox:#_x0000_s1026" inset="0,0,0,0">
              <w:txbxContent>
                <w:p w14:paraId="0E5A88EC" w14:textId="77777777" w:rsidR="002D0660" w:rsidRDefault="002D0660">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EF7854">
        <w:rPr>
          <w:rStyle w:val="default"/>
          <w:rFonts w:cs="FrankRuehl" w:hint="cs"/>
          <w:rtl/>
        </w:rPr>
        <w:t xml:space="preserve">בתקנות אלה </w:t>
      </w:r>
      <w:r w:rsidR="00EF7854">
        <w:rPr>
          <w:rStyle w:val="default"/>
          <w:rFonts w:cs="FrankRuehl"/>
          <w:rtl/>
        </w:rPr>
        <w:t>–</w:t>
      </w:r>
    </w:p>
    <w:p w14:paraId="11961591" w14:textId="77777777" w:rsidR="00F575F2" w:rsidRDefault="00F575F2" w:rsidP="00EF7854">
      <w:pPr>
        <w:pStyle w:val="P00"/>
        <w:spacing w:before="72"/>
        <w:ind w:left="0" w:right="1134"/>
        <w:rPr>
          <w:rStyle w:val="default"/>
          <w:rFonts w:cs="FrankRuehl" w:hint="cs"/>
          <w:rtl/>
        </w:rPr>
      </w:pPr>
      <w:r>
        <w:rPr>
          <w:rStyle w:val="default"/>
          <w:rFonts w:cs="FrankRuehl" w:hint="cs"/>
          <w:rtl/>
        </w:rPr>
        <w:tab/>
        <w:t xml:space="preserve">"בעל היתר הפעלה" </w:t>
      </w:r>
      <w:r w:rsidR="00776512">
        <w:rPr>
          <w:rStyle w:val="default"/>
          <w:rFonts w:cs="FrankRuehl"/>
          <w:rtl/>
        </w:rPr>
        <w:t>–</w:t>
      </w:r>
      <w:r>
        <w:rPr>
          <w:rStyle w:val="default"/>
          <w:rFonts w:cs="FrankRuehl" w:hint="cs"/>
          <w:rtl/>
        </w:rPr>
        <w:t xml:space="preserve"> </w:t>
      </w:r>
      <w:r w:rsidR="00776512">
        <w:rPr>
          <w:rStyle w:val="default"/>
          <w:rFonts w:cs="FrankRuehl" w:hint="cs"/>
          <w:rtl/>
        </w:rPr>
        <w:t>בעליו של היתר הפעלה כהגדרתו בסעיף 46 לפקודה או מפעיל מטעמו כמשמעותו בסעיף 46ד לפקודה;</w:t>
      </w:r>
    </w:p>
    <w:p w14:paraId="45C613A6" w14:textId="77777777" w:rsidR="00776512" w:rsidRDefault="00776512" w:rsidP="00EF7854">
      <w:pPr>
        <w:pStyle w:val="P00"/>
        <w:spacing w:before="72"/>
        <w:ind w:left="0" w:right="1134"/>
        <w:rPr>
          <w:rStyle w:val="default"/>
          <w:rFonts w:cs="FrankRuehl" w:hint="cs"/>
          <w:rtl/>
        </w:rPr>
      </w:pPr>
      <w:r>
        <w:rPr>
          <w:rStyle w:val="default"/>
          <w:rFonts w:cs="FrankRuehl" w:hint="cs"/>
          <w:rtl/>
        </w:rPr>
        <w:tab/>
        <w:t xml:space="preserve">"כרטיס זיכרון" </w:t>
      </w:r>
      <w:r>
        <w:rPr>
          <w:rStyle w:val="default"/>
          <w:rFonts w:cs="FrankRuehl"/>
          <w:rtl/>
        </w:rPr>
        <w:t>–</w:t>
      </w:r>
      <w:r>
        <w:rPr>
          <w:rStyle w:val="default"/>
          <w:rFonts w:cs="FrankRuehl" w:hint="cs"/>
          <w:rtl/>
        </w:rPr>
        <w:t xml:space="preserve"> כהגדרתו בסעיף 46לו לפקודה.</w:t>
      </w:r>
    </w:p>
    <w:p w14:paraId="5AEC9514" w14:textId="77777777" w:rsidR="006A18F9" w:rsidRDefault="006A18F9" w:rsidP="00776512">
      <w:pPr>
        <w:pStyle w:val="P00"/>
        <w:spacing w:before="72"/>
        <w:ind w:left="0" w:right="1134"/>
        <w:rPr>
          <w:rStyle w:val="default"/>
          <w:rFonts w:cs="FrankRuehl" w:hint="cs"/>
          <w:rtl/>
        </w:rPr>
      </w:pPr>
      <w:bookmarkStart w:id="1" w:name="Seif2"/>
      <w:bookmarkEnd w:id="1"/>
      <w:r>
        <w:rPr>
          <w:lang w:val="he-IL"/>
        </w:rPr>
        <w:pict w14:anchorId="5E7DBBF7">
          <v:rect id="_x0000_s1413" style="position:absolute;left:0;text-align:left;margin-left:464.5pt;margin-top:8.05pt;width:75.05pt;height:29.5pt;z-index:251657728" o:allowincell="f" filled="f" stroked="f" strokecolor="lime" strokeweight=".25pt">
            <v:textbox style="mso-next-textbox:#_x0000_s1413" inset="0,0,0,0">
              <w:txbxContent>
                <w:p w14:paraId="569C7FDD" w14:textId="77777777" w:rsidR="002D0660" w:rsidRDefault="00776512" w:rsidP="006A18F9">
                  <w:pPr>
                    <w:spacing w:line="160" w:lineRule="exact"/>
                    <w:jc w:val="left"/>
                    <w:rPr>
                      <w:rFonts w:cs="Miriam" w:hint="cs"/>
                      <w:szCs w:val="18"/>
                      <w:rtl/>
                    </w:rPr>
                  </w:pPr>
                  <w:r>
                    <w:rPr>
                      <w:rFonts w:cs="Miriam" w:hint="cs"/>
                      <w:szCs w:val="18"/>
                      <w:rtl/>
                    </w:rPr>
                    <w:t>שמירה והחזקה של כרטיס זיכרון על ידי בעל היתר הפעלה</w:t>
                  </w:r>
                </w:p>
              </w:txbxContent>
            </v:textbox>
            <w10:anchorlock/>
          </v:rect>
        </w:pict>
      </w:r>
      <w:r>
        <w:rPr>
          <w:rStyle w:val="big-number"/>
          <w:rFonts w:hint="cs"/>
          <w:rtl/>
        </w:rPr>
        <w:t>2</w:t>
      </w:r>
      <w:r>
        <w:rPr>
          <w:rStyle w:val="default"/>
          <w:rFonts w:cs="FrankRuehl"/>
          <w:rtl/>
        </w:rPr>
        <w:t>.</w:t>
      </w:r>
      <w:r>
        <w:rPr>
          <w:rStyle w:val="default"/>
          <w:rFonts w:cs="FrankRuehl"/>
          <w:rtl/>
        </w:rPr>
        <w:tab/>
      </w:r>
      <w:r w:rsidR="00776512">
        <w:rPr>
          <w:rStyle w:val="default"/>
          <w:rFonts w:cs="FrankRuehl" w:hint="cs"/>
          <w:rtl/>
        </w:rPr>
        <w:t>(א)</w:t>
      </w:r>
      <w:r w:rsidR="00776512">
        <w:rPr>
          <w:rStyle w:val="default"/>
          <w:rFonts w:cs="FrankRuehl" w:hint="cs"/>
          <w:rtl/>
        </w:rPr>
        <w:tab/>
        <w:t>בעל היתר הפעלה ישמור את כרטיס הזיכרון כשהוא כולל את הנתונים שנרשמו בו לתקופה של 180 ימים לפחות מיום רישום הפרטים בו, ובמהלך תקופה זו לא יעשה הוא או מי מטעמו בנתונים כל שינוי.</w:t>
      </w:r>
    </w:p>
    <w:p w14:paraId="41200EEF" w14:textId="77777777" w:rsidR="00776512" w:rsidRDefault="00776512" w:rsidP="0077651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בעל היתר הפעלה רשאי להעביר את הנתונים שנרשמו בכרטיס הזיכרון, ובלבד שהתקיימו תנאים אלה:</w:t>
      </w:r>
    </w:p>
    <w:p w14:paraId="05E9CB88" w14:textId="77777777" w:rsidR="00776512" w:rsidRDefault="00776512" w:rsidP="0077651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הנתונים שנרשמו בכרטיס הזיכרון יועברו למערכת ממוחשבת ויישמרו בה בתנאים שנקבעו בתקנת משנה (א);</w:t>
      </w:r>
    </w:p>
    <w:p w14:paraId="7531D8AD" w14:textId="77777777" w:rsidR="00776512" w:rsidRDefault="00776512" w:rsidP="0077651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ההעברה תיעשה בדרך שיש בה כדי להבטיח שהנתונים שנשמרו במערכת הממוחשבת זהים בתוכנם לנתונים הרשומים בכרטיס הזיכרון; על נתונים שהועברו לפי תקנת משנה זו יחולו ההוראות החלות בפקודת על כרטיס זיכרון.</w:t>
      </w:r>
    </w:p>
    <w:p w14:paraId="14524E80" w14:textId="77777777" w:rsidR="00776512" w:rsidRDefault="00776512" w:rsidP="0077651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העביר מנהל התפעול או מי מטעמו את הנתונים שנרשמו בכרטיס הזיכרון כאמור בתקנת משנה (ב), יתעד מנהל התפעול, באופן ידני או ממוחשב, את שם פקיד הרכבת שהוציא את כרטיס הזיכרון, מועד הוצאתו, אופן שמירת הכרטיס והנתונים לפי העניין, ואת העברת הנתונים למערכת הממוחשבת לפי התנאים הקבועים בתקנת משנה (ב).</w:t>
      </w:r>
    </w:p>
    <w:p w14:paraId="349A3C79" w14:textId="77777777" w:rsidR="00776512" w:rsidRDefault="00776512" w:rsidP="0077651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בעל היתר הפעלה ישמור תיעוד כאמור בתקנת משנה (ג) לתקופה של 180 ימים לפחות.</w:t>
      </w:r>
    </w:p>
    <w:p w14:paraId="1C0EBBBC" w14:textId="77777777" w:rsidR="006A18F9" w:rsidRDefault="006A18F9" w:rsidP="006075C5">
      <w:pPr>
        <w:pStyle w:val="P00"/>
        <w:spacing w:before="72"/>
        <w:ind w:left="0" w:right="1134"/>
        <w:rPr>
          <w:rStyle w:val="default"/>
          <w:rFonts w:cs="FrankRuehl" w:hint="cs"/>
          <w:rtl/>
        </w:rPr>
      </w:pPr>
      <w:bookmarkStart w:id="2" w:name="Seif3"/>
      <w:bookmarkEnd w:id="2"/>
      <w:r>
        <w:rPr>
          <w:lang w:val="he-IL"/>
        </w:rPr>
        <w:pict w14:anchorId="18A0DAE2">
          <v:rect id="_x0000_s1414" style="position:absolute;left:0;text-align:left;margin-left:464.5pt;margin-top:8.05pt;width:75.05pt;height:20.55pt;z-index:251658752" o:allowincell="f" filled="f" stroked="f" strokecolor="lime" strokeweight=".25pt">
            <v:textbox style="mso-next-textbox:#_x0000_s1414" inset="0,0,0,0">
              <w:txbxContent>
                <w:p w14:paraId="31B45CD1" w14:textId="77777777" w:rsidR="002D0660" w:rsidRDefault="006075C5" w:rsidP="006A18F9">
                  <w:pPr>
                    <w:spacing w:line="160" w:lineRule="exact"/>
                    <w:jc w:val="left"/>
                    <w:rPr>
                      <w:rFonts w:cs="Miriam" w:hint="cs"/>
                      <w:szCs w:val="18"/>
                      <w:rtl/>
                    </w:rPr>
                  </w:pPr>
                  <w:r>
                    <w:rPr>
                      <w:rFonts w:cs="Miriam" w:hint="cs"/>
                      <w:szCs w:val="18"/>
                      <w:rtl/>
                    </w:rPr>
                    <w:t>הגשת הפלט לבית המשפט</w:t>
                  </w:r>
                </w:p>
              </w:txbxContent>
            </v:textbox>
            <w10:anchorlock/>
          </v:rect>
        </w:pict>
      </w:r>
      <w:r>
        <w:rPr>
          <w:rStyle w:val="big-number"/>
          <w:rFonts w:hint="cs"/>
          <w:rtl/>
        </w:rPr>
        <w:t>3</w:t>
      </w:r>
      <w:r>
        <w:rPr>
          <w:rStyle w:val="default"/>
          <w:rFonts w:cs="FrankRuehl"/>
          <w:rtl/>
        </w:rPr>
        <w:t>.</w:t>
      </w:r>
      <w:r>
        <w:rPr>
          <w:rStyle w:val="default"/>
          <w:rFonts w:cs="FrankRuehl"/>
          <w:rtl/>
        </w:rPr>
        <w:tab/>
      </w:r>
      <w:r w:rsidR="006075C5">
        <w:rPr>
          <w:rStyle w:val="default"/>
          <w:rFonts w:cs="FrankRuehl" w:hint="cs"/>
          <w:rtl/>
        </w:rPr>
        <w:t>הפלט יוגש לבית המשפט בצירוף תצהיר או תעודת עובד ציבור המעידים כי הפקת הפלט התבצעה לפי סעיף 46לז לפקודה, ולגבי בעל היתר הפעלה, גם בצירוף התיעוד לפי תקנה 2(ג)</w:t>
      </w:r>
      <w:r w:rsidR="0052780E">
        <w:rPr>
          <w:rStyle w:val="default"/>
          <w:rFonts w:cs="FrankRuehl" w:hint="cs"/>
          <w:rtl/>
        </w:rPr>
        <w:t>.</w:t>
      </w:r>
    </w:p>
    <w:p w14:paraId="7C44E399" w14:textId="77777777" w:rsidR="005A5B87" w:rsidRDefault="005A5B87">
      <w:pPr>
        <w:pStyle w:val="P00"/>
        <w:spacing w:before="72"/>
        <w:ind w:left="0" w:right="1134"/>
        <w:rPr>
          <w:rStyle w:val="default"/>
          <w:rFonts w:cs="FrankRuehl" w:hint="cs"/>
          <w:rtl/>
        </w:rPr>
      </w:pPr>
    </w:p>
    <w:p w14:paraId="79DC6FA5" w14:textId="77777777" w:rsidR="00AB08E5" w:rsidRDefault="00AB08E5">
      <w:pPr>
        <w:pStyle w:val="P00"/>
        <w:spacing w:before="72"/>
        <w:ind w:left="0" w:right="1134"/>
        <w:rPr>
          <w:rStyle w:val="default"/>
          <w:rFonts w:cs="FrankRuehl" w:hint="cs"/>
          <w:rtl/>
        </w:rPr>
      </w:pPr>
    </w:p>
    <w:p w14:paraId="18B411F1" w14:textId="77777777" w:rsidR="001153D7" w:rsidRDefault="006075C5" w:rsidP="006075C5">
      <w:pPr>
        <w:pStyle w:val="P00"/>
        <w:tabs>
          <w:tab w:val="clear" w:pos="624"/>
          <w:tab w:val="clear" w:pos="1021"/>
          <w:tab w:val="clear" w:pos="1474"/>
          <w:tab w:val="clear" w:pos="1928"/>
          <w:tab w:val="clear" w:pos="2381"/>
          <w:tab w:val="clear" w:pos="2835"/>
          <w:tab w:val="clear" w:pos="6259"/>
          <w:tab w:val="center" w:pos="4536"/>
          <w:tab w:val="center" w:pos="6804"/>
        </w:tabs>
        <w:spacing w:before="72"/>
        <w:ind w:left="0" w:right="1134"/>
        <w:rPr>
          <w:rFonts w:hint="cs"/>
          <w:rtl/>
        </w:rPr>
      </w:pPr>
      <w:r>
        <w:rPr>
          <w:rFonts w:hint="cs"/>
          <w:rtl/>
        </w:rPr>
        <w:t>א' בכסלו</w:t>
      </w:r>
      <w:r w:rsidR="00417C35">
        <w:rPr>
          <w:rFonts w:hint="cs"/>
          <w:rtl/>
        </w:rPr>
        <w:t xml:space="preserve"> התשע"ב (</w:t>
      </w:r>
      <w:r>
        <w:rPr>
          <w:rFonts w:hint="cs"/>
          <w:rtl/>
        </w:rPr>
        <w:t>2</w:t>
      </w:r>
      <w:r w:rsidR="008F09B2">
        <w:rPr>
          <w:rFonts w:hint="cs"/>
          <w:rtl/>
        </w:rPr>
        <w:t>7 בנובמבר</w:t>
      </w:r>
      <w:r w:rsidR="00C76B56">
        <w:rPr>
          <w:rFonts w:hint="cs"/>
          <w:rtl/>
        </w:rPr>
        <w:t xml:space="preserve"> 2011</w:t>
      </w:r>
      <w:r w:rsidR="001153D7">
        <w:rPr>
          <w:rFonts w:hint="cs"/>
          <w:rtl/>
        </w:rPr>
        <w:t>)</w:t>
      </w:r>
      <w:r w:rsidR="001153D7">
        <w:rPr>
          <w:rFonts w:hint="cs"/>
          <w:rtl/>
        </w:rPr>
        <w:tab/>
      </w:r>
      <w:r>
        <w:rPr>
          <w:rFonts w:hint="cs"/>
          <w:rtl/>
        </w:rPr>
        <w:t>ישראל כ"ץ</w:t>
      </w:r>
      <w:r>
        <w:rPr>
          <w:rFonts w:hint="cs"/>
          <w:rtl/>
        </w:rPr>
        <w:tab/>
        <w:t>יעקב נאמן</w:t>
      </w:r>
    </w:p>
    <w:p w14:paraId="4F210DE9" w14:textId="77777777" w:rsidR="00D14E13" w:rsidRDefault="00D14E13" w:rsidP="006075C5">
      <w:pPr>
        <w:pStyle w:val="P00"/>
        <w:tabs>
          <w:tab w:val="clear" w:pos="624"/>
          <w:tab w:val="clear" w:pos="1021"/>
          <w:tab w:val="clear" w:pos="1474"/>
          <w:tab w:val="clear" w:pos="1928"/>
          <w:tab w:val="clear" w:pos="2381"/>
          <w:tab w:val="clear" w:pos="2835"/>
          <w:tab w:val="clear" w:pos="6259"/>
          <w:tab w:val="center" w:pos="4536"/>
          <w:tab w:val="center" w:pos="6804"/>
        </w:tabs>
        <w:spacing w:before="0"/>
        <w:ind w:left="0" w:right="1134"/>
        <w:rPr>
          <w:rFonts w:hint="cs"/>
          <w:sz w:val="22"/>
          <w:szCs w:val="22"/>
          <w:rtl/>
        </w:rPr>
      </w:pPr>
      <w:r>
        <w:rPr>
          <w:rFonts w:hint="cs"/>
          <w:sz w:val="22"/>
          <w:szCs w:val="22"/>
          <w:rtl/>
        </w:rPr>
        <w:tab/>
      </w:r>
      <w:r w:rsidR="005A658F">
        <w:rPr>
          <w:rFonts w:hint="cs"/>
          <w:sz w:val="22"/>
          <w:szCs w:val="22"/>
          <w:rtl/>
        </w:rPr>
        <w:t xml:space="preserve">שר </w:t>
      </w:r>
      <w:r w:rsidR="006075C5">
        <w:rPr>
          <w:rFonts w:hint="cs"/>
          <w:sz w:val="22"/>
          <w:szCs w:val="22"/>
          <w:rtl/>
        </w:rPr>
        <w:t>התחבורה והבטיחות בדרכים</w:t>
      </w:r>
      <w:r w:rsidR="006075C5">
        <w:rPr>
          <w:rFonts w:hint="cs"/>
          <w:sz w:val="22"/>
          <w:szCs w:val="22"/>
          <w:rtl/>
        </w:rPr>
        <w:tab/>
        <w:t>שר המשפטים</w:t>
      </w:r>
    </w:p>
    <w:p w14:paraId="421F88CC" w14:textId="77777777" w:rsidR="00F575F2" w:rsidRDefault="00F575F2">
      <w:pPr>
        <w:pStyle w:val="P00"/>
        <w:spacing w:before="72"/>
        <w:ind w:left="0" w:right="1134"/>
        <w:rPr>
          <w:rFonts w:hint="cs"/>
          <w:rtl/>
        </w:rPr>
      </w:pPr>
    </w:p>
    <w:p w14:paraId="4ECFDC31" w14:textId="77777777" w:rsidR="007C3ABE" w:rsidRDefault="007C3ABE">
      <w:pPr>
        <w:pStyle w:val="P00"/>
        <w:spacing w:before="72"/>
        <w:ind w:left="0" w:right="1134"/>
        <w:rPr>
          <w:rFonts w:hint="cs"/>
          <w:rtl/>
        </w:rPr>
      </w:pPr>
    </w:p>
    <w:p w14:paraId="173F14BA" w14:textId="77777777" w:rsidR="00C00572" w:rsidRDefault="00C00572">
      <w:pPr>
        <w:pStyle w:val="P00"/>
        <w:spacing w:before="72"/>
        <w:ind w:left="0" w:right="1134"/>
        <w:rPr>
          <w:rtl/>
        </w:rPr>
      </w:pPr>
    </w:p>
    <w:p w14:paraId="6A0ADDA3" w14:textId="77777777" w:rsidR="00C00572" w:rsidRDefault="00C00572">
      <w:pPr>
        <w:pStyle w:val="P00"/>
        <w:spacing w:before="72"/>
        <w:ind w:left="0" w:right="1134"/>
        <w:rPr>
          <w:rtl/>
        </w:rPr>
      </w:pPr>
    </w:p>
    <w:p w14:paraId="3DE5ADA7" w14:textId="77777777" w:rsidR="00C00572" w:rsidRDefault="00C00572" w:rsidP="00C00572">
      <w:pPr>
        <w:pStyle w:val="P00"/>
        <w:spacing w:before="72"/>
        <w:ind w:left="0" w:right="1134"/>
        <w:jc w:val="center"/>
        <w:rPr>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2F43A7AD" w14:textId="77777777" w:rsidR="006415BC" w:rsidRPr="00C00572" w:rsidRDefault="006415BC" w:rsidP="00C00572">
      <w:pPr>
        <w:pStyle w:val="P00"/>
        <w:spacing w:before="72"/>
        <w:ind w:left="0" w:right="1134"/>
        <w:jc w:val="center"/>
        <w:rPr>
          <w:rFonts w:cs="David" w:hint="cs"/>
          <w:color w:val="0000FF"/>
          <w:szCs w:val="24"/>
          <w:u w:val="single"/>
          <w:rtl/>
        </w:rPr>
      </w:pPr>
    </w:p>
    <w:sectPr w:rsidR="006415BC" w:rsidRPr="00C00572">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C7B4C" w14:textId="77777777" w:rsidR="006E62AD" w:rsidRDefault="006E62AD" w:rsidP="001153D7">
      <w:pPr>
        <w:pStyle w:val="P00"/>
      </w:pPr>
      <w:r>
        <w:separator/>
      </w:r>
    </w:p>
  </w:endnote>
  <w:endnote w:type="continuationSeparator" w:id="0">
    <w:p w14:paraId="29F6E791" w14:textId="77777777" w:rsidR="006E62AD" w:rsidRDefault="006E62AD"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FF547" w14:textId="77777777" w:rsidR="002D0660" w:rsidRDefault="002D066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341153B3" w14:textId="77777777" w:rsidR="002D0660" w:rsidRDefault="002D066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7C4C8A1" w14:textId="77777777" w:rsidR="002D0660" w:rsidRDefault="002D066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9C095" w14:textId="77777777" w:rsidR="002D0660" w:rsidRDefault="002D066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C00572">
      <w:rPr>
        <w:rFonts w:hAnsi="FrankRuehl"/>
        <w:noProof/>
        <w:sz w:val="24"/>
        <w:szCs w:val="24"/>
        <w:rtl/>
      </w:rPr>
      <w:t>2</w:t>
    </w:r>
    <w:r>
      <w:rPr>
        <w:rFonts w:hAnsi="FrankRuehl"/>
        <w:sz w:val="24"/>
        <w:szCs w:val="24"/>
        <w:rtl/>
      </w:rPr>
      <w:fldChar w:fldCharType="end"/>
    </w:r>
  </w:p>
  <w:p w14:paraId="2BCDD099" w14:textId="77777777" w:rsidR="002D0660" w:rsidRDefault="002D066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1C84777" w14:textId="77777777" w:rsidR="002D0660" w:rsidRDefault="002D066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9D602" w14:textId="77777777" w:rsidR="006E62AD" w:rsidRDefault="006E62AD">
      <w:pPr>
        <w:spacing w:before="60" w:line="240" w:lineRule="auto"/>
        <w:ind w:right="1134"/>
      </w:pPr>
      <w:r>
        <w:separator/>
      </w:r>
    </w:p>
  </w:footnote>
  <w:footnote w:type="continuationSeparator" w:id="0">
    <w:p w14:paraId="5B69212E" w14:textId="77777777" w:rsidR="006E62AD" w:rsidRDefault="006E62AD">
      <w:r>
        <w:separator/>
      </w:r>
    </w:p>
  </w:footnote>
  <w:footnote w:id="1">
    <w:p w14:paraId="12E89586" w14:textId="77777777" w:rsidR="00674616" w:rsidRDefault="002D0660" w:rsidP="0067461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Pr>
          <w:rFonts w:hint="cs"/>
          <w:sz w:val="20"/>
          <w:rtl/>
        </w:rPr>
        <w:t xml:space="preserve">מו </w:t>
      </w:r>
      <w:hyperlink r:id="rId1" w:history="1">
        <w:r w:rsidRPr="00674616">
          <w:rPr>
            <w:rStyle w:val="Hyperlink"/>
            <w:rFonts w:hint="cs"/>
            <w:sz w:val="20"/>
            <w:rtl/>
          </w:rPr>
          <w:t>ק"ת תשע"ב מס' 705</w:t>
        </w:r>
        <w:r w:rsidR="00F575F2" w:rsidRPr="00674616">
          <w:rPr>
            <w:rStyle w:val="Hyperlink"/>
            <w:rFonts w:hint="cs"/>
            <w:sz w:val="20"/>
            <w:rtl/>
          </w:rPr>
          <w:t>4</w:t>
        </w:r>
      </w:hyperlink>
      <w:r>
        <w:rPr>
          <w:rFonts w:hint="cs"/>
          <w:sz w:val="20"/>
          <w:rtl/>
        </w:rPr>
        <w:t xml:space="preserve"> מיום </w:t>
      </w:r>
      <w:r w:rsidR="00F575F2">
        <w:rPr>
          <w:rFonts w:hint="cs"/>
          <w:sz w:val="20"/>
          <w:rtl/>
        </w:rPr>
        <w:t>1.12</w:t>
      </w:r>
      <w:r>
        <w:rPr>
          <w:rFonts w:hint="cs"/>
          <w:sz w:val="20"/>
          <w:rtl/>
        </w:rPr>
        <w:t xml:space="preserve">.2011 עמ' </w:t>
      </w:r>
      <w:r w:rsidR="00351366">
        <w:rPr>
          <w:rFonts w:hint="cs"/>
          <w:sz w:val="20"/>
          <w:rtl/>
        </w:rPr>
        <w:t>20</w:t>
      </w:r>
      <w:r w:rsidR="00F575F2">
        <w:rPr>
          <w:rFonts w:hint="cs"/>
          <w:sz w:val="20"/>
          <w:rtl/>
        </w:rPr>
        <w:t>4</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8C6F9" w14:textId="77777777" w:rsidR="002D0660" w:rsidRDefault="002D0660">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33660844" w14:textId="77777777" w:rsidR="002D0660" w:rsidRDefault="002D066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C57D757" w14:textId="77777777" w:rsidR="002D0660" w:rsidRDefault="002D0660">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74C7" w14:textId="77777777" w:rsidR="002D0660" w:rsidRDefault="002D0660" w:rsidP="004521F9">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 xml:space="preserve">תקנות </w:t>
    </w:r>
    <w:r w:rsidR="004521F9">
      <w:rPr>
        <w:rFonts w:hAnsi="FrankRuehl" w:hint="cs"/>
        <w:color w:val="000000"/>
        <w:sz w:val="28"/>
        <w:szCs w:val="28"/>
        <w:rtl/>
      </w:rPr>
      <w:t>מסילות הברזל</w:t>
    </w:r>
    <w:r w:rsidR="00F575F2">
      <w:rPr>
        <w:rFonts w:hAnsi="FrankRuehl" w:hint="cs"/>
        <w:color w:val="000000"/>
        <w:sz w:val="28"/>
        <w:szCs w:val="28"/>
        <w:rtl/>
      </w:rPr>
      <w:t xml:space="preserve"> (הוראות בדבר החזקה, שמירה וטיפול בכרטיס זיכרון של טכוגרף רכבת מקומית ובפלט והגשתו לבית המשפט</w:t>
    </w:r>
    <w:r>
      <w:rPr>
        <w:rFonts w:hAnsi="FrankRuehl" w:hint="cs"/>
        <w:color w:val="000000"/>
        <w:sz w:val="28"/>
        <w:szCs w:val="28"/>
        <w:rtl/>
      </w:rPr>
      <w:t>),</w:t>
    </w:r>
    <w:r>
      <w:rPr>
        <w:rFonts w:hAnsi="FrankRuehl"/>
        <w:color w:val="000000"/>
        <w:sz w:val="28"/>
        <w:szCs w:val="28"/>
        <w:rtl/>
      </w:rPr>
      <w:t xml:space="preserve"> </w:t>
    </w:r>
    <w:r>
      <w:rPr>
        <w:rFonts w:hAnsi="FrankRuehl" w:hint="cs"/>
        <w:color w:val="000000"/>
        <w:sz w:val="28"/>
        <w:szCs w:val="28"/>
        <w:rtl/>
      </w:rPr>
      <w:t>תשע"ב-2011</w:t>
    </w:r>
  </w:p>
  <w:p w14:paraId="68BFB695" w14:textId="77777777" w:rsidR="002D0660" w:rsidRDefault="002D066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1DCC51A1" w14:textId="77777777" w:rsidR="002D0660" w:rsidRDefault="002D0660">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54DF2"/>
    <w:rsid w:val="000604D6"/>
    <w:rsid w:val="00062DA7"/>
    <w:rsid w:val="00070291"/>
    <w:rsid w:val="0007387F"/>
    <w:rsid w:val="000764DF"/>
    <w:rsid w:val="000A2305"/>
    <w:rsid w:val="000A27F1"/>
    <w:rsid w:val="000C3D03"/>
    <w:rsid w:val="000D457A"/>
    <w:rsid w:val="000F7AD1"/>
    <w:rsid w:val="00104663"/>
    <w:rsid w:val="00111ABB"/>
    <w:rsid w:val="001153D7"/>
    <w:rsid w:val="00117487"/>
    <w:rsid w:val="0012009D"/>
    <w:rsid w:val="00120443"/>
    <w:rsid w:val="0012244D"/>
    <w:rsid w:val="00147D1D"/>
    <w:rsid w:val="001555E4"/>
    <w:rsid w:val="00171A6D"/>
    <w:rsid w:val="00190AF4"/>
    <w:rsid w:val="001C2251"/>
    <w:rsid w:val="001C3E05"/>
    <w:rsid w:val="001D75C6"/>
    <w:rsid w:val="001E5CC5"/>
    <w:rsid w:val="001F5448"/>
    <w:rsid w:val="001F773B"/>
    <w:rsid w:val="002005AF"/>
    <w:rsid w:val="0021551A"/>
    <w:rsid w:val="002167E6"/>
    <w:rsid w:val="00216A99"/>
    <w:rsid w:val="00237811"/>
    <w:rsid w:val="00240149"/>
    <w:rsid w:val="00240188"/>
    <w:rsid w:val="00256B53"/>
    <w:rsid w:val="00260683"/>
    <w:rsid w:val="00271669"/>
    <w:rsid w:val="0027319C"/>
    <w:rsid w:val="00275B3C"/>
    <w:rsid w:val="00290B14"/>
    <w:rsid w:val="00292CC1"/>
    <w:rsid w:val="002A4BB3"/>
    <w:rsid w:val="002B0FB3"/>
    <w:rsid w:val="002B1A66"/>
    <w:rsid w:val="002D0660"/>
    <w:rsid w:val="00301E70"/>
    <w:rsid w:val="003305DA"/>
    <w:rsid w:val="00331D4D"/>
    <w:rsid w:val="003404D2"/>
    <w:rsid w:val="0034342A"/>
    <w:rsid w:val="0034739E"/>
    <w:rsid w:val="00351366"/>
    <w:rsid w:val="00387C3F"/>
    <w:rsid w:val="003A1471"/>
    <w:rsid w:val="003A263B"/>
    <w:rsid w:val="003C645B"/>
    <w:rsid w:val="003C76B8"/>
    <w:rsid w:val="003D20B9"/>
    <w:rsid w:val="003E2D9B"/>
    <w:rsid w:val="003F001F"/>
    <w:rsid w:val="004110E9"/>
    <w:rsid w:val="00413942"/>
    <w:rsid w:val="00415410"/>
    <w:rsid w:val="00417C35"/>
    <w:rsid w:val="00423115"/>
    <w:rsid w:val="004521F9"/>
    <w:rsid w:val="00461A97"/>
    <w:rsid w:val="004625E2"/>
    <w:rsid w:val="00493778"/>
    <w:rsid w:val="00497258"/>
    <w:rsid w:val="004A2062"/>
    <w:rsid w:val="004A5EA5"/>
    <w:rsid w:val="004B1BC6"/>
    <w:rsid w:val="004B3AB3"/>
    <w:rsid w:val="004F3CDA"/>
    <w:rsid w:val="004F7707"/>
    <w:rsid w:val="0052780E"/>
    <w:rsid w:val="00535CC5"/>
    <w:rsid w:val="00550DF9"/>
    <w:rsid w:val="005A5B87"/>
    <w:rsid w:val="005A6225"/>
    <w:rsid w:val="005A658F"/>
    <w:rsid w:val="005B05B8"/>
    <w:rsid w:val="005C15CB"/>
    <w:rsid w:val="005D245F"/>
    <w:rsid w:val="005D582D"/>
    <w:rsid w:val="005E0E13"/>
    <w:rsid w:val="005F4D1A"/>
    <w:rsid w:val="005F7021"/>
    <w:rsid w:val="00600F57"/>
    <w:rsid w:val="0060619B"/>
    <w:rsid w:val="006075C5"/>
    <w:rsid w:val="0061159D"/>
    <w:rsid w:val="00615319"/>
    <w:rsid w:val="00617BBB"/>
    <w:rsid w:val="00622C7D"/>
    <w:rsid w:val="006415BC"/>
    <w:rsid w:val="00642FBF"/>
    <w:rsid w:val="00647114"/>
    <w:rsid w:val="006516ED"/>
    <w:rsid w:val="00674616"/>
    <w:rsid w:val="006A18F9"/>
    <w:rsid w:val="006B097D"/>
    <w:rsid w:val="006B4DFA"/>
    <w:rsid w:val="006D567F"/>
    <w:rsid w:val="006E0BEF"/>
    <w:rsid w:val="006E62AD"/>
    <w:rsid w:val="0071029B"/>
    <w:rsid w:val="00731BA8"/>
    <w:rsid w:val="0073201B"/>
    <w:rsid w:val="007551B3"/>
    <w:rsid w:val="00756CAB"/>
    <w:rsid w:val="00766404"/>
    <w:rsid w:val="00776512"/>
    <w:rsid w:val="007767F0"/>
    <w:rsid w:val="00784556"/>
    <w:rsid w:val="007A02F7"/>
    <w:rsid w:val="007A7DCC"/>
    <w:rsid w:val="007C3ABE"/>
    <w:rsid w:val="007D08CF"/>
    <w:rsid w:val="007F4790"/>
    <w:rsid w:val="007F7072"/>
    <w:rsid w:val="00800CDF"/>
    <w:rsid w:val="00835904"/>
    <w:rsid w:val="00851C93"/>
    <w:rsid w:val="008D3627"/>
    <w:rsid w:val="008D4DB8"/>
    <w:rsid w:val="008D4DBF"/>
    <w:rsid w:val="008D7430"/>
    <w:rsid w:val="008E2561"/>
    <w:rsid w:val="008E3F93"/>
    <w:rsid w:val="008F09B2"/>
    <w:rsid w:val="0090546C"/>
    <w:rsid w:val="00920730"/>
    <w:rsid w:val="00947D07"/>
    <w:rsid w:val="00954AEA"/>
    <w:rsid w:val="009673BD"/>
    <w:rsid w:val="00976D3D"/>
    <w:rsid w:val="009C5F92"/>
    <w:rsid w:val="009F4699"/>
    <w:rsid w:val="009F65F4"/>
    <w:rsid w:val="00A02041"/>
    <w:rsid w:val="00A14553"/>
    <w:rsid w:val="00A1570F"/>
    <w:rsid w:val="00A21BAF"/>
    <w:rsid w:val="00A335E8"/>
    <w:rsid w:val="00A35851"/>
    <w:rsid w:val="00A44A3F"/>
    <w:rsid w:val="00A478B2"/>
    <w:rsid w:val="00A50CD4"/>
    <w:rsid w:val="00A53ADF"/>
    <w:rsid w:val="00A706E7"/>
    <w:rsid w:val="00A72624"/>
    <w:rsid w:val="00A971C7"/>
    <w:rsid w:val="00A974FD"/>
    <w:rsid w:val="00AB08E5"/>
    <w:rsid w:val="00AB7A67"/>
    <w:rsid w:val="00AD0C71"/>
    <w:rsid w:val="00AD4A85"/>
    <w:rsid w:val="00B11453"/>
    <w:rsid w:val="00B1250A"/>
    <w:rsid w:val="00B1453E"/>
    <w:rsid w:val="00B23890"/>
    <w:rsid w:val="00B2613D"/>
    <w:rsid w:val="00B306DE"/>
    <w:rsid w:val="00B679F1"/>
    <w:rsid w:val="00B913AB"/>
    <w:rsid w:val="00B92511"/>
    <w:rsid w:val="00B93388"/>
    <w:rsid w:val="00BC6821"/>
    <w:rsid w:val="00BD3960"/>
    <w:rsid w:val="00BF4052"/>
    <w:rsid w:val="00C00572"/>
    <w:rsid w:val="00C12988"/>
    <w:rsid w:val="00C463D8"/>
    <w:rsid w:val="00C52951"/>
    <w:rsid w:val="00C65047"/>
    <w:rsid w:val="00C76B56"/>
    <w:rsid w:val="00C97091"/>
    <w:rsid w:val="00CB7E37"/>
    <w:rsid w:val="00CC6E39"/>
    <w:rsid w:val="00CD3272"/>
    <w:rsid w:val="00CD41CB"/>
    <w:rsid w:val="00CF0B2A"/>
    <w:rsid w:val="00CF583D"/>
    <w:rsid w:val="00CF71AB"/>
    <w:rsid w:val="00D14E13"/>
    <w:rsid w:val="00D268E8"/>
    <w:rsid w:val="00D26B78"/>
    <w:rsid w:val="00D57B76"/>
    <w:rsid w:val="00D702B8"/>
    <w:rsid w:val="00D706C7"/>
    <w:rsid w:val="00D74842"/>
    <w:rsid w:val="00D76CC2"/>
    <w:rsid w:val="00DC6DCE"/>
    <w:rsid w:val="00DC7087"/>
    <w:rsid w:val="00DC7731"/>
    <w:rsid w:val="00DD4C30"/>
    <w:rsid w:val="00DD6B39"/>
    <w:rsid w:val="00DF433F"/>
    <w:rsid w:val="00E05922"/>
    <w:rsid w:val="00E07DA5"/>
    <w:rsid w:val="00E13678"/>
    <w:rsid w:val="00E26F4A"/>
    <w:rsid w:val="00E30ABF"/>
    <w:rsid w:val="00E4424C"/>
    <w:rsid w:val="00E51B25"/>
    <w:rsid w:val="00E61634"/>
    <w:rsid w:val="00E66CC0"/>
    <w:rsid w:val="00EA42E3"/>
    <w:rsid w:val="00EB7F7B"/>
    <w:rsid w:val="00ED227B"/>
    <w:rsid w:val="00ED35FD"/>
    <w:rsid w:val="00EE5228"/>
    <w:rsid w:val="00EF64C7"/>
    <w:rsid w:val="00EF6CF7"/>
    <w:rsid w:val="00EF7854"/>
    <w:rsid w:val="00F24B0F"/>
    <w:rsid w:val="00F26384"/>
    <w:rsid w:val="00F35A91"/>
    <w:rsid w:val="00F575F2"/>
    <w:rsid w:val="00F70FC4"/>
    <w:rsid w:val="00F74789"/>
    <w:rsid w:val="00F86EA4"/>
    <w:rsid w:val="00FC11F7"/>
    <w:rsid w:val="00FC2629"/>
    <w:rsid w:val="00FD7271"/>
    <w:rsid w:val="00FE2F36"/>
    <w:rsid w:val="00FF778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9645511"/>
  <w15:chartTrackingRefBased/>
  <w15:docId w15:val="{D0164D68-25D5-4C7E-96DF-EB5142C8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05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2416</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8060940</vt:i4>
      </vt:variant>
      <vt:variant>
        <vt:i4>0</vt:i4>
      </vt:variant>
      <vt:variant>
        <vt:i4>0</vt:i4>
      </vt:variant>
      <vt:variant>
        <vt:i4>5</vt:i4>
      </vt:variant>
      <vt:variant>
        <vt:lpwstr>http://www.nevo.co.il/Law_word/law06/TAK-7054.pdf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תעבורה</vt:lpwstr>
  </property>
  <property fmtid="{D5CDD505-2E9C-101B-9397-08002B2CF9AE}" pid="4" name="LAWNAME">
    <vt:lpwstr>תקנות מסילות הברזל (הוראות בדבר החזקה, שמירה וטפול בכרטיס זיכרון של טכוגרף רכבת מקומית ובפלט הגשתו לבית המשפט), תשע"ב-2011</vt:lpwstr>
  </property>
  <property fmtid="{D5CDD505-2E9C-101B-9397-08002B2CF9AE}" pid="5" name="LAWNUMBER">
    <vt:lpwstr>0590</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LINKK2">
    <vt:lpwstr/>
  </property>
  <property fmtid="{D5CDD505-2E9C-101B-9397-08002B2CF9AE}" pid="22" name="NOSE11">
    <vt:lpwstr>רשויות ומשפט מנהלי</vt:lpwstr>
  </property>
  <property fmtid="{D5CDD505-2E9C-101B-9397-08002B2CF9AE}" pid="23" name="NOSE21">
    <vt:lpwstr>תשתיות</vt:lpwstr>
  </property>
  <property fmtid="{D5CDD505-2E9C-101B-9397-08002B2CF9AE}" pid="24" name="NOSE31">
    <vt:lpwstr>מסילות הברזל</vt:lpwstr>
  </property>
  <property fmtid="{D5CDD505-2E9C-101B-9397-08002B2CF9AE}" pid="25" name="NOSE41">
    <vt:lpwstr>רכבת</vt:lpwstr>
  </property>
  <property fmtid="{D5CDD505-2E9C-101B-9397-08002B2CF9AE}" pid="26" name="NOSE12">
    <vt:lpwstr>רשויות ומשפט מנהלי</vt:lpwstr>
  </property>
  <property fmtid="{D5CDD505-2E9C-101B-9397-08002B2CF9AE}" pid="27" name="NOSE22">
    <vt:lpwstr>תעבורה</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פקודת מסילות הברזל [נוסח חדש]</vt:lpwstr>
  </property>
  <property fmtid="{D5CDD505-2E9C-101B-9397-08002B2CF9AE}" pid="63" name="MEKOR_SAIF1">
    <vt:lpwstr>46לזXגX;46לחX</vt:lpwstr>
  </property>
  <property fmtid="{D5CDD505-2E9C-101B-9397-08002B2CF9AE}" pid="64" name="LINKK1">
    <vt:lpwstr>http://www.nevo.co.il/Law_word/law06/TAK-7054.pdf;‎רשומות - תקנות כלליות#פורסמו ק"ת תשע"ב ‏מס' 7054 #מיום 1.12.2011 עמ' 204‏</vt:lpwstr>
  </property>
</Properties>
</file>