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36AF5" w14:textId="77777777" w:rsidR="000A51DD" w:rsidRDefault="00F75090" w:rsidP="00D26EC1">
      <w:pPr>
        <w:pStyle w:val="big-header"/>
        <w:ind w:left="0" w:right="1134"/>
        <w:rPr>
          <w:rFonts w:cs="FrankRuehl" w:hint="cs"/>
          <w:sz w:val="32"/>
          <w:rtl/>
        </w:rPr>
      </w:pPr>
      <w:r>
        <w:rPr>
          <w:rFonts w:cs="FrankRuehl" w:hint="cs"/>
          <w:sz w:val="32"/>
          <w:rtl/>
        </w:rPr>
        <w:t>תקנות מסילות הברזל (החלת תקנות התעבורה לעניין רכבת מקומית)</w:t>
      </w:r>
      <w:r w:rsidR="008154D9">
        <w:rPr>
          <w:rFonts w:cs="FrankRuehl" w:hint="cs"/>
          <w:sz w:val="32"/>
          <w:rtl/>
        </w:rPr>
        <w:t xml:space="preserve">, </w:t>
      </w:r>
      <w:r>
        <w:rPr>
          <w:rFonts w:cs="FrankRuehl"/>
          <w:sz w:val="32"/>
          <w:rtl/>
        </w:rPr>
        <w:br/>
      </w:r>
      <w:r w:rsidR="008154D9">
        <w:rPr>
          <w:rFonts w:cs="FrankRuehl" w:hint="cs"/>
          <w:sz w:val="32"/>
          <w:rtl/>
        </w:rPr>
        <w:t>תשע"א-2011</w:t>
      </w:r>
    </w:p>
    <w:p w14:paraId="278B1086" w14:textId="77777777" w:rsidR="00F75090" w:rsidRPr="00F75090" w:rsidRDefault="00F75090" w:rsidP="00F75090">
      <w:pPr>
        <w:spacing w:line="320" w:lineRule="auto"/>
        <w:rPr>
          <w:rFonts w:cs="FrankRuehl"/>
          <w:szCs w:val="26"/>
          <w:rtl/>
        </w:rPr>
      </w:pPr>
    </w:p>
    <w:p w14:paraId="1D059E27" w14:textId="77777777" w:rsidR="00F75090" w:rsidRDefault="00F75090" w:rsidP="00F75090">
      <w:pPr>
        <w:spacing w:line="320" w:lineRule="auto"/>
        <w:rPr>
          <w:rtl/>
        </w:rPr>
      </w:pPr>
    </w:p>
    <w:p w14:paraId="7B90FDDB" w14:textId="77777777" w:rsidR="00F75090" w:rsidRDefault="00F75090" w:rsidP="00F75090">
      <w:pPr>
        <w:spacing w:line="320" w:lineRule="auto"/>
        <w:rPr>
          <w:rFonts w:cs="Miriam"/>
          <w:szCs w:val="22"/>
          <w:rtl/>
        </w:rPr>
      </w:pPr>
      <w:r w:rsidRPr="00F75090">
        <w:rPr>
          <w:rFonts w:cs="Miriam"/>
          <w:szCs w:val="22"/>
          <w:rtl/>
        </w:rPr>
        <w:t>רשויות ומשפט מנהלי</w:t>
      </w:r>
      <w:r w:rsidRPr="00F75090">
        <w:rPr>
          <w:rFonts w:cs="FrankRuehl"/>
          <w:szCs w:val="26"/>
          <w:rtl/>
        </w:rPr>
        <w:t xml:space="preserve"> – תשתיות – מסילות הברזל – רכבת</w:t>
      </w:r>
    </w:p>
    <w:p w14:paraId="0467A389" w14:textId="77777777" w:rsidR="00F75090" w:rsidRPr="00F75090" w:rsidRDefault="00F75090" w:rsidP="00F75090">
      <w:pPr>
        <w:spacing w:line="320" w:lineRule="auto"/>
        <w:rPr>
          <w:rFonts w:cs="Miriam" w:hint="cs"/>
          <w:szCs w:val="22"/>
          <w:rtl/>
        </w:rPr>
      </w:pPr>
      <w:r w:rsidRPr="00F75090">
        <w:rPr>
          <w:rFonts w:cs="Miriam"/>
          <w:szCs w:val="22"/>
          <w:rtl/>
        </w:rPr>
        <w:t>רשויות ומשפט מנהלי</w:t>
      </w:r>
      <w:r w:rsidRPr="00F75090">
        <w:rPr>
          <w:rFonts w:cs="FrankRuehl"/>
          <w:szCs w:val="26"/>
          <w:rtl/>
        </w:rPr>
        <w:t xml:space="preserve"> – תעבורה</w:t>
      </w:r>
    </w:p>
    <w:p w14:paraId="16F984AE" w14:textId="77777777" w:rsidR="000A51DD" w:rsidRDefault="000A51DD">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8666A" w:rsidRPr="0088666A" w14:paraId="78909225" w14:textId="77777777" w:rsidTr="0088666A">
        <w:tblPrEx>
          <w:tblCellMar>
            <w:top w:w="0" w:type="dxa"/>
            <w:bottom w:w="0" w:type="dxa"/>
          </w:tblCellMar>
        </w:tblPrEx>
        <w:tc>
          <w:tcPr>
            <w:tcW w:w="1247" w:type="dxa"/>
          </w:tcPr>
          <w:p w14:paraId="7D63CCBE" w14:textId="77777777" w:rsidR="0088666A" w:rsidRPr="0088666A" w:rsidRDefault="0088666A" w:rsidP="0088666A">
            <w:pPr>
              <w:rPr>
                <w:rFonts w:cs="Frankruhel" w:hint="cs"/>
                <w:rtl/>
              </w:rPr>
            </w:pPr>
            <w:r>
              <w:rPr>
                <w:rtl/>
              </w:rPr>
              <w:t xml:space="preserve">סעיף 1 </w:t>
            </w:r>
          </w:p>
        </w:tc>
        <w:tc>
          <w:tcPr>
            <w:tcW w:w="5669" w:type="dxa"/>
          </w:tcPr>
          <w:p w14:paraId="78B28470" w14:textId="77777777" w:rsidR="0088666A" w:rsidRPr="0088666A" w:rsidRDefault="0088666A" w:rsidP="0088666A">
            <w:pPr>
              <w:rPr>
                <w:rFonts w:cs="Frankruhel" w:hint="cs"/>
                <w:rtl/>
              </w:rPr>
            </w:pPr>
            <w:r>
              <w:rPr>
                <w:rtl/>
              </w:rPr>
              <w:t>החלת תקנות התעבורה לעניין רכבת מקומית</w:t>
            </w:r>
          </w:p>
        </w:tc>
        <w:tc>
          <w:tcPr>
            <w:tcW w:w="567" w:type="dxa"/>
          </w:tcPr>
          <w:p w14:paraId="738FC0C9" w14:textId="77777777" w:rsidR="0088666A" w:rsidRPr="0088666A" w:rsidRDefault="0088666A" w:rsidP="0088666A">
            <w:pPr>
              <w:rPr>
                <w:rStyle w:val="Hyperlink"/>
                <w:rFonts w:hint="cs"/>
                <w:rtl/>
              </w:rPr>
            </w:pPr>
            <w:hyperlink w:anchor="Seif1" w:tooltip="החלת תקנות התעבורה לעניין רכבת מקומית" w:history="1">
              <w:r w:rsidRPr="0088666A">
                <w:rPr>
                  <w:rStyle w:val="Hyperlink"/>
                </w:rPr>
                <w:t>Go</w:t>
              </w:r>
            </w:hyperlink>
          </w:p>
        </w:tc>
        <w:tc>
          <w:tcPr>
            <w:tcW w:w="850" w:type="dxa"/>
          </w:tcPr>
          <w:p w14:paraId="6CE3C1D9" w14:textId="77777777" w:rsidR="0088666A" w:rsidRPr="0088666A" w:rsidRDefault="0088666A" w:rsidP="0088666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88666A" w:rsidRPr="0088666A" w14:paraId="329C52BE" w14:textId="77777777" w:rsidTr="0088666A">
        <w:tblPrEx>
          <w:tblCellMar>
            <w:top w:w="0" w:type="dxa"/>
            <w:bottom w:w="0" w:type="dxa"/>
          </w:tblCellMar>
        </w:tblPrEx>
        <w:tc>
          <w:tcPr>
            <w:tcW w:w="1247" w:type="dxa"/>
          </w:tcPr>
          <w:p w14:paraId="5D43A06F" w14:textId="77777777" w:rsidR="0088666A" w:rsidRPr="0088666A" w:rsidRDefault="0088666A" w:rsidP="0088666A">
            <w:pPr>
              <w:rPr>
                <w:rFonts w:cs="Frankruhel" w:hint="cs"/>
                <w:rtl/>
              </w:rPr>
            </w:pPr>
            <w:r>
              <w:rPr>
                <w:rtl/>
              </w:rPr>
              <w:t xml:space="preserve">סעיף 2 </w:t>
            </w:r>
          </w:p>
        </w:tc>
        <w:tc>
          <w:tcPr>
            <w:tcW w:w="5669" w:type="dxa"/>
          </w:tcPr>
          <w:p w14:paraId="066E9A12" w14:textId="77777777" w:rsidR="0088666A" w:rsidRPr="0088666A" w:rsidRDefault="0088666A" w:rsidP="0088666A">
            <w:pPr>
              <w:rPr>
                <w:rFonts w:cs="Frankruhel" w:hint="cs"/>
                <w:rtl/>
              </w:rPr>
            </w:pPr>
            <w:r>
              <w:rPr>
                <w:rtl/>
              </w:rPr>
              <w:t>העברת מידע בנוגע לפסילת רישיון לנהיגת רכבת מקומית</w:t>
            </w:r>
          </w:p>
        </w:tc>
        <w:tc>
          <w:tcPr>
            <w:tcW w:w="567" w:type="dxa"/>
          </w:tcPr>
          <w:p w14:paraId="5C194C8D" w14:textId="77777777" w:rsidR="0088666A" w:rsidRPr="0088666A" w:rsidRDefault="0088666A" w:rsidP="0088666A">
            <w:pPr>
              <w:rPr>
                <w:rStyle w:val="Hyperlink"/>
                <w:rFonts w:hint="cs"/>
                <w:rtl/>
              </w:rPr>
            </w:pPr>
            <w:hyperlink w:anchor="Seif2" w:tooltip="העברת מידע בנוגע לפסילת רישיון לנהיגת רכבת מקומית" w:history="1">
              <w:r w:rsidRPr="0088666A">
                <w:rPr>
                  <w:rStyle w:val="Hyperlink"/>
                </w:rPr>
                <w:t>Go</w:t>
              </w:r>
            </w:hyperlink>
          </w:p>
        </w:tc>
        <w:tc>
          <w:tcPr>
            <w:tcW w:w="850" w:type="dxa"/>
          </w:tcPr>
          <w:p w14:paraId="519A96E9" w14:textId="77777777" w:rsidR="0088666A" w:rsidRPr="0088666A" w:rsidRDefault="0088666A" w:rsidP="0088666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4</w:t>
            </w:r>
            <w:r>
              <w:rPr>
                <w:rFonts w:cs="Frankruhel"/>
                <w:rtl/>
              </w:rPr>
              <w:fldChar w:fldCharType="end"/>
            </w:r>
          </w:p>
        </w:tc>
      </w:tr>
      <w:tr w:rsidR="0088666A" w:rsidRPr="0088666A" w14:paraId="03D22860" w14:textId="77777777" w:rsidTr="0088666A">
        <w:tblPrEx>
          <w:tblCellMar>
            <w:top w:w="0" w:type="dxa"/>
            <w:bottom w:w="0" w:type="dxa"/>
          </w:tblCellMar>
        </w:tblPrEx>
        <w:tc>
          <w:tcPr>
            <w:tcW w:w="1247" w:type="dxa"/>
          </w:tcPr>
          <w:p w14:paraId="321F24A8" w14:textId="77777777" w:rsidR="0088666A" w:rsidRPr="0088666A" w:rsidRDefault="0088666A" w:rsidP="0088666A">
            <w:pPr>
              <w:rPr>
                <w:rFonts w:cs="Frankruhel" w:hint="cs"/>
                <w:rtl/>
              </w:rPr>
            </w:pPr>
            <w:r>
              <w:rPr>
                <w:rtl/>
              </w:rPr>
              <w:t xml:space="preserve">סעיף 3 </w:t>
            </w:r>
          </w:p>
        </w:tc>
        <w:tc>
          <w:tcPr>
            <w:tcW w:w="5669" w:type="dxa"/>
          </w:tcPr>
          <w:p w14:paraId="6FCE0E81" w14:textId="77777777" w:rsidR="0088666A" w:rsidRPr="0088666A" w:rsidRDefault="0088666A" w:rsidP="0088666A">
            <w:pPr>
              <w:rPr>
                <w:rFonts w:cs="Frankruhel" w:hint="cs"/>
                <w:rtl/>
              </w:rPr>
            </w:pPr>
            <w:r>
              <w:rPr>
                <w:rtl/>
              </w:rPr>
              <w:t>סייג לתחולה</w:t>
            </w:r>
          </w:p>
        </w:tc>
        <w:tc>
          <w:tcPr>
            <w:tcW w:w="567" w:type="dxa"/>
          </w:tcPr>
          <w:p w14:paraId="4F0F6406" w14:textId="77777777" w:rsidR="0088666A" w:rsidRPr="0088666A" w:rsidRDefault="0088666A" w:rsidP="0088666A">
            <w:pPr>
              <w:rPr>
                <w:rStyle w:val="Hyperlink"/>
                <w:rFonts w:hint="cs"/>
                <w:rtl/>
              </w:rPr>
            </w:pPr>
            <w:hyperlink w:anchor="Seif3" w:tooltip="סייג לתחולה" w:history="1">
              <w:r w:rsidRPr="0088666A">
                <w:rPr>
                  <w:rStyle w:val="Hyperlink"/>
                </w:rPr>
                <w:t>Go</w:t>
              </w:r>
            </w:hyperlink>
          </w:p>
        </w:tc>
        <w:tc>
          <w:tcPr>
            <w:tcW w:w="850" w:type="dxa"/>
          </w:tcPr>
          <w:p w14:paraId="1C7D0915" w14:textId="77777777" w:rsidR="0088666A" w:rsidRPr="0088666A" w:rsidRDefault="0088666A" w:rsidP="0088666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4</w:t>
            </w:r>
            <w:r>
              <w:rPr>
                <w:rFonts w:cs="Frankruhel"/>
                <w:rtl/>
              </w:rPr>
              <w:fldChar w:fldCharType="end"/>
            </w:r>
          </w:p>
        </w:tc>
      </w:tr>
      <w:tr w:rsidR="0088666A" w:rsidRPr="0088666A" w14:paraId="4514560E" w14:textId="77777777" w:rsidTr="0088666A">
        <w:tblPrEx>
          <w:tblCellMar>
            <w:top w:w="0" w:type="dxa"/>
            <w:bottom w:w="0" w:type="dxa"/>
          </w:tblCellMar>
        </w:tblPrEx>
        <w:tc>
          <w:tcPr>
            <w:tcW w:w="1247" w:type="dxa"/>
          </w:tcPr>
          <w:p w14:paraId="306391C4" w14:textId="77777777" w:rsidR="0088666A" w:rsidRPr="0088666A" w:rsidRDefault="0088666A" w:rsidP="0088666A">
            <w:pPr>
              <w:rPr>
                <w:rFonts w:cs="Frankruhel" w:hint="cs"/>
                <w:rtl/>
              </w:rPr>
            </w:pPr>
            <w:r>
              <w:rPr>
                <w:rtl/>
              </w:rPr>
              <w:t xml:space="preserve">סעיף 4 </w:t>
            </w:r>
          </w:p>
        </w:tc>
        <w:tc>
          <w:tcPr>
            <w:tcW w:w="5669" w:type="dxa"/>
          </w:tcPr>
          <w:p w14:paraId="76DBCA17" w14:textId="77777777" w:rsidR="0088666A" w:rsidRPr="0088666A" w:rsidRDefault="0088666A" w:rsidP="0088666A">
            <w:pPr>
              <w:rPr>
                <w:rFonts w:cs="Frankruhel" w:hint="cs"/>
                <w:rtl/>
              </w:rPr>
            </w:pPr>
            <w:r>
              <w:rPr>
                <w:rtl/>
              </w:rPr>
              <w:t>עונשין</w:t>
            </w:r>
          </w:p>
        </w:tc>
        <w:tc>
          <w:tcPr>
            <w:tcW w:w="567" w:type="dxa"/>
          </w:tcPr>
          <w:p w14:paraId="68E4D5E8" w14:textId="77777777" w:rsidR="0088666A" w:rsidRPr="0088666A" w:rsidRDefault="0088666A" w:rsidP="0088666A">
            <w:pPr>
              <w:rPr>
                <w:rStyle w:val="Hyperlink"/>
                <w:rFonts w:hint="cs"/>
                <w:rtl/>
              </w:rPr>
            </w:pPr>
            <w:hyperlink w:anchor="Seif4" w:tooltip="עונשין" w:history="1">
              <w:r w:rsidRPr="0088666A">
                <w:rPr>
                  <w:rStyle w:val="Hyperlink"/>
                </w:rPr>
                <w:t>Go</w:t>
              </w:r>
            </w:hyperlink>
          </w:p>
        </w:tc>
        <w:tc>
          <w:tcPr>
            <w:tcW w:w="850" w:type="dxa"/>
          </w:tcPr>
          <w:p w14:paraId="2DEF015F" w14:textId="77777777" w:rsidR="0088666A" w:rsidRPr="0088666A" w:rsidRDefault="0088666A" w:rsidP="0088666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4</w:t>
            </w:r>
            <w:r>
              <w:rPr>
                <w:rFonts w:cs="Frankruhel"/>
                <w:rtl/>
              </w:rPr>
              <w:fldChar w:fldCharType="end"/>
            </w:r>
          </w:p>
        </w:tc>
      </w:tr>
      <w:tr w:rsidR="0088666A" w:rsidRPr="0088666A" w14:paraId="02FCA6E9" w14:textId="77777777" w:rsidTr="0088666A">
        <w:tblPrEx>
          <w:tblCellMar>
            <w:top w:w="0" w:type="dxa"/>
            <w:bottom w:w="0" w:type="dxa"/>
          </w:tblCellMar>
        </w:tblPrEx>
        <w:tc>
          <w:tcPr>
            <w:tcW w:w="1247" w:type="dxa"/>
          </w:tcPr>
          <w:p w14:paraId="383627EF" w14:textId="77777777" w:rsidR="0088666A" w:rsidRPr="0088666A" w:rsidRDefault="0088666A" w:rsidP="0088666A">
            <w:pPr>
              <w:rPr>
                <w:rFonts w:cs="Frankruhel" w:hint="cs"/>
                <w:rtl/>
              </w:rPr>
            </w:pPr>
            <w:r>
              <w:rPr>
                <w:rtl/>
              </w:rPr>
              <w:t xml:space="preserve">סעיף 5 </w:t>
            </w:r>
          </w:p>
        </w:tc>
        <w:tc>
          <w:tcPr>
            <w:tcW w:w="5669" w:type="dxa"/>
          </w:tcPr>
          <w:p w14:paraId="10A6D54B" w14:textId="77777777" w:rsidR="0088666A" w:rsidRPr="0088666A" w:rsidRDefault="0088666A" w:rsidP="0088666A">
            <w:pPr>
              <w:rPr>
                <w:rFonts w:cs="Frankruhel" w:hint="cs"/>
                <w:rtl/>
              </w:rPr>
            </w:pPr>
            <w:r>
              <w:rPr>
                <w:rtl/>
              </w:rPr>
              <w:t>תחילה</w:t>
            </w:r>
          </w:p>
        </w:tc>
        <w:tc>
          <w:tcPr>
            <w:tcW w:w="567" w:type="dxa"/>
          </w:tcPr>
          <w:p w14:paraId="6B514D13" w14:textId="77777777" w:rsidR="0088666A" w:rsidRPr="0088666A" w:rsidRDefault="0088666A" w:rsidP="0088666A">
            <w:pPr>
              <w:rPr>
                <w:rStyle w:val="Hyperlink"/>
                <w:rFonts w:hint="cs"/>
                <w:rtl/>
              </w:rPr>
            </w:pPr>
            <w:hyperlink w:anchor="Seif5" w:tooltip="תחילה" w:history="1">
              <w:r w:rsidRPr="0088666A">
                <w:rPr>
                  <w:rStyle w:val="Hyperlink"/>
                </w:rPr>
                <w:t>Go</w:t>
              </w:r>
            </w:hyperlink>
          </w:p>
        </w:tc>
        <w:tc>
          <w:tcPr>
            <w:tcW w:w="850" w:type="dxa"/>
          </w:tcPr>
          <w:p w14:paraId="2906BFE6" w14:textId="77777777" w:rsidR="0088666A" w:rsidRPr="0088666A" w:rsidRDefault="0088666A" w:rsidP="0088666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4</w:t>
            </w:r>
            <w:r>
              <w:rPr>
                <w:rFonts w:cs="Frankruhel"/>
                <w:rtl/>
              </w:rPr>
              <w:fldChar w:fldCharType="end"/>
            </w:r>
          </w:p>
        </w:tc>
      </w:tr>
    </w:tbl>
    <w:p w14:paraId="319BEFA5" w14:textId="77777777" w:rsidR="000A51DD" w:rsidRDefault="000A51DD">
      <w:pPr>
        <w:pStyle w:val="big-header"/>
        <w:ind w:left="0" w:right="1134"/>
        <w:rPr>
          <w:rFonts w:cs="FrankRuehl" w:hint="cs"/>
          <w:sz w:val="32"/>
          <w:rtl/>
        </w:rPr>
      </w:pPr>
    </w:p>
    <w:p w14:paraId="46454CDC" w14:textId="77777777" w:rsidR="000A51DD" w:rsidRDefault="000A51DD" w:rsidP="00F75090">
      <w:pPr>
        <w:pStyle w:val="big-header"/>
        <w:ind w:left="0" w:right="1134"/>
        <w:rPr>
          <w:rStyle w:val="default"/>
          <w:rFonts w:hint="cs"/>
          <w:sz w:val="22"/>
          <w:szCs w:val="22"/>
          <w:rtl/>
        </w:rPr>
      </w:pPr>
      <w:r>
        <w:rPr>
          <w:rFonts w:cs="FrankRuehl"/>
          <w:sz w:val="32"/>
          <w:rtl/>
        </w:rPr>
        <w:br w:type="page"/>
      </w:r>
      <w:r w:rsidR="00F75090">
        <w:rPr>
          <w:rFonts w:cs="FrankRuehl" w:hint="cs"/>
          <w:sz w:val="32"/>
          <w:rtl/>
        </w:rPr>
        <w:lastRenderedPageBreak/>
        <w:t xml:space="preserve">תקנות מסילות הברזל (החלת תקנות התעבורה לעניין רכבת מקומית), </w:t>
      </w:r>
      <w:r w:rsidR="00F75090">
        <w:rPr>
          <w:rFonts w:cs="FrankRuehl"/>
          <w:sz w:val="32"/>
          <w:rtl/>
        </w:rPr>
        <w:br/>
      </w:r>
      <w:r w:rsidR="00F75090">
        <w:rPr>
          <w:rFonts w:cs="FrankRuehl" w:hint="cs"/>
          <w:sz w:val="32"/>
          <w:rtl/>
        </w:rPr>
        <w:t>תשע"א-2011</w:t>
      </w:r>
      <w:r>
        <w:rPr>
          <w:rStyle w:val="default"/>
          <w:sz w:val="22"/>
          <w:szCs w:val="22"/>
          <w:rtl/>
        </w:rPr>
        <w:footnoteReference w:customMarkFollows="1" w:id="1"/>
        <w:t>*</w:t>
      </w:r>
    </w:p>
    <w:p w14:paraId="6BA25C13" w14:textId="77777777" w:rsidR="00F75090" w:rsidRDefault="00F75090" w:rsidP="00F75090">
      <w:pPr>
        <w:pStyle w:val="P00"/>
        <w:spacing w:before="72"/>
        <w:ind w:left="0" w:right="1134"/>
        <w:rPr>
          <w:rStyle w:val="default"/>
          <w:rFonts w:cs="FrankRuehl" w:hint="cs"/>
          <w:rtl/>
        </w:rPr>
      </w:pPr>
      <w:r>
        <w:rPr>
          <w:rStyle w:val="default"/>
          <w:rFonts w:cs="FrankRuehl" w:hint="cs"/>
          <w:rtl/>
        </w:rPr>
        <w:tab/>
        <w:t xml:space="preserve">בתוקף סמכותי לפי סעיפים 46ג(ב) ו-57(א)(5) ו-(א)(7) לפקודת מסילות הברזל [נוסח חדש], התשל"ב-1972 (להלן </w:t>
      </w:r>
      <w:r>
        <w:rPr>
          <w:rStyle w:val="default"/>
          <w:rFonts w:cs="FrankRuehl"/>
          <w:rtl/>
        </w:rPr>
        <w:t>–</w:t>
      </w:r>
      <w:r>
        <w:rPr>
          <w:rStyle w:val="default"/>
          <w:rFonts w:cs="FrankRuehl" w:hint="cs"/>
          <w:rtl/>
        </w:rPr>
        <w:t xml:space="preserve"> הפקודה), ובאישור ועדת הכלכלה של הכנסת לפי סעיף 21א(א) לחוק-יסוד: הכנסת, וסעיף 2(ב) לחוק העונשין, התשל"ז-1977, אני מתקין תקנות אלה:</w:t>
      </w:r>
    </w:p>
    <w:p w14:paraId="4EB34208" w14:textId="77777777" w:rsidR="000A51DD" w:rsidRDefault="000A51DD" w:rsidP="005E571E">
      <w:pPr>
        <w:pStyle w:val="P00"/>
        <w:spacing w:before="72"/>
        <w:ind w:left="0" w:right="1134"/>
        <w:rPr>
          <w:rStyle w:val="default"/>
          <w:rFonts w:cs="FrankRuehl" w:hint="cs"/>
          <w:rtl/>
        </w:rPr>
      </w:pPr>
      <w:bookmarkStart w:id="0" w:name="Seif1"/>
      <w:bookmarkEnd w:id="0"/>
      <w:r>
        <w:rPr>
          <w:rFonts w:cs="Miriam"/>
          <w:lang w:val="he-IL"/>
        </w:rPr>
        <w:pict w14:anchorId="690EB293">
          <v:rect id="_x0000_s1026" style="position:absolute;left:0;text-align:left;margin-left:464.35pt;margin-top:7.1pt;width:75.05pt;height:25.95pt;z-index:251655680" o:allowincell="f" filled="f" stroked="f" strokecolor="lime" strokeweight=".25pt">
            <v:textbox style="mso-next-textbox:#_x0000_s1026" inset="0,0,0,0">
              <w:txbxContent>
                <w:p w14:paraId="1E06E44A" w14:textId="77777777" w:rsidR="00467FC5" w:rsidRDefault="00F75090" w:rsidP="00AC68F1">
                  <w:pPr>
                    <w:spacing w:line="160" w:lineRule="exact"/>
                    <w:rPr>
                      <w:rFonts w:cs="Miriam" w:hint="cs"/>
                      <w:noProof/>
                      <w:sz w:val="18"/>
                      <w:szCs w:val="18"/>
                      <w:rtl/>
                    </w:rPr>
                  </w:pPr>
                  <w:r>
                    <w:rPr>
                      <w:rFonts w:cs="Miriam" w:hint="cs"/>
                      <w:sz w:val="18"/>
                      <w:szCs w:val="18"/>
                      <w:rtl/>
                    </w:rPr>
                    <w:t>החלת תקנות התעבורה לעניין רכבת מקומית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5E571E">
        <w:rPr>
          <w:rStyle w:val="default"/>
          <w:rFonts w:cs="FrankRuehl" w:hint="cs"/>
          <w:rtl/>
        </w:rPr>
        <w:t xml:space="preserve">תקנות התעבורה, התשכ"א-1961 (להלן </w:t>
      </w:r>
      <w:r w:rsidR="005E571E">
        <w:rPr>
          <w:rStyle w:val="default"/>
          <w:rFonts w:cs="FrankRuehl"/>
          <w:rtl/>
        </w:rPr>
        <w:t>–</w:t>
      </w:r>
      <w:r w:rsidR="005E571E">
        <w:rPr>
          <w:rStyle w:val="default"/>
          <w:rFonts w:cs="FrankRuehl" w:hint="cs"/>
          <w:rtl/>
        </w:rPr>
        <w:t xml:space="preserve"> תקנות התעבורה), החלות לעניין לרכב יחולו לעניין רכבת מקומית כאילו היתה רכב, ותקנות התעבורה החלות לעניין רישיון נהיגה יחולו על רישיון לנהיגת רכבת מקומית, הכל לפי העניין, בשינויים המחויבים ובשינויים אלה:</w:t>
      </w:r>
    </w:p>
    <w:p w14:paraId="4DF913EF" w14:textId="77777777" w:rsidR="005E571E" w:rsidRDefault="005E571E" w:rsidP="005E571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בכל מקום, למעט בתקנות 555, 556 ו-558, לעניין רישיון לנהיגת רכבת מקומית, במקום "רשות הרישוי", ייקרא "המנהל";</w:t>
      </w:r>
    </w:p>
    <w:p w14:paraId="677E884C" w14:textId="77777777" w:rsidR="005E571E" w:rsidRDefault="005E571E" w:rsidP="005E571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בתקנה 1 </w:t>
      </w:r>
      <w:r>
        <w:rPr>
          <w:rStyle w:val="default"/>
          <w:rFonts w:cs="FrankRuehl"/>
          <w:rtl/>
        </w:rPr>
        <w:t>–</w:t>
      </w:r>
    </w:p>
    <w:p w14:paraId="7C3FA898" w14:textId="77777777" w:rsidR="005E571E" w:rsidRDefault="005E571E" w:rsidP="005E571E">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אחרי ההגדרה "מלגזה" ייקרא:</w:t>
      </w:r>
    </w:p>
    <w:p w14:paraId="3133B905" w14:textId="77777777" w:rsidR="005E571E" w:rsidRDefault="005E571E" w:rsidP="005E571E">
      <w:pPr>
        <w:pStyle w:val="P00"/>
        <w:spacing w:before="72"/>
        <w:ind w:left="1474" w:right="1134"/>
        <w:rPr>
          <w:rStyle w:val="default"/>
          <w:rFonts w:cs="FrankRuehl" w:hint="cs"/>
          <w:rtl/>
        </w:rPr>
      </w:pPr>
      <w:r>
        <w:rPr>
          <w:rStyle w:val="default"/>
          <w:rFonts w:cs="FrankRuehl" w:hint="cs"/>
          <w:rtl/>
        </w:rPr>
        <w:t xml:space="preserve">""המנהל" </w:t>
      </w:r>
      <w:r>
        <w:rPr>
          <w:rStyle w:val="default"/>
          <w:rFonts w:cs="FrankRuehl"/>
          <w:rtl/>
        </w:rPr>
        <w:t>–</w:t>
      </w:r>
      <w:r>
        <w:rPr>
          <w:rStyle w:val="default"/>
          <w:rFonts w:cs="FrankRuehl" w:hint="cs"/>
          <w:rtl/>
        </w:rPr>
        <w:t xml:space="preserve"> המנהל לעניין מסילת ברזל מקומית שמונה לפי סעיף 2א לפקודת מסילות הברזל;";</w:t>
      </w:r>
    </w:p>
    <w:p w14:paraId="284DBA94" w14:textId="77777777" w:rsidR="005E571E" w:rsidRDefault="005E571E" w:rsidP="005E571E">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בהגדרה "מפגש מסילת ברזל", בסופה ייקרא "למעט מפגש עם נתיב רכבת מקומית";</w:t>
      </w:r>
    </w:p>
    <w:p w14:paraId="48FB775D" w14:textId="77777777" w:rsidR="005E571E" w:rsidRDefault="005E571E" w:rsidP="005E571E">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אחרי ההגדרה "נתיב" ייקרא:</w:t>
      </w:r>
    </w:p>
    <w:p w14:paraId="721EFC14" w14:textId="77777777" w:rsidR="005E571E" w:rsidRDefault="005E571E" w:rsidP="005E571E">
      <w:pPr>
        <w:pStyle w:val="P00"/>
        <w:spacing w:before="72"/>
        <w:ind w:left="1474" w:right="1134"/>
        <w:rPr>
          <w:rStyle w:val="default"/>
          <w:rFonts w:cs="FrankRuehl" w:hint="cs"/>
          <w:rtl/>
        </w:rPr>
      </w:pPr>
      <w:r>
        <w:rPr>
          <w:rStyle w:val="default"/>
          <w:rFonts w:cs="FrankRuehl" w:hint="cs"/>
          <w:rtl/>
        </w:rPr>
        <w:t xml:space="preserve">""נתיב רכבת מקומית" </w:t>
      </w:r>
      <w:r>
        <w:rPr>
          <w:rStyle w:val="default"/>
          <w:rFonts w:cs="FrankRuehl"/>
          <w:rtl/>
        </w:rPr>
        <w:t>–</w:t>
      </w:r>
      <w:r>
        <w:rPr>
          <w:rStyle w:val="default"/>
          <w:rFonts w:cs="FrankRuehl" w:hint="cs"/>
          <w:rtl/>
        </w:rPr>
        <w:t xml:space="preserve"> נתיב המיועד לרכבת מקומית, כאמור בתמרור המוצב בכניסה אליו;";</w:t>
      </w:r>
    </w:p>
    <w:p w14:paraId="29B98E8B" w14:textId="77777777" w:rsidR="005E571E" w:rsidRDefault="005E571E" w:rsidP="00363AE0">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r>
      <w:r w:rsidR="00363AE0">
        <w:rPr>
          <w:rStyle w:val="default"/>
          <w:rFonts w:cs="FrankRuehl" w:hint="cs"/>
          <w:rtl/>
        </w:rPr>
        <w:t>אחרי תקנה 18 ייקרא:</w:t>
      </w:r>
    </w:p>
    <w:p w14:paraId="4E9E26F6" w14:textId="77777777" w:rsidR="00363AE0" w:rsidRDefault="00363AE0" w:rsidP="00363AE0">
      <w:pPr>
        <w:pStyle w:val="P00"/>
        <w:spacing w:before="72"/>
        <w:ind w:left="1021" w:right="1134"/>
        <w:rPr>
          <w:rStyle w:val="default"/>
          <w:rFonts w:cs="FrankRuehl" w:hint="cs"/>
          <w:rtl/>
        </w:rPr>
      </w:pPr>
      <w:r>
        <w:rPr>
          <w:rStyle w:val="default"/>
          <w:rFonts w:cs="FrankRuehl" w:hint="cs"/>
          <w:rtl/>
        </w:rPr>
        <w:t>"</w:t>
      </w:r>
      <w:r w:rsidRPr="00363AE0">
        <w:rPr>
          <w:rStyle w:val="default"/>
          <w:rFonts w:cs="Miriam" w:hint="cs"/>
          <w:sz w:val="18"/>
          <w:szCs w:val="18"/>
          <w:rtl/>
        </w:rPr>
        <w:t>היוועצות רשות תימרור במנהל</w:t>
      </w:r>
    </w:p>
    <w:p w14:paraId="24499B9D" w14:textId="77777777" w:rsidR="00363AE0" w:rsidRDefault="00363AE0" w:rsidP="00363AE0">
      <w:pPr>
        <w:pStyle w:val="P00"/>
        <w:spacing w:before="72"/>
        <w:ind w:left="1021" w:right="1134"/>
        <w:rPr>
          <w:rStyle w:val="default"/>
          <w:rFonts w:cs="FrankRuehl" w:hint="cs"/>
          <w:rtl/>
        </w:rPr>
      </w:pPr>
      <w:r>
        <w:rPr>
          <w:rStyle w:val="default"/>
          <w:rFonts w:cs="FrankRuehl" w:hint="cs"/>
          <w:rtl/>
        </w:rPr>
        <w:t>18א.</w:t>
      </w:r>
      <w:r>
        <w:rPr>
          <w:rStyle w:val="default"/>
          <w:rFonts w:cs="FrankRuehl" w:hint="cs"/>
          <w:rtl/>
        </w:rPr>
        <w:tab/>
        <w:t>לא יפעילו רשות תימרור מרכזית או רשות תימרור מקומית את סמכויותיהן, בעניינים הנוגעים לתנועת רכבת מקומית, אלא לאחר התייעצות עם המנהל; אין באמור בתקנה זו כדי לגרוע מחובות ההתייעצות הקבועות בתקנה 18.";</w:t>
      </w:r>
    </w:p>
    <w:p w14:paraId="36E38D42" w14:textId="77777777" w:rsidR="00363AE0" w:rsidRDefault="00363AE0" w:rsidP="00363AE0">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בתקנה 27(ה), במקום הסיפה יקירא "אם מותקן בה אמצעי טכנולוגי המאפשר ראות תקינה של הנעשה מצדי הרכבת המקומית לכל אורכה";</w:t>
      </w:r>
    </w:p>
    <w:p w14:paraId="52AEF1CB" w14:textId="77777777" w:rsidR="00363AE0" w:rsidRDefault="00363AE0" w:rsidP="00363AE0">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בתקנה 28, בתקנת משנה (א) בסופה ייקרא "לעניין זה יראו שימוש בציוד תקשורת המותאם לרכבת מקומית לשם ביצוע תפקידו של הנוהג ברכבת המקומית, כפעולה להבטחת פעולתה התקינה של הרכבת המקומית.";</w:t>
      </w:r>
    </w:p>
    <w:p w14:paraId="1C7EEA44" w14:textId="77777777" w:rsidR="00363AE0" w:rsidRDefault="00363AE0" w:rsidP="00363AE0">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בתקנה 30(א), אחרי "אוטובוס" ייקרא "רכבת מקומית";</w:t>
      </w:r>
    </w:p>
    <w:p w14:paraId="4BEDED4C" w14:textId="77777777" w:rsidR="00363AE0" w:rsidRDefault="00363AE0" w:rsidP="00363AE0">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בתקנה 38, אחרי תקנת משנה (א) ייקרא:</w:t>
      </w:r>
    </w:p>
    <w:p w14:paraId="01B5581A" w14:textId="77777777" w:rsidR="00363AE0" w:rsidRDefault="00363AE0" w:rsidP="00363AE0">
      <w:pPr>
        <w:pStyle w:val="P00"/>
        <w:spacing w:before="72"/>
        <w:ind w:left="1021" w:right="1134"/>
        <w:rPr>
          <w:rStyle w:val="default"/>
          <w:rFonts w:cs="FrankRuehl" w:hint="cs"/>
          <w:rtl/>
        </w:rPr>
      </w:pPr>
      <w:r>
        <w:rPr>
          <w:rStyle w:val="default"/>
          <w:rFonts w:cs="FrankRuehl" w:hint="cs"/>
          <w:rtl/>
        </w:rPr>
        <w:t xml:space="preserve">"(א1) לא ינהג אדם רכב או בעל חיים בנתיב רכבת מקומית, אלא לשם חצייתו במקום שהוסדר לשם כך בהסדר תנועה; הוראות תקנת משנה זו לא יחולו </w:t>
      </w:r>
      <w:r>
        <w:rPr>
          <w:rStyle w:val="default"/>
          <w:rFonts w:cs="FrankRuehl"/>
          <w:rtl/>
        </w:rPr>
        <w:t>–</w:t>
      </w:r>
    </w:p>
    <w:p w14:paraId="2501889B" w14:textId="77777777" w:rsidR="00363AE0" w:rsidRDefault="00363AE0" w:rsidP="00363AE0">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על מעבר של רכב ביטחון בנתיב רכבת מקומית כאשר הדבר דרוש לשם מילוי תפקידו, וחלה לדעתו של הנוהג ברכב הכבדה ניכרת על הנסיעה בנתיב הנסיעה הרגיל של הרכב, ובלבד שנקט תוך כדי המעבר אמצעי זהירות כדי למנוע סיכון או פגיעה בעוברי דרך או ברכוש;</w:t>
      </w:r>
    </w:p>
    <w:p w14:paraId="46E26DC3" w14:textId="77777777" w:rsidR="00363AE0" w:rsidRDefault="00363AE0" w:rsidP="00363AE0">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על רכב שהורשה לפי רישיון הרכב שניתן לו לפי פקודת התעבורה לנסוע על מסילת ברזל מקומית.";</w:t>
      </w:r>
    </w:p>
    <w:p w14:paraId="7799BF4F" w14:textId="77777777" w:rsidR="00363AE0" w:rsidRDefault="00363AE0" w:rsidP="00363AE0">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בתקנה 47(ב), אחרי פסקה (4) ייקרא:</w:t>
      </w:r>
    </w:p>
    <w:p w14:paraId="604D21FF" w14:textId="77777777" w:rsidR="00363AE0" w:rsidRDefault="00363AE0" w:rsidP="00363AE0">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נוהג הרכב נוסע בנתיב הסמוך לנתיב רכבת מקומית";</w:t>
      </w:r>
    </w:p>
    <w:p w14:paraId="0A1E2DD9" w14:textId="77777777" w:rsidR="00363AE0" w:rsidRDefault="00363AE0" w:rsidP="002E50CB">
      <w:pPr>
        <w:pStyle w:val="P00"/>
        <w:spacing w:before="72"/>
        <w:ind w:left="624" w:right="1134"/>
        <w:rPr>
          <w:rStyle w:val="default"/>
          <w:rFonts w:cs="FrankRuehl" w:hint="cs"/>
          <w:rtl/>
        </w:rPr>
      </w:pPr>
      <w:r>
        <w:rPr>
          <w:rStyle w:val="default"/>
          <w:rFonts w:cs="FrankRuehl" w:hint="cs"/>
          <w:rtl/>
        </w:rPr>
        <w:lastRenderedPageBreak/>
        <w:t>(9)</w:t>
      </w:r>
      <w:r>
        <w:rPr>
          <w:rStyle w:val="default"/>
          <w:rFonts w:cs="FrankRuehl" w:hint="cs"/>
          <w:rtl/>
        </w:rPr>
        <w:tab/>
        <w:t>בתקנה 54(א), בסופה ייקרא:</w:t>
      </w:r>
    </w:p>
    <w:p w14:paraId="42D19B20" w14:textId="77777777" w:rsidR="00363AE0" w:rsidRPr="00363AE0" w:rsidRDefault="00363AE0" w:rsidP="00BA05B6">
      <w:pPr>
        <w:pStyle w:val="P00"/>
        <w:pBdr>
          <w:bottom w:val="single" w:sz="4" w:space="1" w:color="auto"/>
        </w:pBdr>
        <w:tabs>
          <w:tab w:val="clear" w:pos="624"/>
          <w:tab w:val="clear" w:pos="1021"/>
          <w:tab w:val="clear" w:pos="1474"/>
          <w:tab w:val="clear" w:pos="1928"/>
          <w:tab w:val="clear" w:pos="2381"/>
          <w:tab w:val="clear" w:pos="2835"/>
          <w:tab w:val="clear" w:pos="6259"/>
          <w:tab w:val="center" w:pos="3969"/>
        </w:tabs>
        <w:spacing w:before="72"/>
        <w:ind w:left="0" w:right="1134"/>
        <w:rPr>
          <w:rStyle w:val="default"/>
          <w:rFonts w:cs="FrankRuehl" w:hint="cs"/>
          <w:sz w:val="22"/>
          <w:szCs w:val="22"/>
          <w:rtl/>
        </w:rPr>
      </w:pPr>
      <w:r w:rsidRPr="00363AE0">
        <w:rPr>
          <w:rStyle w:val="default"/>
          <w:rFonts w:cs="FrankRuehl" w:hint="cs"/>
          <w:sz w:val="22"/>
          <w:szCs w:val="22"/>
          <w:rtl/>
        </w:rPr>
        <w:tab/>
        <w:t>מקום</w:t>
      </w:r>
    </w:p>
    <w:p w14:paraId="7E38E46D" w14:textId="77777777" w:rsidR="00363AE0" w:rsidRPr="00363AE0" w:rsidRDefault="00363AE0" w:rsidP="00BA05B6">
      <w:pPr>
        <w:pStyle w:val="P00"/>
        <w:tabs>
          <w:tab w:val="clear" w:pos="624"/>
          <w:tab w:val="clear" w:pos="1021"/>
          <w:tab w:val="clear" w:pos="1474"/>
          <w:tab w:val="clear" w:pos="1928"/>
          <w:tab w:val="clear" w:pos="2381"/>
          <w:tab w:val="clear" w:pos="2835"/>
          <w:tab w:val="clear" w:pos="6259"/>
          <w:tab w:val="center" w:pos="567"/>
          <w:tab w:val="center" w:pos="1588"/>
          <w:tab w:val="center" w:pos="2552"/>
          <w:tab w:val="center" w:pos="3629"/>
          <w:tab w:val="center" w:pos="4593"/>
          <w:tab w:val="center" w:pos="5557"/>
          <w:tab w:val="center" w:pos="6577"/>
          <w:tab w:val="center" w:pos="7428"/>
        </w:tabs>
        <w:spacing w:before="72"/>
        <w:ind w:left="0" w:right="1134"/>
        <w:rPr>
          <w:rStyle w:val="default"/>
          <w:rFonts w:cs="FrankRuehl" w:hint="cs"/>
          <w:sz w:val="22"/>
          <w:szCs w:val="22"/>
          <w:rtl/>
        </w:rPr>
      </w:pPr>
      <w:r w:rsidRPr="00363AE0">
        <w:rPr>
          <w:rStyle w:val="default"/>
          <w:rFonts w:cs="FrankRuehl" w:hint="cs"/>
          <w:sz w:val="22"/>
          <w:szCs w:val="22"/>
          <w:rtl/>
        </w:rPr>
        <w:tab/>
      </w:r>
      <w:r w:rsidRPr="00363AE0">
        <w:rPr>
          <w:rStyle w:val="default"/>
          <w:rFonts w:cs="FrankRuehl" w:hint="cs"/>
          <w:sz w:val="22"/>
          <w:szCs w:val="22"/>
          <w:rtl/>
        </w:rPr>
        <w:tab/>
      </w:r>
      <w:r w:rsidRPr="00363AE0">
        <w:rPr>
          <w:rStyle w:val="default"/>
          <w:rFonts w:cs="FrankRuehl" w:hint="cs"/>
          <w:sz w:val="22"/>
          <w:szCs w:val="22"/>
          <w:rtl/>
        </w:rPr>
        <w:tab/>
      </w:r>
      <w:r w:rsidRPr="00363AE0">
        <w:rPr>
          <w:rStyle w:val="default"/>
          <w:rFonts w:cs="FrankRuehl" w:hint="cs"/>
          <w:sz w:val="22"/>
          <w:szCs w:val="22"/>
          <w:rtl/>
        </w:rPr>
        <w:tab/>
      </w:r>
      <w:r w:rsidRPr="00363AE0">
        <w:rPr>
          <w:rStyle w:val="default"/>
          <w:rFonts w:cs="FrankRuehl" w:hint="cs"/>
          <w:sz w:val="22"/>
          <w:szCs w:val="22"/>
          <w:rtl/>
        </w:rPr>
        <w:tab/>
        <w:t>דרך שאינה</w:t>
      </w:r>
    </w:p>
    <w:p w14:paraId="67A02693" w14:textId="77777777" w:rsidR="00363AE0" w:rsidRDefault="00363AE0" w:rsidP="00BA05B6">
      <w:pPr>
        <w:pStyle w:val="P00"/>
        <w:tabs>
          <w:tab w:val="clear" w:pos="624"/>
          <w:tab w:val="clear" w:pos="1021"/>
          <w:tab w:val="clear" w:pos="1474"/>
          <w:tab w:val="clear" w:pos="1928"/>
          <w:tab w:val="clear" w:pos="2381"/>
          <w:tab w:val="clear" w:pos="2835"/>
          <w:tab w:val="clear" w:pos="6259"/>
          <w:tab w:val="center" w:pos="567"/>
          <w:tab w:val="center" w:pos="1588"/>
          <w:tab w:val="center" w:pos="2552"/>
          <w:tab w:val="center" w:pos="3629"/>
          <w:tab w:val="center" w:pos="4593"/>
          <w:tab w:val="center" w:pos="5557"/>
          <w:tab w:val="center" w:pos="6577"/>
          <w:tab w:val="center" w:pos="7428"/>
        </w:tabs>
        <w:spacing w:before="0"/>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t>דרך עירונית</w:t>
      </w:r>
      <w:r>
        <w:rPr>
          <w:rStyle w:val="default"/>
          <w:rFonts w:cs="FrankRuehl" w:hint="cs"/>
          <w:sz w:val="22"/>
          <w:szCs w:val="22"/>
          <w:rtl/>
        </w:rPr>
        <w:tab/>
      </w:r>
      <w:r>
        <w:rPr>
          <w:rStyle w:val="default"/>
          <w:rFonts w:cs="FrankRuehl" w:hint="cs"/>
          <w:sz w:val="22"/>
          <w:szCs w:val="22"/>
          <w:rtl/>
        </w:rPr>
        <w:tab/>
        <w:t>עירונית</w:t>
      </w:r>
      <w:r>
        <w:rPr>
          <w:rStyle w:val="default"/>
          <w:rFonts w:cs="FrankRuehl" w:hint="cs"/>
          <w:sz w:val="22"/>
          <w:szCs w:val="22"/>
          <w:rtl/>
        </w:rPr>
        <w:tab/>
        <w:t>דרך שאינה</w:t>
      </w:r>
      <w:r>
        <w:rPr>
          <w:rStyle w:val="default"/>
          <w:rFonts w:cs="FrankRuehl" w:hint="cs"/>
          <w:sz w:val="22"/>
          <w:szCs w:val="22"/>
          <w:rtl/>
        </w:rPr>
        <w:tab/>
      </w:r>
      <w:r>
        <w:rPr>
          <w:rStyle w:val="default"/>
          <w:rFonts w:cs="FrankRuehl" w:hint="cs"/>
          <w:sz w:val="22"/>
          <w:szCs w:val="22"/>
          <w:rtl/>
        </w:rPr>
        <w:tab/>
        <w:t>דרך מהירה</w:t>
      </w:r>
    </w:p>
    <w:p w14:paraId="05F4D4B6" w14:textId="77777777" w:rsidR="00363AE0" w:rsidRDefault="00363AE0" w:rsidP="00BA05B6">
      <w:pPr>
        <w:pStyle w:val="P00"/>
        <w:tabs>
          <w:tab w:val="clear" w:pos="624"/>
          <w:tab w:val="clear" w:pos="1021"/>
          <w:tab w:val="clear" w:pos="1474"/>
          <w:tab w:val="clear" w:pos="1928"/>
          <w:tab w:val="clear" w:pos="2381"/>
          <w:tab w:val="clear" w:pos="2835"/>
          <w:tab w:val="clear" w:pos="6259"/>
          <w:tab w:val="center" w:pos="567"/>
          <w:tab w:val="center" w:pos="1588"/>
          <w:tab w:val="center" w:pos="2552"/>
          <w:tab w:val="center" w:pos="3629"/>
          <w:tab w:val="center" w:pos="4593"/>
          <w:tab w:val="center" w:pos="5557"/>
          <w:tab w:val="center" w:pos="6577"/>
          <w:tab w:val="center" w:pos="7428"/>
        </w:tabs>
        <w:spacing w:before="0"/>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t>שמוצב בה</w:t>
      </w:r>
      <w:r>
        <w:rPr>
          <w:rStyle w:val="default"/>
          <w:rFonts w:cs="FrankRuehl" w:hint="cs"/>
          <w:sz w:val="22"/>
          <w:szCs w:val="22"/>
          <w:rtl/>
        </w:rPr>
        <w:tab/>
        <w:t>דרך</w:t>
      </w:r>
      <w:r>
        <w:rPr>
          <w:rStyle w:val="default"/>
          <w:rFonts w:cs="FrankRuehl" w:hint="cs"/>
          <w:sz w:val="22"/>
          <w:szCs w:val="22"/>
          <w:rtl/>
        </w:rPr>
        <w:tab/>
        <w:t>שמוצב בה</w:t>
      </w:r>
      <w:r>
        <w:rPr>
          <w:rStyle w:val="default"/>
          <w:rFonts w:cs="FrankRuehl" w:hint="cs"/>
          <w:sz w:val="22"/>
          <w:szCs w:val="22"/>
          <w:rtl/>
        </w:rPr>
        <w:tab/>
        <w:t>עירונית</w:t>
      </w:r>
      <w:r>
        <w:rPr>
          <w:rStyle w:val="default"/>
          <w:rFonts w:cs="FrankRuehl" w:hint="cs"/>
          <w:sz w:val="22"/>
          <w:szCs w:val="22"/>
          <w:rtl/>
        </w:rPr>
        <w:tab/>
      </w:r>
      <w:r>
        <w:rPr>
          <w:rStyle w:val="default"/>
          <w:rFonts w:cs="FrankRuehl" w:hint="cs"/>
          <w:sz w:val="22"/>
          <w:szCs w:val="22"/>
          <w:rtl/>
        </w:rPr>
        <w:tab/>
        <w:t>שמוצב</w:t>
      </w:r>
    </w:p>
    <w:p w14:paraId="1C90EE89" w14:textId="77777777" w:rsidR="00363AE0" w:rsidRDefault="00363AE0" w:rsidP="00BA05B6">
      <w:pPr>
        <w:pStyle w:val="P00"/>
        <w:tabs>
          <w:tab w:val="clear" w:pos="624"/>
          <w:tab w:val="clear" w:pos="1021"/>
          <w:tab w:val="clear" w:pos="1474"/>
          <w:tab w:val="clear" w:pos="1928"/>
          <w:tab w:val="clear" w:pos="2381"/>
          <w:tab w:val="clear" w:pos="2835"/>
          <w:tab w:val="clear" w:pos="6259"/>
          <w:tab w:val="center" w:pos="567"/>
          <w:tab w:val="center" w:pos="1588"/>
          <w:tab w:val="center" w:pos="2552"/>
          <w:tab w:val="center" w:pos="3629"/>
          <w:tab w:val="center" w:pos="4593"/>
          <w:tab w:val="center" w:pos="5557"/>
          <w:tab w:val="center" w:pos="6577"/>
          <w:tab w:val="center" w:pos="7428"/>
        </w:tabs>
        <w:spacing w:before="0"/>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t>דרך</w:t>
      </w:r>
      <w:r>
        <w:rPr>
          <w:rStyle w:val="default"/>
          <w:rFonts w:cs="FrankRuehl" w:hint="cs"/>
          <w:sz w:val="22"/>
          <w:szCs w:val="22"/>
          <w:rtl/>
        </w:rPr>
        <w:tab/>
        <w:t>תמרור</w:t>
      </w:r>
      <w:r>
        <w:rPr>
          <w:rStyle w:val="default"/>
          <w:rFonts w:cs="FrankRuehl" w:hint="cs"/>
          <w:sz w:val="22"/>
          <w:szCs w:val="22"/>
          <w:rtl/>
        </w:rPr>
        <w:tab/>
        <w:t>שאינה</w:t>
      </w:r>
      <w:r>
        <w:rPr>
          <w:rStyle w:val="default"/>
          <w:rFonts w:cs="FrankRuehl" w:hint="cs"/>
          <w:sz w:val="22"/>
          <w:szCs w:val="22"/>
          <w:rtl/>
        </w:rPr>
        <w:tab/>
        <w:t>תמרור</w:t>
      </w:r>
      <w:r>
        <w:rPr>
          <w:rStyle w:val="default"/>
          <w:rFonts w:cs="FrankRuehl" w:hint="cs"/>
          <w:sz w:val="22"/>
          <w:szCs w:val="22"/>
          <w:rtl/>
        </w:rPr>
        <w:tab/>
        <w:t>עם שטח</w:t>
      </w:r>
      <w:r>
        <w:rPr>
          <w:rStyle w:val="default"/>
          <w:rFonts w:cs="FrankRuehl" w:hint="cs"/>
          <w:sz w:val="22"/>
          <w:szCs w:val="22"/>
          <w:rtl/>
        </w:rPr>
        <w:tab/>
        <w:t>דרך</w:t>
      </w:r>
      <w:r>
        <w:rPr>
          <w:rStyle w:val="default"/>
          <w:rFonts w:cs="FrankRuehl" w:hint="cs"/>
          <w:sz w:val="22"/>
          <w:szCs w:val="22"/>
          <w:rtl/>
        </w:rPr>
        <w:tab/>
        <w:t>בה תמרור</w:t>
      </w:r>
    </w:p>
    <w:p w14:paraId="7F1BBBE2" w14:textId="77777777" w:rsidR="00363AE0" w:rsidRDefault="00363AE0" w:rsidP="00BA05B6">
      <w:pPr>
        <w:pStyle w:val="P00"/>
        <w:tabs>
          <w:tab w:val="clear" w:pos="624"/>
          <w:tab w:val="clear" w:pos="1021"/>
          <w:tab w:val="clear" w:pos="1474"/>
          <w:tab w:val="clear" w:pos="1928"/>
          <w:tab w:val="clear" w:pos="2381"/>
          <w:tab w:val="clear" w:pos="2835"/>
          <w:tab w:val="clear" w:pos="6259"/>
          <w:tab w:val="center" w:pos="567"/>
          <w:tab w:val="center" w:pos="1588"/>
          <w:tab w:val="center" w:pos="2552"/>
          <w:tab w:val="center" w:pos="3629"/>
          <w:tab w:val="center" w:pos="4593"/>
          <w:tab w:val="center" w:pos="5557"/>
          <w:tab w:val="center" w:pos="6577"/>
          <w:tab w:val="center" w:pos="7428"/>
        </w:tabs>
        <w:spacing w:before="0"/>
        <w:ind w:left="0" w:right="1134"/>
        <w:rPr>
          <w:rStyle w:val="default"/>
          <w:rFonts w:cs="FrankRuehl" w:hint="cs"/>
          <w:sz w:val="22"/>
          <w:szCs w:val="22"/>
          <w:rtl/>
        </w:rPr>
      </w:pPr>
      <w:r>
        <w:rPr>
          <w:rStyle w:val="default"/>
          <w:rFonts w:cs="FrankRuehl" w:hint="cs"/>
          <w:sz w:val="22"/>
          <w:szCs w:val="22"/>
          <w:rtl/>
        </w:rPr>
        <w:tab/>
        <w:t>סוג הרכב</w:t>
      </w:r>
      <w:r>
        <w:rPr>
          <w:rStyle w:val="default"/>
          <w:rFonts w:cs="FrankRuehl" w:hint="cs"/>
          <w:sz w:val="22"/>
          <w:szCs w:val="22"/>
          <w:rtl/>
        </w:rPr>
        <w:tab/>
        <w:t>עירונית</w:t>
      </w:r>
      <w:r>
        <w:rPr>
          <w:rStyle w:val="default"/>
          <w:rFonts w:cs="FrankRuehl" w:hint="cs"/>
          <w:sz w:val="22"/>
          <w:szCs w:val="22"/>
          <w:rtl/>
        </w:rPr>
        <w:tab/>
        <w:t>ב-20</w:t>
      </w:r>
      <w:r>
        <w:rPr>
          <w:rStyle w:val="default"/>
          <w:rFonts w:cs="FrankRuehl" w:hint="cs"/>
          <w:sz w:val="22"/>
          <w:szCs w:val="22"/>
          <w:rtl/>
        </w:rPr>
        <w:tab/>
        <w:t>עירונית</w:t>
      </w:r>
      <w:r>
        <w:rPr>
          <w:rStyle w:val="default"/>
          <w:rFonts w:cs="FrankRuehl" w:hint="cs"/>
          <w:sz w:val="22"/>
          <w:szCs w:val="22"/>
          <w:rtl/>
        </w:rPr>
        <w:tab/>
        <w:t>ב-20</w:t>
      </w:r>
      <w:r>
        <w:rPr>
          <w:rStyle w:val="default"/>
          <w:rFonts w:cs="FrankRuehl" w:hint="cs"/>
          <w:sz w:val="22"/>
          <w:szCs w:val="22"/>
          <w:rtl/>
        </w:rPr>
        <w:tab/>
        <w:t>הפרדה בנוי</w:t>
      </w:r>
      <w:r>
        <w:rPr>
          <w:rStyle w:val="default"/>
          <w:rFonts w:cs="FrankRuehl" w:hint="cs"/>
          <w:sz w:val="22"/>
          <w:szCs w:val="22"/>
          <w:rtl/>
        </w:rPr>
        <w:tab/>
        <w:t>מהירה</w:t>
      </w:r>
      <w:r>
        <w:rPr>
          <w:rStyle w:val="default"/>
          <w:rFonts w:cs="FrankRuehl" w:hint="cs"/>
          <w:sz w:val="22"/>
          <w:szCs w:val="22"/>
          <w:rtl/>
        </w:rPr>
        <w:tab/>
        <w:t>ב-20</w:t>
      </w:r>
    </w:p>
    <w:p w14:paraId="6603BD31" w14:textId="77777777" w:rsidR="00363AE0" w:rsidRPr="00363AE0" w:rsidRDefault="00363AE0" w:rsidP="00BA05B6">
      <w:pPr>
        <w:pStyle w:val="P00"/>
        <w:pBdr>
          <w:top w:val="single" w:sz="4" w:space="1" w:color="auto"/>
          <w:bottom w:val="single" w:sz="4" w:space="1" w:color="auto"/>
        </w:pBdr>
        <w:tabs>
          <w:tab w:val="clear" w:pos="624"/>
          <w:tab w:val="clear" w:pos="1021"/>
          <w:tab w:val="clear" w:pos="1474"/>
          <w:tab w:val="clear" w:pos="1928"/>
          <w:tab w:val="clear" w:pos="2381"/>
          <w:tab w:val="clear" w:pos="2835"/>
          <w:tab w:val="clear" w:pos="6259"/>
          <w:tab w:val="center" w:pos="3969"/>
        </w:tabs>
        <w:spacing w:before="72"/>
        <w:ind w:left="0" w:right="1134"/>
        <w:rPr>
          <w:rStyle w:val="default"/>
          <w:rFonts w:cs="FrankRuehl" w:hint="cs"/>
          <w:sz w:val="22"/>
          <w:szCs w:val="22"/>
          <w:rtl/>
        </w:rPr>
      </w:pPr>
      <w:r>
        <w:rPr>
          <w:rStyle w:val="default"/>
          <w:rFonts w:cs="FrankRuehl" w:hint="cs"/>
          <w:sz w:val="22"/>
          <w:szCs w:val="22"/>
          <w:rtl/>
        </w:rPr>
        <w:tab/>
        <w:t>מהירות מרבית מותרת בקילומטרים לשעה</w:t>
      </w:r>
    </w:p>
    <w:p w14:paraId="387DF6D0" w14:textId="77777777" w:rsidR="00363AE0" w:rsidRDefault="00363AE0" w:rsidP="00BA05B6">
      <w:pPr>
        <w:pStyle w:val="P00"/>
        <w:tabs>
          <w:tab w:val="clear" w:pos="624"/>
          <w:tab w:val="clear" w:pos="1021"/>
          <w:tab w:val="clear" w:pos="1474"/>
          <w:tab w:val="clear" w:pos="1928"/>
          <w:tab w:val="clear" w:pos="2381"/>
          <w:tab w:val="clear" w:pos="2835"/>
          <w:tab w:val="clear" w:pos="6259"/>
          <w:tab w:val="left" w:pos="284"/>
          <w:tab w:val="left" w:pos="1134"/>
          <w:tab w:val="left" w:pos="2126"/>
          <w:tab w:val="left" w:pos="3119"/>
          <w:tab w:val="left" w:pos="4111"/>
          <w:tab w:val="left" w:pos="5103"/>
          <w:tab w:val="left" w:pos="6095"/>
          <w:tab w:val="left" w:pos="7088"/>
        </w:tabs>
        <w:spacing w:before="72"/>
        <w:ind w:left="0" w:right="1134"/>
        <w:rPr>
          <w:rStyle w:val="default"/>
          <w:rFonts w:cs="FrankRuehl" w:hint="cs"/>
          <w:rtl/>
        </w:rPr>
      </w:pPr>
      <w:r>
        <w:rPr>
          <w:rStyle w:val="default"/>
          <w:rFonts w:cs="FrankRuehl" w:hint="cs"/>
          <w:rtl/>
        </w:rPr>
        <w:t>6.</w:t>
      </w:r>
      <w:r>
        <w:rPr>
          <w:rStyle w:val="default"/>
          <w:rFonts w:cs="FrankRuehl" w:hint="cs"/>
          <w:rtl/>
        </w:rPr>
        <w:tab/>
        <w:t>רכבת</w:t>
      </w:r>
      <w:r>
        <w:rPr>
          <w:rStyle w:val="default"/>
          <w:rFonts w:cs="FrankRuehl" w:hint="cs"/>
          <w:rtl/>
        </w:rPr>
        <w:tab/>
        <w:t>50</w:t>
      </w:r>
      <w:r>
        <w:rPr>
          <w:rStyle w:val="default"/>
          <w:rFonts w:cs="FrankRuehl" w:hint="cs"/>
          <w:rtl/>
        </w:rPr>
        <w:tab/>
        <w:t>כמצוין</w:t>
      </w:r>
      <w:r>
        <w:rPr>
          <w:rStyle w:val="default"/>
          <w:rFonts w:cs="FrankRuehl" w:hint="cs"/>
          <w:rtl/>
        </w:rPr>
        <w:tab/>
        <w:t>70</w:t>
      </w:r>
      <w:r>
        <w:rPr>
          <w:rStyle w:val="default"/>
          <w:rFonts w:cs="FrankRuehl" w:hint="cs"/>
          <w:rtl/>
        </w:rPr>
        <w:tab/>
        <w:t>כמצוין</w:t>
      </w:r>
      <w:r>
        <w:rPr>
          <w:rStyle w:val="default"/>
          <w:rFonts w:cs="FrankRuehl" w:hint="cs"/>
          <w:rtl/>
        </w:rPr>
        <w:tab/>
        <w:t>70</w:t>
      </w:r>
      <w:r>
        <w:rPr>
          <w:rStyle w:val="default"/>
          <w:rFonts w:cs="FrankRuehl" w:hint="cs"/>
          <w:rtl/>
        </w:rPr>
        <w:tab/>
        <w:t>סגורה</w:t>
      </w:r>
      <w:r>
        <w:rPr>
          <w:rStyle w:val="default"/>
          <w:rFonts w:cs="FrankRuehl" w:hint="cs"/>
          <w:rtl/>
        </w:rPr>
        <w:tab/>
        <w:t>סגורה</w:t>
      </w:r>
    </w:p>
    <w:p w14:paraId="5372669F" w14:textId="77777777" w:rsidR="00363AE0" w:rsidRDefault="00363AE0" w:rsidP="00BA05B6">
      <w:pPr>
        <w:pStyle w:val="P00"/>
        <w:tabs>
          <w:tab w:val="clear" w:pos="624"/>
          <w:tab w:val="clear" w:pos="1021"/>
          <w:tab w:val="clear" w:pos="1474"/>
          <w:tab w:val="clear" w:pos="1928"/>
          <w:tab w:val="clear" w:pos="2381"/>
          <w:tab w:val="clear" w:pos="2835"/>
          <w:tab w:val="clear" w:pos="6259"/>
          <w:tab w:val="left" w:pos="284"/>
          <w:tab w:val="left" w:pos="1134"/>
          <w:tab w:val="left" w:pos="2126"/>
          <w:tab w:val="left" w:pos="3119"/>
          <w:tab w:val="left" w:pos="4111"/>
          <w:tab w:val="left" w:pos="5103"/>
          <w:tab w:val="left" w:pos="6095"/>
          <w:tab w:val="left" w:pos="7088"/>
        </w:tabs>
        <w:spacing w:before="0"/>
        <w:ind w:left="284" w:right="1134"/>
        <w:rPr>
          <w:rStyle w:val="default"/>
          <w:rFonts w:cs="FrankRuehl" w:hint="cs"/>
          <w:rtl/>
        </w:rPr>
      </w:pPr>
      <w:r>
        <w:rPr>
          <w:rStyle w:val="default"/>
          <w:rFonts w:cs="FrankRuehl" w:hint="cs"/>
          <w:rtl/>
        </w:rPr>
        <w:t>מקומית</w:t>
      </w:r>
      <w:r>
        <w:rPr>
          <w:rStyle w:val="default"/>
          <w:rFonts w:cs="FrankRuehl" w:hint="cs"/>
          <w:rtl/>
        </w:rPr>
        <w:tab/>
      </w:r>
      <w:r>
        <w:rPr>
          <w:rStyle w:val="default"/>
          <w:rFonts w:cs="FrankRuehl" w:hint="cs"/>
          <w:rtl/>
        </w:rPr>
        <w:tab/>
        <w:t>בתמרור</w:t>
      </w:r>
      <w:r>
        <w:rPr>
          <w:rStyle w:val="default"/>
          <w:rFonts w:cs="FrankRuehl" w:hint="cs"/>
          <w:rtl/>
        </w:rPr>
        <w:tab/>
      </w:r>
      <w:r>
        <w:rPr>
          <w:rStyle w:val="default"/>
          <w:rFonts w:cs="FrankRuehl" w:hint="cs"/>
          <w:rtl/>
        </w:rPr>
        <w:tab/>
        <w:t>בתמרור</w:t>
      </w:r>
      <w:r>
        <w:rPr>
          <w:rStyle w:val="default"/>
          <w:rFonts w:cs="FrankRuehl" w:hint="cs"/>
          <w:rtl/>
        </w:rPr>
        <w:tab/>
      </w:r>
      <w:r>
        <w:rPr>
          <w:rStyle w:val="default"/>
          <w:rFonts w:cs="FrankRuehl" w:hint="cs"/>
          <w:rtl/>
        </w:rPr>
        <w:tab/>
        <w:t>בפניה</w:t>
      </w:r>
      <w:r>
        <w:rPr>
          <w:rStyle w:val="default"/>
          <w:rFonts w:cs="FrankRuehl" w:hint="cs"/>
          <w:rtl/>
        </w:rPr>
        <w:tab/>
        <w:t>בפניה</w:t>
      </w:r>
    </w:p>
    <w:p w14:paraId="66D7D287" w14:textId="77777777" w:rsidR="002E50CB" w:rsidRDefault="002E50CB" w:rsidP="00363AE0">
      <w:pPr>
        <w:pStyle w:val="P00"/>
        <w:spacing w:before="72"/>
        <w:ind w:left="0" w:right="1134"/>
        <w:rPr>
          <w:rStyle w:val="default"/>
          <w:rFonts w:cs="FrankRuehl" w:hint="cs"/>
          <w:rtl/>
        </w:rPr>
      </w:pPr>
    </w:p>
    <w:p w14:paraId="00B46D0C" w14:textId="77777777" w:rsidR="00363AE0" w:rsidRDefault="00363AE0" w:rsidP="002E50CB">
      <w:pPr>
        <w:pStyle w:val="P00"/>
        <w:spacing w:before="72"/>
        <w:ind w:left="624" w:right="1134"/>
        <w:rPr>
          <w:rStyle w:val="default"/>
          <w:rFonts w:cs="FrankRuehl" w:hint="cs"/>
          <w:rtl/>
        </w:rPr>
      </w:pPr>
      <w:r>
        <w:rPr>
          <w:rStyle w:val="default"/>
          <w:rFonts w:cs="FrankRuehl" w:hint="cs"/>
          <w:rtl/>
        </w:rPr>
        <w:t>(10)</w:t>
      </w:r>
      <w:r>
        <w:rPr>
          <w:rStyle w:val="default"/>
          <w:rFonts w:cs="FrankRuehl" w:hint="cs"/>
          <w:rtl/>
        </w:rPr>
        <w:tab/>
      </w:r>
      <w:r w:rsidR="00BA05B6">
        <w:rPr>
          <w:rStyle w:val="default"/>
          <w:rFonts w:cs="FrankRuehl" w:hint="cs"/>
          <w:rtl/>
        </w:rPr>
        <w:t>בתקנה 72(א), אחרי פסקה (16) ייקרא:</w:t>
      </w:r>
    </w:p>
    <w:p w14:paraId="24C81D55" w14:textId="77777777" w:rsidR="00BA05B6" w:rsidRDefault="00BA05B6" w:rsidP="002E50CB">
      <w:pPr>
        <w:pStyle w:val="P00"/>
        <w:spacing w:before="72"/>
        <w:ind w:left="1021" w:right="1134"/>
        <w:rPr>
          <w:rStyle w:val="default"/>
          <w:rFonts w:cs="FrankRuehl" w:hint="cs"/>
          <w:rtl/>
        </w:rPr>
      </w:pPr>
      <w:r>
        <w:rPr>
          <w:rStyle w:val="default"/>
          <w:rFonts w:cs="FrankRuehl" w:hint="cs"/>
          <w:rtl/>
        </w:rPr>
        <w:t>"(17)</w:t>
      </w:r>
      <w:r w:rsidR="002E50CB">
        <w:rPr>
          <w:rStyle w:val="default"/>
          <w:rFonts w:cs="FrankRuehl" w:hint="cs"/>
          <w:rtl/>
        </w:rPr>
        <w:t xml:space="preserve"> במרחק הקצר משני מטרים מן הפס הקרוב של מסילת ברזל מקומית; לעניין פסקה זו, "הפס הקרוב" </w:t>
      </w:r>
      <w:r w:rsidR="002E50CB">
        <w:rPr>
          <w:rStyle w:val="default"/>
          <w:rFonts w:cs="FrankRuehl"/>
          <w:rtl/>
        </w:rPr>
        <w:t>–</w:t>
      </w:r>
      <w:r w:rsidR="002E50CB">
        <w:rPr>
          <w:rStyle w:val="default"/>
          <w:rFonts w:cs="FrankRuehl" w:hint="cs"/>
          <w:rtl/>
        </w:rPr>
        <w:t xml:space="preserve"> הפס הקרוב משני פסי פלדה המותקנים בכביש ולהם רוחב קבוע המיועד לתנועת רכבת מקומית;</w:t>
      </w:r>
    </w:p>
    <w:p w14:paraId="2C1A13A8" w14:textId="77777777" w:rsidR="002E50CB" w:rsidRDefault="002E50CB" w:rsidP="002E50CB">
      <w:pPr>
        <w:pStyle w:val="P00"/>
        <w:spacing w:before="72"/>
        <w:ind w:left="1021" w:right="1134"/>
        <w:rPr>
          <w:rStyle w:val="default"/>
          <w:rFonts w:cs="FrankRuehl" w:hint="cs"/>
          <w:rtl/>
        </w:rPr>
      </w:pPr>
      <w:r>
        <w:rPr>
          <w:rStyle w:val="default"/>
          <w:rFonts w:cs="FrankRuehl" w:hint="cs"/>
          <w:rtl/>
        </w:rPr>
        <w:t>(18)</w:t>
      </w:r>
      <w:r>
        <w:rPr>
          <w:rStyle w:val="default"/>
          <w:rFonts w:cs="FrankRuehl" w:hint="cs"/>
          <w:rtl/>
        </w:rPr>
        <w:tab/>
        <w:t xml:space="preserve">בתחום הרציף של תחנת רכבת מקומית או בתחום התחנה המסומן על פני הכביש או על אבני השפה, ובצד האחר של הכביש, המצוי מול תמרור התחנה בתחום של 20 מטרים משני צדי התמרור, אלא אם כן נותרו שמונה מטרים לפחות, מן הפס הקרוב כהגדרתו בפסקה (17) עד קצה המיסעה שממול, לתנועת כלי רכב; לעניין פסקה זו, "מיסעה" </w:t>
      </w:r>
      <w:r>
        <w:rPr>
          <w:rStyle w:val="default"/>
          <w:rFonts w:cs="FrankRuehl"/>
          <w:rtl/>
        </w:rPr>
        <w:t>–</w:t>
      </w:r>
      <w:r>
        <w:rPr>
          <w:rStyle w:val="default"/>
          <w:rFonts w:cs="FrankRuehl" w:hint="cs"/>
          <w:rtl/>
        </w:rPr>
        <w:t xml:space="preserve"> כביש לרבות שול הדרך ככל שקיים.";</w:t>
      </w:r>
    </w:p>
    <w:p w14:paraId="7F70E7D6" w14:textId="77777777" w:rsidR="002E50CB" w:rsidRDefault="002E50CB" w:rsidP="006E662D">
      <w:pPr>
        <w:pStyle w:val="P00"/>
        <w:spacing w:before="72"/>
        <w:ind w:left="624" w:right="1134"/>
        <w:rPr>
          <w:rStyle w:val="default"/>
          <w:rFonts w:cs="FrankRuehl" w:hint="cs"/>
          <w:rtl/>
        </w:rPr>
      </w:pPr>
      <w:r>
        <w:rPr>
          <w:rStyle w:val="default"/>
          <w:rFonts w:cs="FrankRuehl" w:hint="cs"/>
          <w:rtl/>
        </w:rPr>
        <w:t>(11)</w:t>
      </w:r>
      <w:r>
        <w:rPr>
          <w:rStyle w:val="default"/>
          <w:rFonts w:cs="FrankRuehl" w:hint="cs"/>
          <w:rtl/>
        </w:rPr>
        <w:tab/>
      </w:r>
      <w:r w:rsidR="006E662D">
        <w:rPr>
          <w:rStyle w:val="default"/>
          <w:rFonts w:cs="FrankRuehl" w:hint="cs"/>
          <w:rtl/>
        </w:rPr>
        <w:t>בתקנה 76(ב), אחרי "אוטובוס" ייקרא "בתחום תחנת רכבת מקומית, ובמקומות המפורטים בתקנה 72(א)(17) ו-(18)";</w:t>
      </w:r>
    </w:p>
    <w:p w14:paraId="297AF019" w14:textId="77777777" w:rsidR="006E662D" w:rsidRDefault="006E662D" w:rsidP="006E662D">
      <w:pPr>
        <w:pStyle w:val="P00"/>
        <w:spacing w:before="72"/>
        <w:ind w:left="624" w:right="1134"/>
        <w:rPr>
          <w:rStyle w:val="default"/>
          <w:rFonts w:cs="FrankRuehl" w:hint="cs"/>
          <w:rtl/>
        </w:rPr>
      </w:pPr>
      <w:r>
        <w:rPr>
          <w:rStyle w:val="default"/>
          <w:rFonts w:cs="FrankRuehl" w:hint="cs"/>
          <w:rtl/>
        </w:rPr>
        <w:t>(12)</w:t>
      </w:r>
      <w:r>
        <w:rPr>
          <w:rStyle w:val="default"/>
          <w:rFonts w:cs="FrankRuehl" w:hint="cs"/>
          <w:rtl/>
        </w:rPr>
        <w:tab/>
        <w:t>בתקנה 84א, בסופה יבוא:</w:t>
      </w:r>
    </w:p>
    <w:p w14:paraId="6C59A7CD" w14:textId="77777777" w:rsidR="006E662D" w:rsidRPr="006E662D" w:rsidRDefault="006E662D" w:rsidP="006E662D">
      <w:pPr>
        <w:pStyle w:val="P00"/>
        <w:tabs>
          <w:tab w:val="clear" w:pos="624"/>
          <w:tab w:val="clear" w:pos="1021"/>
          <w:tab w:val="clear" w:pos="1474"/>
          <w:tab w:val="clear" w:pos="1928"/>
          <w:tab w:val="clear" w:pos="2381"/>
          <w:tab w:val="clear" w:pos="2835"/>
          <w:tab w:val="clear" w:pos="6259"/>
          <w:tab w:val="center" w:pos="1985"/>
          <w:tab w:val="center" w:pos="5103"/>
        </w:tabs>
        <w:spacing w:before="72"/>
        <w:ind w:left="1021" w:right="1134"/>
        <w:rPr>
          <w:rStyle w:val="default"/>
          <w:rFonts w:cs="FrankRuehl" w:hint="cs"/>
          <w:sz w:val="22"/>
          <w:szCs w:val="22"/>
          <w:rtl/>
        </w:rPr>
      </w:pPr>
      <w:r w:rsidRPr="006E662D">
        <w:rPr>
          <w:rStyle w:val="default"/>
          <w:rFonts w:cs="FrankRuehl" w:hint="cs"/>
          <w:sz w:val="22"/>
          <w:szCs w:val="22"/>
          <w:rtl/>
        </w:rPr>
        <w:tab/>
        <w:t>טור א'</w:t>
      </w:r>
      <w:r w:rsidRPr="006E662D">
        <w:rPr>
          <w:rStyle w:val="default"/>
          <w:rFonts w:cs="FrankRuehl" w:hint="cs"/>
          <w:sz w:val="22"/>
          <w:szCs w:val="22"/>
          <w:rtl/>
        </w:rPr>
        <w:tab/>
        <w:t>טור ב'</w:t>
      </w:r>
    </w:p>
    <w:p w14:paraId="46875091" w14:textId="77777777" w:rsidR="006E662D" w:rsidRPr="006E662D" w:rsidRDefault="006E662D" w:rsidP="006E662D">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5103"/>
        </w:tabs>
        <w:spacing w:before="0"/>
        <w:ind w:left="1021" w:right="1134"/>
        <w:rPr>
          <w:rStyle w:val="default"/>
          <w:rFonts w:cs="FrankRuehl" w:hint="cs"/>
          <w:sz w:val="22"/>
          <w:szCs w:val="22"/>
          <w:rtl/>
        </w:rPr>
      </w:pPr>
      <w:r w:rsidRPr="006E662D">
        <w:rPr>
          <w:rStyle w:val="default"/>
          <w:rFonts w:cs="FrankRuehl" w:hint="cs"/>
          <w:sz w:val="22"/>
          <w:szCs w:val="22"/>
          <w:rtl/>
        </w:rPr>
        <w:tab/>
        <w:t>סוג הרכב</w:t>
      </w:r>
      <w:r w:rsidRPr="006E662D">
        <w:rPr>
          <w:rStyle w:val="default"/>
          <w:rFonts w:cs="FrankRuehl" w:hint="cs"/>
          <w:sz w:val="22"/>
          <w:szCs w:val="22"/>
          <w:rtl/>
        </w:rPr>
        <w:tab/>
        <w:t>התנאים</w:t>
      </w:r>
    </w:p>
    <w:p w14:paraId="502AB67F" w14:textId="77777777" w:rsidR="006E662D" w:rsidRDefault="006E662D" w:rsidP="006E662D">
      <w:pPr>
        <w:pStyle w:val="P00"/>
        <w:tabs>
          <w:tab w:val="clear" w:pos="624"/>
          <w:tab w:val="clear" w:pos="1021"/>
          <w:tab w:val="clear" w:pos="1928"/>
          <w:tab w:val="clear" w:pos="2381"/>
          <w:tab w:val="clear" w:pos="6259"/>
        </w:tabs>
        <w:spacing w:before="72"/>
        <w:ind w:right="1134" w:hanging="1814"/>
        <w:rPr>
          <w:rStyle w:val="default"/>
          <w:rFonts w:cs="FrankRuehl" w:hint="cs"/>
          <w:rtl/>
        </w:rPr>
      </w:pPr>
      <w:r>
        <w:rPr>
          <w:rStyle w:val="default"/>
          <w:rFonts w:cs="FrankRuehl" w:hint="cs"/>
          <w:rtl/>
        </w:rPr>
        <w:t>"(5)</w:t>
      </w:r>
      <w:r>
        <w:rPr>
          <w:rStyle w:val="default"/>
          <w:rFonts w:cs="FrankRuehl" w:hint="cs"/>
          <w:rtl/>
        </w:rPr>
        <w:tab/>
        <w:t>רכבת מקומית</w:t>
      </w:r>
      <w:r>
        <w:rPr>
          <w:rStyle w:val="default"/>
          <w:rFonts w:cs="FrankRuehl" w:hint="cs"/>
          <w:rtl/>
        </w:rPr>
        <w:tab/>
        <w:t>כאמור בהוראות לפי סימנים ה' ו-ו' בפרק ד'1 בפקודת מסילות הברזל וכאמור בהיתר הפעלה שניתן לפי ההוראות האמורות.";</w:t>
      </w:r>
    </w:p>
    <w:p w14:paraId="11A80E97" w14:textId="77777777" w:rsidR="006E662D" w:rsidRDefault="006E662D" w:rsidP="006E662D">
      <w:pPr>
        <w:pStyle w:val="P00"/>
        <w:spacing w:before="72"/>
        <w:ind w:left="624" w:right="1134"/>
        <w:rPr>
          <w:rStyle w:val="default"/>
          <w:rFonts w:cs="FrankRuehl" w:hint="cs"/>
          <w:rtl/>
        </w:rPr>
      </w:pPr>
      <w:r>
        <w:rPr>
          <w:rStyle w:val="default"/>
          <w:rFonts w:cs="FrankRuehl" w:hint="cs"/>
          <w:rtl/>
        </w:rPr>
        <w:t>(13)</w:t>
      </w:r>
      <w:r>
        <w:rPr>
          <w:rStyle w:val="default"/>
          <w:rFonts w:cs="FrankRuehl" w:hint="cs"/>
          <w:rtl/>
        </w:rPr>
        <w:tab/>
        <w:t>בתקנה 97, אחרי תקנת משנה (ה) ייקרא:</w:t>
      </w:r>
    </w:p>
    <w:p w14:paraId="77447245" w14:textId="77777777" w:rsidR="006E662D" w:rsidRDefault="006E662D" w:rsidP="006E662D">
      <w:pPr>
        <w:pStyle w:val="P00"/>
        <w:spacing w:before="72"/>
        <w:ind w:left="1021" w:right="1134"/>
        <w:rPr>
          <w:rStyle w:val="default"/>
          <w:rFonts w:cs="FrankRuehl" w:hint="cs"/>
          <w:rtl/>
        </w:rPr>
      </w:pPr>
      <w:r>
        <w:rPr>
          <w:rStyle w:val="default"/>
          <w:rFonts w:cs="FrankRuehl" w:hint="cs"/>
          <w:rtl/>
        </w:rPr>
        <w:t>"(ו)</w:t>
      </w:r>
      <w:r>
        <w:rPr>
          <w:rStyle w:val="default"/>
          <w:rFonts w:cs="FrankRuehl" w:hint="cs"/>
          <w:rtl/>
        </w:rPr>
        <w:tab/>
        <w:t xml:space="preserve">לא ינהג אדם רכבת מקומית אלא אם כן הוארו בה פנסי החזית, הפנסים האחוריים ופנסי הצד; בתקנת משנה זו, "פנסי חזית", "פנסים אחוריים" ו"פנסי צד" </w:t>
      </w:r>
      <w:r>
        <w:rPr>
          <w:rStyle w:val="default"/>
          <w:rFonts w:cs="FrankRuehl"/>
          <w:rtl/>
        </w:rPr>
        <w:t>–</w:t>
      </w:r>
      <w:r>
        <w:rPr>
          <w:rStyle w:val="default"/>
          <w:rFonts w:cs="FrankRuehl" w:hint="cs"/>
          <w:rtl/>
        </w:rPr>
        <w:t xml:space="preserve"> כפי שהורה המנהל.";</w:t>
      </w:r>
    </w:p>
    <w:p w14:paraId="17E0C2D8" w14:textId="77777777" w:rsidR="006E662D" w:rsidRDefault="006E662D" w:rsidP="006E662D">
      <w:pPr>
        <w:pStyle w:val="P00"/>
        <w:spacing w:before="72"/>
        <w:ind w:left="624" w:right="1134"/>
        <w:rPr>
          <w:rStyle w:val="default"/>
          <w:rFonts w:cs="FrankRuehl" w:hint="cs"/>
          <w:rtl/>
        </w:rPr>
      </w:pPr>
      <w:r>
        <w:rPr>
          <w:rStyle w:val="default"/>
          <w:rFonts w:cs="FrankRuehl" w:hint="cs"/>
          <w:rtl/>
        </w:rPr>
        <w:t>(14)</w:t>
      </w:r>
      <w:r>
        <w:rPr>
          <w:rStyle w:val="default"/>
          <w:rFonts w:cs="FrankRuehl" w:hint="cs"/>
          <w:rtl/>
        </w:rPr>
        <w:tab/>
        <w:t>בתקנה 109, אחרי תקנת משנה (ב) ייקרא:</w:t>
      </w:r>
    </w:p>
    <w:p w14:paraId="249FA306" w14:textId="77777777" w:rsidR="006E662D" w:rsidRDefault="006E662D" w:rsidP="006E662D">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לא ילך אדם בנתיב רכבת מקומית ולא יחצה אותו, אלא במקום שהותר לכך וסומן בתמרור.";</w:t>
      </w:r>
    </w:p>
    <w:p w14:paraId="1B3DECC2" w14:textId="77777777" w:rsidR="006E662D" w:rsidRDefault="006E662D" w:rsidP="006E662D">
      <w:pPr>
        <w:pStyle w:val="P00"/>
        <w:spacing w:before="72"/>
        <w:ind w:left="624" w:right="1134"/>
        <w:rPr>
          <w:rStyle w:val="default"/>
          <w:rFonts w:cs="FrankRuehl" w:hint="cs"/>
          <w:rtl/>
        </w:rPr>
      </w:pPr>
      <w:r>
        <w:rPr>
          <w:rStyle w:val="default"/>
          <w:rFonts w:cs="FrankRuehl" w:hint="cs"/>
          <w:rtl/>
        </w:rPr>
        <w:t>(15)</w:t>
      </w:r>
      <w:r>
        <w:rPr>
          <w:rStyle w:val="default"/>
          <w:rFonts w:cs="FrankRuehl" w:hint="cs"/>
          <w:rtl/>
        </w:rPr>
        <w:tab/>
        <w:t>אחרי תקנה 142 ייקרא:</w:t>
      </w:r>
    </w:p>
    <w:p w14:paraId="31B07E35" w14:textId="77777777" w:rsidR="006E662D" w:rsidRDefault="006E662D" w:rsidP="006E662D">
      <w:pPr>
        <w:pStyle w:val="P00"/>
        <w:spacing w:before="72"/>
        <w:ind w:left="1021" w:right="1134"/>
        <w:rPr>
          <w:rStyle w:val="default"/>
          <w:rFonts w:cs="FrankRuehl" w:hint="cs"/>
          <w:rtl/>
        </w:rPr>
      </w:pPr>
      <w:r>
        <w:rPr>
          <w:rStyle w:val="default"/>
          <w:rFonts w:cs="FrankRuehl" w:hint="cs"/>
          <w:rtl/>
        </w:rPr>
        <w:t>"</w:t>
      </w:r>
      <w:r w:rsidRPr="006E662D">
        <w:rPr>
          <w:rStyle w:val="default"/>
          <w:rFonts w:cs="Miriam" w:hint="cs"/>
          <w:sz w:val="18"/>
          <w:szCs w:val="18"/>
          <w:rtl/>
        </w:rPr>
        <w:t>הולכת בעלי חיים</w:t>
      </w:r>
    </w:p>
    <w:p w14:paraId="5AE685C7" w14:textId="77777777" w:rsidR="006E662D" w:rsidRDefault="006E662D" w:rsidP="006E662D">
      <w:pPr>
        <w:pStyle w:val="P00"/>
        <w:spacing w:before="72"/>
        <w:ind w:left="1021" w:right="1134"/>
        <w:rPr>
          <w:rStyle w:val="default"/>
          <w:rFonts w:cs="FrankRuehl" w:hint="cs"/>
          <w:rtl/>
        </w:rPr>
      </w:pPr>
      <w:r>
        <w:rPr>
          <w:rStyle w:val="default"/>
          <w:rFonts w:cs="FrankRuehl" w:hint="cs"/>
          <w:rtl/>
        </w:rPr>
        <w:t>142א. לא יוליך אדם בעל חיים בנתיב רכבת מקומית ולא יחצה אותו כשהוא מוליך בעל חיים, אלא במקום שהותר לכך וסומן בתמרור כאמור בתקנה 109(ג).";</w:t>
      </w:r>
    </w:p>
    <w:p w14:paraId="58A70AEB" w14:textId="77777777" w:rsidR="006E662D" w:rsidRDefault="006E662D" w:rsidP="006E662D">
      <w:pPr>
        <w:pStyle w:val="P00"/>
        <w:spacing w:before="72"/>
        <w:ind w:left="624" w:right="1134"/>
        <w:rPr>
          <w:rStyle w:val="default"/>
          <w:rFonts w:cs="FrankRuehl" w:hint="cs"/>
          <w:rtl/>
        </w:rPr>
      </w:pPr>
      <w:r>
        <w:rPr>
          <w:rStyle w:val="default"/>
          <w:rFonts w:cs="FrankRuehl" w:hint="cs"/>
          <w:rtl/>
        </w:rPr>
        <w:t>(16)</w:t>
      </w:r>
      <w:r>
        <w:rPr>
          <w:rStyle w:val="default"/>
          <w:rFonts w:cs="FrankRuehl" w:hint="cs"/>
          <w:rtl/>
        </w:rPr>
        <w:tab/>
        <w:t>בתקנה 144(א)(3), בסופה ייקרא "נוסף על פרטים אלה ימסור הנוהג ברכבת המקומית לנזכרים בפסקה זו גם את מספרי הקרונות של הרכבת המקומית ואת שם בעל היתר ההפעלה והמפעיל מטעמו של בעל ההיתר, שמטעמם הוא נוהג ברכבת המקומית.";</w:t>
      </w:r>
    </w:p>
    <w:p w14:paraId="1B5ABB3B" w14:textId="77777777" w:rsidR="006E662D" w:rsidRDefault="006E662D" w:rsidP="006E662D">
      <w:pPr>
        <w:pStyle w:val="P00"/>
        <w:spacing w:before="72"/>
        <w:ind w:left="624" w:right="1134"/>
        <w:rPr>
          <w:rStyle w:val="default"/>
          <w:rFonts w:cs="FrankRuehl" w:hint="cs"/>
          <w:rtl/>
        </w:rPr>
      </w:pPr>
      <w:r>
        <w:rPr>
          <w:rStyle w:val="default"/>
          <w:rFonts w:cs="FrankRuehl" w:hint="cs"/>
          <w:rtl/>
        </w:rPr>
        <w:t>(17)</w:t>
      </w:r>
      <w:r>
        <w:rPr>
          <w:rStyle w:val="default"/>
          <w:rFonts w:cs="FrankRuehl" w:hint="cs"/>
          <w:rtl/>
        </w:rPr>
        <w:tab/>
        <w:t>בתקנה 145(א), בסופה ייקרא "נוסף על פרטים אלה, ימסור הנוהג ברכבת המקומית לנזכרים בתקנת משנה זו גם את מספרי הקרונות של הרכבת המקומית ואת שם בעל היתר ההפעלה והמפעיל מטעמו של בעל ההיתר, שמטעמם הוא נוהג ברכבת המקומית.";</w:t>
      </w:r>
    </w:p>
    <w:p w14:paraId="02CD8275" w14:textId="77777777" w:rsidR="006E662D" w:rsidRDefault="006E662D" w:rsidP="006E662D">
      <w:pPr>
        <w:pStyle w:val="P00"/>
        <w:spacing w:before="72"/>
        <w:ind w:left="624" w:right="1134"/>
        <w:rPr>
          <w:rStyle w:val="default"/>
          <w:rFonts w:cs="FrankRuehl" w:hint="cs"/>
          <w:rtl/>
        </w:rPr>
      </w:pPr>
      <w:r>
        <w:rPr>
          <w:rStyle w:val="default"/>
          <w:rFonts w:cs="FrankRuehl" w:hint="cs"/>
          <w:rtl/>
        </w:rPr>
        <w:t>(18)</w:t>
      </w:r>
      <w:r>
        <w:rPr>
          <w:rStyle w:val="default"/>
          <w:rFonts w:cs="FrankRuehl" w:hint="cs"/>
          <w:rtl/>
        </w:rPr>
        <w:tab/>
        <w:t>תבקנה 555, בתקנת משנה (א), אחרי "לפקודה" ייקרא "כפי שהוחל לפי סעיף 46ג(א) לפקודת מסילות הברזל", ובתקנת משנה (ג), אחרי "לפקודה" ייקרא "כפי שהוחלו לפי סעיף 46ג(א) לפקודת מסילות הברזל.";</w:t>
      </w:r>
    </w:p>
    <w:p w14:paraId="21126293" w14:textId="77777777" w:rsidR="006E662D" w:rsidRDefault="006E662D" w:rsidP="006E662D">
      <w:pPr>
        <w:pStyle w:val="P00"/>
        <w:spacing w:before="72"/>
        <w:ind w:left="624" w:right="1134"/>
        <w:rPr>
          <w:rStyle w:val="default"/>
          <w:rFonts w:cs="FrankRuehl" w:hint="cs"/>
          <w:rtl/>
        </w:rPr>
      </w:pPr>
      <w:r>
        <w:rPr>
          <w:rStyle w:val="default"/>
          <w:rFonts w:cs="FrankRuehl" w:hint="cs"/>
          <w:rtl/>
        </w:rPr>
        <w:t>(19)</w:t>
      </w:r>
      <w:r>
        <w:rPr>
          <w:rStyle w:val="default"/>
          <w:rFonts w:cs="FrankRuehl" w:hint="cs"/>
          <w:rtl/>
        </w:rPr>
        <w:tab/>
        <w:t xml:space="preserve">בתקנה 557, בתקנת משנה (א), המילים "או לפי החלטה של רשות הרישוי" </w:t>
      </w:r>
      <w:r>
        <w:rPr>
          <w:rStyle w:val="default"/>
          <w:rFonts w:cs="FrankRuehl"/>
          <w:rtl/>
        </w:rPr>
        <w:t>–</w:t>
      </w:r>
      <w:r>
        <w:rPr>
          <w:rStyle w:val="default"/>
          <w:rFonts w:cs="FrankRuehl" w:hint="cs"/>
          <w:rtl/>
        </w:rPr>
        <w:t xml:space="preserve"> לא ייקרא, בתקנת משנה (ב), המילים "או לרשות הרישוי" </w:t>
      </w:r>
      <w:r>
        <w:rPr>
          <w:rStyle w:val="default"/>
          <w:rFonts w:cs="FrankRuehl"/>
          <w:rtl/>
        </w:rPr>
        <w:t>–</w:t>
      </w:r>
      <w:r>
        <w:rPr>
          <w:rStyle w:val="default"/>
          <w:rFonts w:cs="FrankRuehl" w:hint="cs"/>
          <w:rtl/>
        </w:rPr>
        <w:t xml:space="preserve"> לא ייקרא, ובתקנת משנה (ג), במקום "לקצין משטרה או לרשות הרישוי שהחליטה על הפסילה" ייקרא "או לקצין משטרה".</w:t>
      </w:r>
    </w:p>
    <w:p w14:paraId="595C715A" w14:textId="77777777" w:rsidR="00A70937" w:rsidRDefault="00A70937" w:rsidP="006E662D">
      <w:pPr>
        <w:pStyle w:val="P00"/>
        <w:spacing w:before="72"/>
        <w:ind w:left="0" w:right="1134"/>
        <w:rPr>
          <w:rStyle w:val="default"/>
          <w:rFonts w:cs="FrankRuehl" w:hint="cs"/>
          <w:rtl/>
        </w:rPr>
      </w:pPr>
      <w:bookmarkStart w:id="1" w:name="Seif2"/>
      <w:bookmarkEnd w:id="1"/>
      <w:r>
        <w:rPr>
          <w:rFonts w:cs="Miriam"/>
          <w:lang w:val="he-IL"/>
        </w:rPr>
        <w:pict w14:anchorId="73E5A610">
          <v:rect id="_x0000_s1383" style="position:absolute;left:0;text-align:left;margin-left:464.35pt;margin-top:7.1pt;width:75.05pt;height:30.95pt;z-index:251656704" o:allowincell="f" filled="f" stroked="f" strokecolor="lime" strokeweight=".25pt">
            <v:textbox style="mso-next-textbox:#_x0000_s1383" inset="0,0,0,0">
              <w:txbxContent>
                <w:p w14:paraId="2DCB3216" w14:textId="77777777" w:rsidR="00467FC5" w:rsidRDefault="006E662D" w:rsidP="00A70937">
                  <w:pPr>
                    <w:spacing w:line="160" w:lineRule="exact"/>
                    <w:rPr>
                      <w:rFonts w:cs="Miriam" w:hint="cs"/>
                      <w:noProof/>
                      <w:sz w:val="18"/>
                      <w:szCs w:val="18"/>
                      <w:rtl/>
                    </w:rPr>
                  </w:pPr>
                  <w:r>
                    <w:rPr>
                      <w:rFonts w:cs="Miriam" w:hint="cs"/>
                      <w:sz w:val="18"/>
                      <w:szCs w:val="18"/>
                      <w:rtl/>
                    </w:rPr>
                    <w:t>העברת מידע בנוגע לפסילת רישיון לנהיגת רכבת מקומית</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6E662D">
        <w:rPr>
          <w:rStyle w:val="default"/>
          <w:rFonts w:cs="FrankRuehl" w:hint="cs"/>
          <w:rtl/>
        </w:rPr>
        <w:t xml:space="preserve">רשות הרישוי כהגדרתה בפקודת התעבורה תעביר למנהל, לשם הפעלת סמכויותיו, הודעות שקיבלה מקצין משטרה וממזכיר בית המשפט לפי תקנות 555 ו-556 לתקנות התעבורה, בהתאמה; העברת הודעות לפי תקנה זו יכול שתיעשה בדרך של מידע הניתן באמצעי אחסון מגנטי; בתקנה זו, "המנהל" </w:t>
      </w:r>
      <w:r w:rsidR="006E662D">
        <w:rPr>
          <w:rStyle w:val="default"/>
          <w:rFonts w:cs="FrankRuehl"/>
          <w:rtl/>
        </w:rPr>
        <w:t>–</w:t>
      </w:r>
      <w:r w:rsidR="006E662D">
        <w:rPr>
          <w:rStyle w:val="default"/>
          <w:rFonts w:cs="FrankRuehl" w:hint="cs"/>
          <w:rtl/>
        </w:rPr>
        <w:t xml:space="preserve"> המנהל לעניין מסילת ברזל מקומית.</w:t>
      </w:r>
    </w:p>
    <w:p w14:paraId="4A757345" w14:textId="77777777" w:rsidR="00A70937" w:rsidRDefault="00A70937" w:rsidP="00FE6D21">
      <w:pPr>
        <w:pStyle w:val="P00"/>
        <w:spacing w:before="72"/>
        <w:ind w:left="0" w:right="1134"/>
        <w:rPr>
          <w:rStyle w:val="default"/>
          <w:rFonts w:cs="FrankRuehl" w:hint="cs"/>
          <w:rtl/>
        </w:rPr>
      </w:pPr>
      <w:bookmarkStart w:id="2" w:name="Seif3"/>
      <w:bookmarkEnd w:id="2"/>
      <w:r>
        <w:rPr>
          <w:rFonts w:cs="Miriam"/>
          <w:lang w:val="he-IL"/>
        </w:rPr>
        <w:pict w14:anchorId="4C20ACE5">
          <v:rect id="_x0000_s1384" style="position:absolute;left:0;text-align:left;margin-left:464.35pt;margin-top:7.1pt;width:75.05pt;height:12.45pt;z-index:251657728" o:allowincell="f" filled="f" stroked="f" strokecolor="lime" strokeweight=".25pt">
            <v:textbox style="mso-next-textbox:#_x0000_s1384" inset="0,0,0,0">
              <w:txbxContent>
                <w:p w14:paraId="1AADA88A" w14:textId="77777777" w:rsidR="00467FC5" w:rsidRDefault="00FE6D21" w:rsidP="00A70937">
                  <w:pPr>
                    <w:spacing w:line="160" w:lineRule="exact"/>
                    <w:rPr>
                      <w:rFonts w:cs="Miriam" w:hint="cs"/>
                      <w:noProof/>
                      <w:sz w:val="18"/>
                      <w:szCs w:val="18"/>
                      <w:rtl/>
                    </w:rPr>
                  </w:pPr>
                  <w:r>
                    <w:rPr>
                      <w:rFonts w:cs="Miriam" w:hint="cs"/>
                      <w:sz w:val="18"/>
                      <w:szCs w:val="18"/>
                      <w:rtl/>
                    </w:rPr>
                    <w:t>סייג לתחולה</w:t>
                  </w:r>
                </w:p>
              </w:txbxContent>
            </v:textbox>
            <w10:anchorlock/>
          </v:rect>
        </w:pict>
      </w:r>
      <w:r w:rsidR="00965C9E">
        <w:rPr>
          <w:rStyle w:val="big-number"/>
          <w:rFonts w:cs="Miriam" w:hint="cs"/>
          <w:rtl/>
        </w:rPr>
        <w:t>3</w:t>
      </w:r>
      <w:r>
        <w:rPr>
          <w:rStyle w:val="big-number"/>
          <w:rFonts w:cs="FrankRuehl"/>
          <w:sz w:val="26"/>
          <w:szCs w:val="26"/>
          <w:rtl/>
        </w:rPr>
        <w:t>.</w:t>
      </w:r>
      <w:r>
        <w:rPr>
          <w:rStyle w:val="big-number"/>
          <w:rFonts w:cs="FrankRuehl"/>
          <w:sz w:val="26"/>
          <w:szCs w:val="26"/>
          <w:rtl/>
        </w:rPr>
        <w:tab/>
      </w:r>
      <w:r w:rsidR="00FE6D21">
        <w:rPr>
          <w:rStyle w:val="default"/>
          <w:rFonts w:cs="FrankRuehl" w:hint="cs"/>
          <w:rtl/>
        </w:rPr>
        <w:t>תקנות 27(ב), 34(ב), 58, 59, 60, 70, 90, 101, 153(ב), 553, 554, פרק שני בחלק א', חלקים ג', ד', ה', ו', ז', ט', ט'1, י, י"א וי"ב וכן התוספות, לא יחולו לעניין רכבת מקומית, אלא אם כן נאמר במפורש אחרת בפקודה או לפיה</w:t>
      </w:r>
      <w:r w:rsidR="00CB00A7">
        <w:rPr>
          <w:rStyle w:val="default"/>
          <w:rFonts w:cs="FrankRuehl" w:hint="cs"/>
          <w:rtl/>
        </w:rPr>
        <w:t>.</w:t>
      </w:r>
    </w:p>
    <w:p w14:paraId="16D3F549" w14:textId="77777777" w:rsidR="00A70937" w:rsidRDefault="00A70937" w:rsidP="00FE6D21">
      <w:pPr>
        <w:pStyle w:val="P00"/>
        <w:spacing w:before="72"/>
        <w:ind w:left="0" w:right="1134"/>
        <w:rPr>
          <w:rStyle w:val="default"/>
          <w:rFonts w:cs="FrankRuehl" w:hint="cs"/>
          <w:rtl/>
        </w:rPr>
      </w:pPr>
      <w:bookmarkStart w:id="3" w:name="Seif4"/>
      <w:bookmarkEnd w:id="3"/>
      <w:r>
        <w:rPr>
          <w:rFonts w:cs="Miriam"/>
          <w:lang w:val="he-IL"/>
        </w:rPr>
        <w:pict w14:anchorId="1C95BB6A">
          <v:rect id="_x0000_s1385" style="position:absolute;left:0;text-align:left;margin-left:464.35pt;margin-top:7.1pt;width:75.05pt;height:10.45pt;z-index:251658752" o:allowincell="f" filled="f" stroked="f" strokecolor="lime" strokeweight=".25pt">
            <v:textbox style="mso-next-textbox:#_x0000_s1385" inset="0,0,0,0">
              <w:txbxContent>
                <w:p w14:paraId="671A08FA" w14:textId="77777777" w:rsidR="00467FC5" w:rsidRDefault="00FE6D21" w:rsidP="00A70937">
                  <w:pPr>
                    <w:spacing w:line="160" w:lineRule="exact"/>
                    <w:rPr>
                      <w:rFonts w:cs="Miriam" w:hint="cs"/>
                      <w:noProof/>
                      <w:sz w:val="18"/>
                      <w:szCs w:val="18"/>
                      <w:rtl/>
                    </w:rPr>
                  </w:pPr>
                  <w:r>
                    <w:rPr>
                      <w:rFonts w:cs="Miriam" w:hint="cs"/>
                      <w:sz w:val="18"/>
                      <w:szCs w:val="18"/>
                      <w:rtl/>
                    </w:rPr>
                    <w:t>עונשין</w:t>
                  </w:r>
                </w:p>
              </w:txbxContent>
            </v:textbox>
            <w10:anchorlock/>
          </v:rect>
        </w:pict>
      </w:r>
      <w:r w:rsidR="00AC688B">
        <w:rPr>
          <w:rStyle w:val="big-number"/>
          <w:rFonts w:cs="Miriam" w:hint="cs"/>
          <w:rtl/>
        </w:rPr>
        <w:t>4</w:t>
      </w:r>
      <w:r>
        <w:rPr>
          <w:rStyle w:val="big-number"/>
          <w:rFonts w:cs="FrankRuehl"/>
          <w:sz w:val="26"/>
          <w:szCs w:val="26"/>
          <w:rtl/>
        </w:rPr>
        <w:t>.</w:t>
      </w:r>
      <w:r>
        <w:rPr>
          <w:rStyle w:val="big-number"/>
          <w:rFonts w:cs="FrankRuehl"/>
          <w:sz w:val="26"/>
          <w:szCs w:val="26"/>
          <w:rtl/>
        </w:rPr>
        <w:tab/>
      </w:r>
      <w:r w:rsidR="00FE6D21">
        <w:rPr>
          <w:rStyle w:val="default"/>
          <w:rFonts w:cs="FrankRuehl" w:hint="cs"/>
          <w:rtl/>
        </w:rPr>
        <w:t>העובר על תקנות אלה דינו חצי שנת מאסר או קנס כאמור בסעיף 61(א)(1) לחוק העונשין, התשל"ז-1977.</w:t>
      </w:r>
    </w:p>
    <w:p w14:paraId="5C75B57A" w14:textId="77777777" w:rsidR="00A70937" w:rsidRDefault="00A70937" w:rsidP="00FE6D21">
      <w:pPr>
        <w:pStyle w:val="P00"/>
        <w:spacing w:before="72"/>
        <w:ind w:left="0" w:right="1134"/>
        <w:rPr>
          <w:rStyle w:val="default"/>
          <w:rFonts w:cs="FrankRuehl" w:hint="cs"/>
          <w:rtl/>
        </w:rPr>
      </w:pPr>
      <w:bookmarkStart w:id="4" w:name="Seif5"/>
      <w:bookmarkEnd w:id="4"/>
      <w:r>
        <w:rPr>
          <w:rFonts w:cs="Miriam"/>
          <w:lang w:val="he-IL"/>
        </w:rPr>
        <w:pict w14:anchorId="37438C67">
          <v:rect id="_x0000_s1386" style="position:absolute;left:0;text-align:left;margin-left:464.35pt;margin-top:7.1pt;width:75.05pt;height:10.2pt;z-index:251659776" o:allowincell="f" filled="f" stroked="f" strokecolor="lime" strokeweight=".25pt">
            <v:textbox style="mso-next-textbox:#_x0000_s1386" inset="0,0,0,0">
              <w:txbxContent>
                <w:p w14:paraId="06297995" w14:textId="77777777" w:rsidR="00467FC5" w:rsidRDefault="00FE6D21" w:rsidP="00A70937">
                  <w:pPr>
                    <w:spacing w:line="160" w:lineRule="exact"/>
                    <w:rPr>
                      <w:rFonts w:cs="Miriam" w:hint="cs"/>
                      <w:noProof/>
                      <w:sz w:val="18"/>
                      <w:szCs w:val="18"/>
                      <w:rtl/>
                    </w:rPr>
                  </w:pPr>
                  <w:r>
                    <w:rPr>
                      <w:rFonts w:cs="Miriam" w:hint="cs"/>
                      <w:sz w:val="18"/>
                      <w:szCs w:val="18"/>
                      <w:rtl/>
                    </w:rPr>
                    <w:t>תחילה</w:t>
                  </w:r>
                </w:p>
              </w:txbxContent>
            </v:textbox>
            <w10:anchorlock/>
          </v:rect>
        </w:pict>
      </w:r>
      <w:r w:rsidR="002802CF">
        <w:rPr>
          <w:rStyle w:val="big-number"/>
          <w:rFonts w:cs="Miriam" w:hint="cs"/>
          <w:rtl/>
        </w:rPr>
        <w:t>5</w:t>
      </w:r>
      <w:r>
        <w:rPr>
          <w:rStyle w:val="big-number"/>
          <w:rFonts w:cs="FrankRuehl"/>
          <w:sz w:val="26"/>
          <w:szCs w:val="26"/>
          <w:rtl/>
        </w:rPr>
        <w:t>.</w:t>
      </w:r>
      <w:r>
        <w:rPr>
          <w:rStyle w:val="big-number"/>
          <w:rFonts w:cs="FrankRuehl"/>
          <w:sz w:val="26"/>
          <w:szCs w:val="26"/>
          <w:rtl/>
        </w:rPr>
        <w:tab/>
      </w:r>
      <w:r w:rsidR="00FE6D21">
        <w:rPr>
          <w:rStyle w:val="default"/>
          <w:rFonts w:cs="FrankRuehl" w:hint="cs"/>
          <w:rtl/>
        </w:rPr>
        <w:t>תחילתן של תקנות אלה ביום תחילתו של חוק לתיקון פקודת מסילות הברזל (מס' 6), התשע"א-2011</w:t>
      </w:r>
      <w:r w:rsidR="00FE6D21">
        <w:rPr>
          <w:rStyle w:val="a6"/>
          <w:rFonts w:cs="FrankRuehl"/>
          <w:sz w:val="26"/>
          <w:rtl/>
        </w:rPr>
        <w:footnoteReference w:id="2"/>
      </w:r>
      <w:r w:rsidR="00FE6D21">
        <w:rPr>
          <w:rStyle w:val="default"/>
          <w:rFonts w:cs="FrankRuehl" w:hint="cs"/>
          <w:rtl/>
        </w:rPr>
        <w:t>.</w:t>
      </w:r>
    </w:p>
    <w:p w14:paraId="2ABFFFDC" w14:textId="77777777" w:rsidR="00E37202" w:rsidRDefault="00E37202">
      <w:pPr>
        <w:pStyle w:val="P00"/>
        <w:spacing w:before="72"/>
        <w:ind w:left="0" w:right="1134"/>
        <w:rPr>
          <w:rStyle w:val="default"/>
          <w:rFonts w:cs="FrankRuehl" w:hint="cs"/>
          <w:rtl/>
        </w:rPr>
      </w:pPr>
    </w:p>
    <w:p w14:paraId="22C75C09" w14:textId="77777777" w:rsidR="00337500" w:rsidRDefault="00337500">
      <w:pPr>
        <w:pStyle w:val="P00"/>
        <w:spacing w:before="72"/>
        <w:ind w:left="0" w:right="1134"/>
        <w:rPr>
          <w:rStyle w:val="default"/>
          <w:rFonts w:cs="FrankRuehl" w:hint="cs"/>
          <w:rtl/>
        </w:rPr>
      </w:pPr>
    </w:p>
    <w:p w14:paraId="55229930" w14:textId="77777777" w:rsidR="00670ED5" w:rsidRDefault="00FE6D21" w:rsidP="00FE6D21">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Style w:val="default"/>
          <w:rFonts w:cs="FrankRuehl" w:hint="cs"/>
          <w:rtl/>
        </w:rPr>
        <w:t>ט"ז באב התשע"א (16 באוגוסט 2011)</w:t>
      </w:r>
      <w:r w:rsidR="00670ED5">
        <w:rPr>
          <w:rStyle w:val="default"/>
          <w:rFonts w:cs="FrankRuehl" w:hint="cs"/>
          <w:rtl/>
        </w:rPr>
        <w:tab/>
      </w:r>
      <w:r>
        <w:rPr>
          <w:rStyle w:val="default"/>
          <w:rFonts w:cs="FrankRuehl" w:hint="cs"/>
          <w:rtl/>
        </w:rPr>
        <w:t>ישראל כ"ץ</w:t>
      </w:r>
    </w:p>
    <w:p w14:paraId="2B5BB110" w14:textId="77777777" w:rsidR="00670ED5" w:rsidRDefault="00670ED5" w:rsidP="00FE6D21">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FE6D21">
        <w:rPr>
          <w:rFonts w:cs="FrankRuehl" w:hint="cs"/>
          <w:sz w:val="22"/>
          <w:szCs w:val="22"/>
          <w:rtl/>
        </w:rPr>
        <w:t>שר התחבורה והבטיחות בדרכים</w:t>
      </w:r>
    </w:p>
    <w:p w14:paraId="77A4787E" w14:textId="77777777" w:rsidR="00F50D88" w:rsidRPr="006A0293" w:rsidRDefault="00F50D88" w:rsidP="006A0293">
      <w:pPr>
        <w:pStyle w:val="P00"/>
        <w:spacing w:before="72"/>
        <w:ind w:left="0" w:right="1134"/>
        <w:rPr>
          <w:rStyle w:val="default"/>
          <w:rFonts w:cs="FrankRuehl" w:hint="cs"/>
          <w:rtl/>
        </w:rPr>
      </w:pPr>
    </w:p>
    <w:p w14:paraId="7BAF7720" w14:textId="77777777" w:rsidR="00F850ED" w:rsidRDefault="00F850ED" w:rsidP="006A0293">
      <w:pPr>
        <w:pStyle w:val="P00"/>
        <w:spacing w:before="72"/>
        <w:ind w:left="0" w:right="1134"/>
        <w:rPr>
          <w:rStyle w:val="default"/>
          <w:rFonts w:cs="FrankRuehl"/>
          <w:rtl/>
        </w:rPr>
      </w:pPr>
    </w:p>
    <w:p w14:paraId="157A027C" w14:textId="77777777" w:rsidR="0088666A" w:rsidRDefault="0088666A" w:rsidP="006A0293">
      <w:pPr>
        <w:pStyle w:val="P00"/>
        <w:spacing w:before="72"/>
        <w:ind w:left="0" w:right="1134"/>
        <w:rPr>
          <w:rStyle w:val="default"/>
          <w:rFonts w:cs="FrankRuehl"/>
          <w:rtl/>
        </w:rPr>
      </w:pPr>
    </w:p>
    <w:p w14:paraId="04BE0C44" w14:textId="77777777" w:rsidR="0088666A" w:rsidRDefault="0088666A" w:rsidP="006A0293">
      <w:pPr>
        <w:pStyle w:val="P00"/>
        <w:spacing w:before="72"/>
        <w:ind w:left="0" w:right="1134"/>
        <w:rPr>
          <w:rStyle w:val="default"/>
          <w:rFonts w:cs="FrankRuehl"/>
          <w:rtl/>
        </w:rPr>
      </w:pPr>
    </w:p>
    <w:p w14:paraId="09E94F8B" w14:textId="77777777" w:rsidR="0088666A" w:rsidRDefault="0088666A" w:rsidP="0088666A">
      <w:pPr>
        <w:pStyle w:val="P00"/>
        <w:spacing w:before="72"/>
        <w:ind w:left="0" w:right="1134"/>
        <w:jc w:val="center"/>
        <w:rPr>
          <w:rStyle w:val="default"/>
          <w:rFonts w:cs="David"/>
          <w:color w:val="0000FF"/>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14:paraId="569D3BDF" w14:textId="77777777" w:rsidR="00F850ED" w:rsidRPr="0088666A" w:rsidRDefault="00F850ED" w:rsidP="0088666A">
      <w:pPr>
        <w:pStyle w:val="P00"/>
        <w:spacing w:before="72"/>
        <w:ind w:left="0" w:right="1134"/>
        <w:jc w:val="center"/>
        <w:rPr>
          <w:rStyle w:val="default"/>
          <w:rFonts w:cs="David"/>
          <w:color w:val="0000FF"/>
          <w:szCs w:val="24"/>
          <w:u w:val="single"/>
          <w:rtl/>
        </w:rPr>
      </w:pPr>
    </w:p>
    <w:sectPr w:rsidR="00F850ED" w:rsidRPr="0088666A">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B0209" w14:textId="77777777" w:rsidR="006F29FD" w:rsidRDefault="006F29FD">
      <w:r>
        <w:separator/>
      </w:r>
    </w:p>
  </w:endnote>
  <w:endnote w:type="continuationSeparator" w:id="0">
    <w:p w14:paraId="1993B978" w14:textId="77777777" w:rsidR="006F29FD" w:rsidRDefault="006F29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AA313" w14:textId="77777777" w:rsidR="00467FC5" w:rsidRDefault="00467FC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1FED536" w14:textId="77777777" w:rsidR="00467FC5" w:rsidRDefault="00467FC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8465322" w14:textId="77777777" w:rsidR="00467FC5" w:rsidRDefault="00467FC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Z:\000-law\yael\10-12-02\tav\500_409.doc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064C0" w14:textId="77777777" w:rsidR="00467FC5" w:rsidRDefault="00467FC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8666A">
      <w:rPr>
        <w:rFonts w:hAnsi="FrankRuehl" w:cs="FrankRuehl"/>
        <w:noProof/>
        <w:sz w:val="24"/>
        <w:szCs w:val="24"/>
        <w:rtl/>
      </w:rPr>
      <w:t>4</w:t>
    </w:r>
    <w:r>
      <w:rPr>
        <w:rFonts w:hAnsi="FrankRuehl" w:cs="FrankRuehl"/>
        <w:sz w:val="24"/>
        <w:szCs w:val="24"/>
        <w:rtl/>
      </w:rPr>
      <w:fldChar w:fldCharType="end"/>
    </w:r>
  </w:p>
  <w:p w14:paraId="001611B7" w14:textId="77777777" w:rsidR="00467FC5" w:rsidRDefault="00467FC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9B2459C" w14:textId="77777777" w:rsidR="00467FC5" w:rsidRDefault="00467FC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Z:\000-law\yael\10-12-02\tav\500_409.doc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E1C6B" w14:textId="77777777" w:rsidR="006F29FD" w:rsidRDefault="006F29FD">
      <w:pPr>
        <w:pStyle w:val="a5"/>
        <w:rPr>
          <w:rFonts w:cs="David"/>
          <w:sz w:val="24"/>
          <w:szCs w:val="24"/>
        </w:rPr>
      </w:pPr>
      <w:r>
        <w:separator/>
      </w:r>
    </w:p>
  </w:footnote>
  <w:footnote w:type="continuationSeparator" w:id="0">
    <w:p w14:paraId="5C9AB898" w14:textId="77777777" w:rsidR="006F29FD" w:rsidRDefault="006F29FD">
      <w:r>
        <w:continuationSeparator/>
      </w:r>
    </w:p>
  </w:footnote>
  <w:footnote w:id="1">
    <w:p w14:paraId="5B8B990D" w14:textId="77777777" w:rsidR="004F0E6C" w:rsidRDefault="00467FC5" w:rsidP="004F0E6C">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rtl/>
        </w:rPr>
      </w:pPr>
      <w:r>
        <w:rPr>
          <w:rFonts w:cs="FrankRuehl"/>
        </w:rPr>
        <w:t>*</w:t>
      </w:r>
      <w:r w:rsidR="00B201FD">
        <w:rPr>
          <w:rFonts w:cs="FrankRuehl" w:hint="cs"/>
          <w:rtl/>
        </w:rPr>
        <w:t xml:space="preserve"> פורסמו</w:t>
      </w:r>
      <w:r>
        <w:rPr>
          <w:rFonts w:cs="FrankRuehl" w:hint="cs"/>
          <w:rtl/>
        </w:rPr>
        <w:t xml:space="preserve"> </w:t>
      </w:r>
      <w:hyperlink r:id="rId1" w:history="1">
        <w:r w:rsidR="00F75090" w:rsidRPr="004F0E6C">
          <w:rPr>
            <w:rStyle w:val="Hyperlink"/>
            <w:rFonts w:cs="FrankRuehl" w:hint="cs"/>
            <w:rtl/>
          </w:rPr>
          <w:t>ק"ת תשע"א מס' 7024</w:t>
        </w:r>
      </w:hyperlink>
      <w:r w:rsidR="00F75090">
        <w:rPr>
          <w:rFonts w:cs="FrankRuehl" w:hint="cs"/>
          <w:rtl/>
        </w:rPr>
        <w:t xml:space="preserve"> מיום 18.8.2011 עמ' 1274</w:t>
      </w:r>
      <w:r>
        <w:rPr>
          <w:rFonts w:cs="FrankRuehl" w:hint="cs"/>
          <w:rtl/>
        </w:rPr>
        <w:t>.</w:t>
      </w:r>
    </w:p>
  </w:footnote>
  <w:footnote w:id="2">
    <w:p w14:paraId="157B6B9B" w14:textId="77777777" w:rsidR="00FE6D21" w:rsidRDefault="00FE6D21" w:rsidP="00FE6D21">
      <w:pPr>
        <w:pStyle w:val="a5"/>
        <w:spacing w:before="72"/>
        <w:ind w:right="1134"/>
        <w:jc w:val="both"/>
        <w:rPr>
          <w:rFonts w:hint="cs"/>
          <w:rtl/>
        </w:rPr>
      </w:pPr>
      <w:r>
        <w:rPr>
          <w:rStyle w:val="a6"/>
        </w:rPr>
        <w:footnoteRef/>
      </w:r>
      <w:r w:rsidRPr="00FE6D21">
        <w:rPr>
          <w:rFonts w:cs="FrankRuehl"/>
          <w:sz w:val="22"/>
          <w:szCs w:val="22"/>
          <w:rtl/>
        </w:rPr>
        <w:t xml:space="preserve"> </w:t>
      </w:r>
      <w:r w:rsidRPr="00FE6D21">
        <w:rPr>
          <w:rFonts w:cs="FrankRuehl" w:hint="cs"/>
          <w:sz w:val="22"/>
          <w:szCs w:val="22"/>
          <w:rtl/>
        </w:rPr>
        <w:t>תחילתו ביום 15.9.2011.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2D6A9" w14:textId="77777777" w:rsidR="00467FC5" w:rsidRDefault="00467FC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4F51DFB2" w14:textId="77777777" w:rsidR="00467FC5" w:rsidRDefault="00467FC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2FF8263" w14:textId="77777777" w:rsidR="00467FC5" w:rsidRDefault="00467FC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9748C" w14:textId="77777777" w:rsidR="00467FC5" w:rsidRDefault="00F75090" w:rsidP="00D26EC1">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מסילות הברזל (החלת תקנות התעבורה לעניין רכבת מקומית)</w:t>
    </w:r>
    <w:r w:rsidR="00467FC5">
      <w:rPr>
        <w:rFonts w:hAnsi="FrankRuehl" w:cs="FrankRuehl" w:hint="cs"/>
        <w:color w:val="000000"/>
        <w:sz w:val="28"/>
        <w:szCs w:val="28"/>
        <w:rtl/>
      </w:rPr>
      <w:t>, תשע"א-2011</w:t>
    </w:r>
  </w:p>
  <w:p w14:paraId="0098F003" w14:textId="77777777" w:rsidR="00467FC5" w:rsidRDefault="00467FC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63C4BB4" w14:textId="77777777" w:rsidR="00467FC5" w:rsidRDefault="00467FC5">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2003311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2C54"/>
    <w:rsid w:val="00017D17"/>
    <w:rsid w:val="0004326E"/>
    <w:rsid w:val="00056492"/>
    <w:rsid w:val="000A04E5"/>
    <w:rsid w:val="000A51DD"/>
    <w:rsid w:val="000B0961"/>
    <w:rsid w:val="000C1EE6"/>
    <w:rsid w:val="000D20BF"/>
    <w:rsid w:val="000D3F79"/>
    <w:rsid w:val="000D5F69"/>
    <w:rsid w:val="000E2C54"/>
    <w:rsid w:val="0010636D"/>
    <w:rsid w:val="00130E4C"/>
    <w:rsid w:val="0014736B"/>
    <w:rsid w:val="00174F6E"/>
    <w:rsid w:val="001C65C4"/>
    <w:rsid w:val="001F7F9D"/>
    <w:rsid w:val="002004B8"/>
    <w:rsid w:val="002802CF"/>
    <w:rsid w:val="00294652"/>
    <w:rsid w:val="002B073E"/>
    <w:rsid w:val="002B7BA0"/>
    <w:rsid w:val="002C1365"/>
    <w:rsid w:val="002E50CB"/>
    <w:rsid w:val="002F2484"/>
    <w:rsid w:val="002F2D09"/>
    <w:rsid w:val="003033EF"/>
    <w:rsid w:val="00337500"/>
    <w:rsid w:val="00362DE4"/>
    <w:rsid w:val="00363AE0"/>
    <w:rsid w:val="00373414"/>
    <w:rsid w:val="0037529D"/>
    <w:rsid w:val="00386992"/>
    <w:rsid w:val="003A4A79"/>
    <w:rsid w:val="003A5041"/>
    <w:rsid w:val="003B071E"/>
    <w:rsid w:val="003E13AE"/>
    <w:rsid w:val="003E5E0D"/>
    <w:rsid w:val="003F0E3D"/>
    <w:rsid w:val="003F1EAF"/>
    <w:rsid w:val="00417E2E"/>
    <w:rsid w:val="004460FB"/>
    <w:rsid w:val="00456754"/>
    <w:rsid w:val="0046633C"/>
    <w:rsid w:val="00467FC5"/>
    <w:rsid w:val="0047772E"/>
    <w:rsid w:val="00480263"/>
    <w:rsid w:val="004810BE"/>
    <w:rsid w:val="00493062"/>
    <w:rsid w:val="004C3DCB"/>
    <w:rsid w:val="004F0E6C"/>
    <w:rsid w:val="00534BF7"/>
    <w:rsid w:val="00550471"/>
    <w:rsid w:val="00550567"/>
    <w:rsid w:val="00570BE6"/>
    <w:rsid w:val="00574555"/>
    <w:rsid w:val="005D1B26"/>
    <w:rsid w:val="005E571E"/>
    <w:rsid w:val="005F2D72"/>
    <w:rsid w:val="005F5F15"/>
    <w:rsid w:val="0061587F"/>
    <w:rsid w:val="00632FDF"/>
    <w:rsid w:val="00637F79"/>
    <w:rsid w:val="006472E4"/>
    <w:rsid w:val="00657D32"/>
    <w:rsid w:val="00662F6E"/>
    <w:rsid w:val="00664E75"/>
    <w:rsid w:val="00670ED5"/>
    <w:rsid w:val="006A0293"/>
    <w:rsid w:val="006A5E67"/>
    <w:rsid w:val="006E662D"/>
    <w:rsid w:val="006F29FD"/>
    <w:rsid w:val="00701E65"/>
    <w:rsid w:val="00703E39"/>
    <w:rsid w:val="00731689"/>
    <w:rsid w:val="00732B9D"/>
    <w:rsid w:val="0073681E"/>
    <w:rsid w:val="00736981"/>
    <w:rsid w:val="00752C73"/>
    <w:rsid w:val="0077014E"/>
    <w:rsid w:val="00776104"/>
    <w:rsid w:val="007858E9"/>
    <w:rsid w:val="00791711"/>
    <w:rsid w:val="007952EA"/>
    <w:rsid w:val="007C2B61"/>
    <w:rsid w:val="007E141D"/>
    <w:rsid w:val="008154D9"/>
    <w:rsid w:val="00835F70"/>
    <w:rsid w:val="008612E0"/>
    <w:rsid w:val="008673BC"/>
    <w:rsid w:val="008764A2"/>
    <w:rsid w:val="00881D2D"/>
    <w:rsid w:val="0088666A"/>
    <w:rsid w:val="008930C7"/>
    <w:rsid w:val="008D66E2"/>
    <w:rsid w:val="008F7269"/>
    <w:rsid w:val="00917DEC"/>
    <w:rsid w:val="00933194"/>
    <w:rsid w:val="0096194F"/>
    <w:rsid w:val="00965C9E"/>
    <w:rsid w:val="00983AB3"/>
    <w:rsid w:val="00995475"/>
    <w:rsid w:val="009B5EC6"/>
    <w:rsid w:val="009C017A"/>
    <w:rsid w:val="009E1E89"/>
    <w:rsid w:val="009F1351"/>
    <w:rsid w:val="00A32DFC"/>
    <w:rsid w:val="00A36194"/>
    <w:rsid w:val="00A4707F"/>
    <w:rsid w:val="00A56E0B"/>
    <w:rsid w:val="00A70937"/>
    <w:rsid w:val="00A743C1"/>
    <w:rsid w:val="00A776CD"/>
    <w:rsid w:val="00A81EAA"/>
    <w:rsid w:val="00AA581E"/>
    <w:rsid w:val="00AB6F94"/>
    <w:rsid w:val="00AC1111"/>
    <w:rsid w:val="00AC688B"/>
    <w:rsid w:val="00AC68F1"/>
    <w:rsid w:val="00B201FD"/>
    <w:rsid w:val="00B3277E"/>
    <w:rsid w:val="00B510C2"/>
    <w:rsid w:val="00B62B6C"/>
    <w:rsid w:val="00B65110"/>
    <w:rsid w:val="00B71A97"/>
    <w:rsid w:val="00B74DF4"/>
    <w:rsid w:val="00B842A5"/>
    <w:rsid w:val="00BA05B6"/>
    <w:rsid w:val="00BA3EB3"/>
    <w:rsid w:val="00C00A2C"/>
    <w:rsid w:val="00C10EC3"/>
    <w:rsid w:val="00C14403"/>
    <w:rsid w:val="00C45F62"/>
    <w:rsid w:val="00C7307F"/>
    <w:rsid w:val="00C857FD"/>
    <w:rsid w:val="00CA1F1E"/>
    <w:rsid w:val="00CA54C3"/>
    <w:rsid w:val="00CB00A7"/>
    <w:rsid w:val="00CB0AA2"/>
    <w:rsid w:val="00CB37A5"/>
    <w:rsid w:val="00CC55CB"/>
    <w:rsid w:val="00CE00FB"/>
    <w:rsid w:val="00CE5CBD"/>
    <w:rsid w:val="00CF2030"/>
    <w:rsid w:val="00CF4D7D"/>
    <w:rsid w:val="00CF7E15"/>
    <w:rsid w:val="00D166A8"/>
    <w:rsid w:val="00D26EC1"/>
    <w:rsid w:val="00D31AC1"/>
    <w:rsid w:val="00D44372"/>
    <w:rsid w:val="00D446D8"/>
    <w:rsid w:val="00D63C51"/>
    <w:rsid w:val="00D6480C"/>
    <w:rsid w:val="00D96DAF"/>
    <w:rsid w:val="00DB1991"/>
    <w:rsid w:val="00DC1C68"/>
    <w:rsid w:val="00DD6636"/>
    <w:rsid w:val="00DE2B2A"/>
    <w:rsid w:val="00E24FCD"/>
    <w:rsid w:val="00E261C8"/>
    <w:rsid w:val="00E37202"/>
    <w:rsid w:val="00E41B95"/>
    <w:rsid w:val="00E45CCD"/>
    <w:rsid w:val="00E5116E"/>
    <w:rsid w:val="00E71242"/>
    <w:rsid w:val="00E97E4F"/>
    <w:rsid w:val="00EA53F9"/>
    <w:rsid w:val="00EB62D9"/>
    <w:rsid w:val="00EC10AF"/>
    <w:rsid w:val="00ED166E"/>
    <w:rsid w:val="00F1608F"/>
    <w:rsid w:val="00F322D9"/>
    <w:rsid w:val="00F50D88"/>
    <w:rsid w:val="00F62772"/>
    <w:rsid w:val="00F7197F"/>
    <w:rsid w:val="00F75090"/>
    <w:rsid w:val="00F850ED"/>
    <w:rsid w:val="00FE0077"/>
    <w:rsid w:val="00FE1F15"/>
    <w:rsid w:val="00FE583C"/>
    <w:rsid w:val="00FE6D21"/>
    <w:rsid w:val="00FE6E9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E919D0C"/>
  <w15:chartTrackingRefBased/>
  <w15:docId w15:val="{17A96DCF-FE98-44F0-A5CA-8B1E51FE7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table" w:styleId="a8">
    <w:name w:val="Table Grid"/>
    <w:basedOn w:val="a1"/>
    <w:rsid w:val="00CE00FB"/>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02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949</Words>
  <Characters>5411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6348</CharactersWithSpaces>
  <SharedDoc>false</SharedDoc>
  <HLinks>
    <vt:vector size="42" baseType="variant">
      <vt:variant>
        <vt:i4>393283</vt:i4>
      </vt:variant>
      <vt:variant>
        <vt:i4>30</vt:i4>
      </vt:variant>
      <vt:variant>
        <vt:i4>0</vt:i4>
      </vt:variant>
      <vt:variant>
        <vt:i4>5</vt:i4>
      </vt:variant>
      <vt:variant>
        <vt:lpwstr>http://www.nevo.co.il/advertisements/nevo-100.doc</vt:lpwstr>
      </vt:variant>
      <vt:variant>
        <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8126476</vt:i4>
      </vt:variant>
      <vt:variant>
        <vt:i4>0</vt:i4>
      </vt:variant>
      <vt:variant>
        <vt:i4>0</vt:i4>
      </vt:variant>
      <vt:variant>
        <vt:i4>5</vt:i4>
      </vt:variant>
      <vt:variant>
        <vt:lpwstr>http://www.nevo.co.il/Law_word/law06/TAK-7024.pdf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2023-06-05T20:36:00Z</dcterms:created>
  <dcterms:modified xsi:type="dcterms:W3CDTF">2023-06-05T20:36:00Z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מסילות הברזל (החלת תקנות התעבורה לעניין רכבת מקומית), תשע"א-2011</vt:lpwstr>
  </property>
  <property fmtid="{D5CDD505-2E9C-101B-9397-08002B2CF9AE}" pid="4" name="LAWNUMBER">
    <vt:lpwstr>0543</vt:lpwstr>
  </property>
  <property fmtid="{D5CDD505-2E9C-101B-9397-08002B2CF9AE}" pid="5" name="TYPE">
    <vt:lpwstr>01</vt:lpwstr>
  </property>
  <property fmtid="{D5CDD505-2E9C-101B-9397-08002B2CF9AE}" pid="6" name="CHNAME">
    <vt:lpwstr>תשתיות</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SAMCHUT">
    <vt:lpwstr/>
  </property>
  <property fmtid="{D5CDD505-2E9C-101B-9397-08002B2CF9AE}" pid="21" name="NOSE11">
    <vt:lpwstr>רשויות ומשפט מנהלי</vt:lpwstr>
  </property>
  <property fmtid="{D5CDD505-2E9C-101B-9397-08002B2CF9AE}" pid="22" name="NOSE21">
    <vt:lpwstr>תשתיות</vt:lpwstr>
  </property>
  <property fmtid="{D5CDD505-2E9C-101B-9397-08002B2CF9AE}" pid="23" name="NOSE31">
    <vt:lpwstr>מסילות הברזל</vt:lpwstr>
  </property>
  <property fmtid="{D5CDD505-2E9C-101B-9397-08002B2CF9AE}" pid="24" name="NOSE41">
    <vt:lpwstr>רכבת</vt:lpwstr>
  </property>
  <property fmtid="{D5CDD505-2E9C-101B-9397-08002B2CF9AE}" pid="25" name="NOSE12">
    <vt:lpwstr>רשויות ומשפט מנהלי</vt:lpwstr>
  </property>
  <property fmtid="{D5CDD505-2E9C-101B-9397-08002B2CF9AE}" pid="26" name="NOSE22">
    <vt:lpwstr>תעבורה</vt:lpwstr>
  </property>
  <property fmtid="{D5CDD505-2E9C-101B-9397-08002B2CF9AE}" pid="27" name="NOSE32">
    <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LINKK2">
    <vt:lpwstr/>
  </property>
  <property fmtid="{D5CDD505-2E9C-101B-9397-08002B2CF9AE}" pid="62" name="MEKOR_NAME1">
    <vt:lpwstr>פקודת מסילות הברזל</vt:lpwstr>
  </property>
  <property fmtid="{D5CDD505-2E9C-101B-9397-08002B2CF9AE}" pid="63" name="MEKOR_SAIF1">
    <vt:lpwstr>46גXבX;57XאX5X;57XאX7X</vt:lpwstr>
  </property>
  <property fmtid="{D5CDD505-2E9C-101B-9397-08002B2CF9AE}" pid="64" name="MEKOR_NAME2">
    <vt:lpwstr>חוק-יסוד: הכנסת</vt:lpwstr>
  </property>
  <property fmtid="{D5CDD505-2E9C-101B-9397-08002B2CF9AE}" pid="65" name="MEKOR_SAIF2">
    <vt:lpwstr>21אXאX</vt:lpwstr>
  </property>
  <property fmtid="{D5CDD505-2E9C-101B-9397-08002B2CF9AE}" pid="66" name="MEKOR_NAME3">
    <vt:lpwstr>חוק העונשין</vt:lpwstr>
  </property>
  <property fmtid="{D5CDD505-2E9C-101B-9397-08002B2CF9AE}" pid="67" name="MEKOR_SAIF3">
    <vt:lpwstr>2XבX</vt:lpwstr>
  </property>
  <property fmtid="{D5CDD505-2E9C-101B-9397-08002B2CF9AE}" pid="68" name="LINKK1">
    <vt:lpwstr>http://www.nevo.co.il/Law_word/law06/TAK-7024.pdf;‎רשומות - תקנות כלליות#פורסמו ק"ת ‏תשע"א מס' 7024 #מיום 18.8.2011 עמ' 1274‏</vt:lpwstr>
  </property>
</Properties>
</file>