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26FE" w14:textId="77777777" w:rsidR="004E3E7A" w:rsidRDefault="004E3E7A">
      <w:pPr>
        <w:pStyle w:val="big-header"/>
        <w:ind w:left="0" w:right="1134"/>
        <w:rPr>
          <w:rFonts w:cs="FrankRuehl"/>
          <w:sz w:val="32"/>
        </w:rPr>
      </w:pPr>
      <w:r>
        <w:rPr>
          <w:rFonts w:cs="FrankRuehl" w:hint="cs"/>
          <w:sz w:val="32"/>
          <w:rtl/>
        </w:rPr>
        <w:t xml:space="preserve">תקנות מקורות אנרגיה (נצילות אנרגיה של מנועי השראה חשמליים), </w:t>
      </w:r>
      <w:r>
        <w:rPr>
          <w:rFonts w:cs="FrankRuehl"/>
          <w:sz w:val="32"/>
          <w:rtl/>
        </w:rPr>
        <w:br/>
      </w:r>
      <w:r>
        <w:rPr>
          <w:rFonts w:cs="FrankRuehl" w:hint="cs"/>
          <w:sz w:val="32"/>
          <w:rtl/>
        </w:rPr>
        <w:t>תשס"ד-2004</w:t>
      </w:r>
    </w:p>
    <w:p w14:paraId="4A4DA75E" w14:textId="77777777" w:rsidR="00677697" w:rsidRPr="00677697" w:rsidRDefault="00677697" w:rsidP="00677697">
      <w:pPr>
        <w:spacing w:line="320" w:lineRule="auto"/>
        <w:rPr>
          <w:rStyle w:val="default"/>
          <w:rFonts w:cs="FrankRuehl"/>
          <w:sz w:val="22"/>
          <w:rtl/>
        </w:rPr>
      </w:pPr>
    </w:p>
    <w:p w14:paraId="201A8F13" w14:textId="77777777" w:rsidR="00677697" w:rsidRDefault="00677697" w:rsidP="00677697">
      <w:pPr>
        <w:spacing w:line="320" w:lineRule="auto"/>
        <w:rPr>
          <w:rStyle w:val="default"/>
          <w:sz w:val="22"/>
          <w:szCs w:val="22"/>
          <w:rtl/>
        </w:rPr>
      </w:pPr>
    </w:p>
    <w:p w14:paraId="35EFA225" w14:textId="77777777" w:rsidR="00677697" w:rsidRDefault="00677697" w:rsidP="00677697">
      <w:pPr>
        <w:spacing w:line="320" w:lineRule="auto"/>
        <w:rPr>
          <w:rStyle w:val="default"/>
          <w:rFonts w:cs="FrankRuehl"/>
          <w:sz w:val="22"/>
          <w:rtl/>
        </w:rPr>
      </w:pPr>
      <w:r w:rsidRPr="00677697">
        <w:rPr>
          <w:rStyle w:val="default"/>
          <w:rFonts w:cs="Miriam"/>
          <w:sz w:val="22"/>
          <w:szCs w:val="22"/>
          <w:rtl/>
        </w:rPr>
        <w:t>רשויות ומשפט מנהלי</w:t>
      </w:r>
      <w:r w:rsidRPr="00677697">
        <w:rPr>
          <w:rStyle w:val="default"/>
          <w:rFonts w:cs="FrankRuehl"/>
          <w:sz w:val="22"/>
          <w:rtl/>
        </w:rPr>
        <w:t xml:space="preserve"> – תשתיות – אנרגיה – מקורות אנרגיה</w:t>
      </w:r>
    </w:p>
    <w:p w14:paraId="452C41E7" w14:textId="77777777" w:rsidR="00677697" w:rsidRPr="00677697" w:rsidRDefault="00677697" w:rsidP="00677697">
      <w:pPr>
        <w:spacing w:line="320" w:lineRule="auto"/>
        <w:rPr>
          <w:rStyle w:val="default"/>
          <w:rFonts w:cs="Miriam"/>
          <w:sz w:val="22"/>
          <w:szCs w:val="22"/>
          <w:rtl/>
        </w:rPr>
      </w:pPr>
      <w:r w:rsidRPr="00677697">
        <w:rPr>
          <w:rStyle w:val="default"/>
          <w:rFonts w:cs="Miriam"/>
          <w:sz w:val="22"/>
          <w:szCs w:val="22"/>
          <w:rtl/>
        </w:rPr>
        <w:t>רשויות ומשפט מנהלי</w:t>
      </w:r>
      <w:r w:rsidRPr="00677697">
        <w:rPr>
          <w:rStyle w:val="default"/>
          <w:rFonts w:cs="FrankRuehl"/>
          <w:sz w:val="22"/>
          <w:rtl/>
        </w:rPr>
        <w:t xml:space="preserve"> – תשתיות – חשמל</w:t>
      </w:r>
    </w:p>
    <w:p w14:paraId="4DE91A4D" w14:textId="77777777" w:rsidR="004E3E7A" w:rsidRDefault="004E3E7A">
      <w:pPr>
        <w:pStyle w:val="big-header"/>
        <w:ind w:left="0" w:right="1134"/>
        <w:rPr>
          <w:rFonts w:cs="FrankRuehl" w:hint="cs"/>
          <w:sz w:val="32"/>
          <w:rtl/>
        </w:rPr>
      </w:pPr>
      <w:r>
        <w:rPr>
          <w:rFonts w:cs="FrankRuehl" w:hint="cs"/>
          <w:sz w:val="32"/>
          <w:rtl/>
        </w:rPr>
        <w:t>תוכן ענינים</w:t>
      </w:r>
    </w:p>
    <w:p w14:paraId="02A2DE95" w14:textId="77777777" w:rsidR="004E3E7A" w:rsidRDefault="004E3E7A">
      <w:pPr>
        <w:pStyle w:val="big-header"/>
        <w:ind w:left="0" w:right="1134"/>
        <w:rPr>
          <w:rFonts w:cs="FrankRuehl" w:hint="cs"/>
          <w:sz w:val="32"/>
          <w:rtl/>
        </w:rPr>
      </w:pP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E3E7A" w14:paraId="5BAE370E" w14:textId="77777777">
        <w:tblPrEx>
          <w:tblCellMar>
            <w:top w:w="0" w:type="dxa"/>
            <w:bottom w:w="0" w:type="dxa"/>
          </w:tblCellMar>
        </w:tblPrEx>
        <w:tc>
          <w:tcPr>
            <w:tcW w:w="850" w:type="dxa"/>
          </w:tcPr>
          <w:p w14:paraId="3D41AF1B" w14:textId="77777777" w:rsidR="004E3E7A" w:rsidRDefault="004E3E7A">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1BE76266" w14:textId="77777777" w:rsidR="004E3E7A" w:rsidRDefault="004E3E7A">
            <w:pPr>
              <w:rPr>
                <w:rStyle w:val="default"/>
                <w:rFonts w:cs="FrankRuehl" w:hint="cs"/>
                <w:sz w:val="24"/>
                <w:szCs w:val="24"/>
              </w:rPr>
            </w:pPr>
            <w:hyperlink w:anchor="Seif0" w:tooltip="הגדרות" w:history="1">
              <w:r>
                <w:rPr>
                  <w:rStyle w:val="Hyperlink"/>
                </w:rPr>
                <w:t>Go</w:t>
              </w:r>
            </w:hyperlink>
          </w:p>
        </w:tc>
        <w:tc>
          <w:tcPr>
            <w:tcW w:w="5669" w:type="dxa"/>
          </w:tcPr>
          <w:p w14:paraId="16B6A764" w14:textId="77777777" w:rsidR="004E3E7A" w:rsidRDefault="004E3E7A">
            <w:pPr>
              <w:rPr>
                <w:rStyle w:val="default"/>
                <w:rFonts w:cs="FrankRuehl"/>
                <w:sz w:val="24"/>
                <w:szCs w:val="24"/>
                <w:rtl/>
              </w:rPr>
            </w:pPr>
            <w:r>
              <w:rPr>
                <w:rStyle w:val="default"/>
                <w:rFonts w:cs="FrankRuehl"/>
                <w:sz w:val="24"/>
                <w:szCs w:val="24"/>
                <w:rtl/>
              </w:rPr>
              <w:t>הגדרות</w:t>
            </w:r>
          </w:p>
        </w:tc>
        <w:tc>
          <w:tcPr>
            <w:tcW w:w="1247" w:type="dxa"/>
          </w:tcPr>
          <w:p w14:paraId="784073FA" w14:textId="77777777" w:rsidR="004E3E7A" w:rsidRDefault="004E3E7A">
            <w:pPr>
              <w:rPr>
                <w:rStyle w:val="default"/>
                <w:rFonts w:cs="FrankRuehl" w:hint="cs"/>
                <w:sz w:val="24"/>
                <w:szCs w:val="24"/>
              </w:rPr>
            </w:pPr>
            <w:r>
              <w:rPr>
                <w:rStyle w:val="default"/>
                <w:rFonts w:cs="FrankRuehl"/>
                <w:sz w:val="24"/>
                <w:szCs w:val="24"/>
                <w:rtl/>
              </w:rPr>
              <w:t xml:space="preserve">סעיף 1 </w:t>
            </w:r>
          </w:p>
        </w:tc>
      </w:tr>
      <w:tr w:rsidR="004E3E7A" w14:paraId="21672900" w14:textId="77777777">
        <w:tblPrEx>
          <w:tblCellMar>
            <w:top w:w="0" w:type="dxa"/>
            <w:bottom w:w="0" w:type="dxa"/>
          </w:tblCellMar>
        </w:tblPrEx>
        <w:tc>
          <w:tcPr>
            <w:tcW w:w="850" w:type="dxa"/>
          </w:tcPr>
          <w:p w14:paraId="4582EA07" w14:textId="77777777" w:rsidR="004E3E7A" w:rsidRDefault="004E3E7A">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4A58F57E" w14:textId="77777777" w:rsidR="004E3E7A" w:rsidRDefault="004E3E7A">
            <w:pPr>
              <w:rPr>
                <w:rStyle w:val="default"/>
                <w:rFonts w:cs="FrankRuehl" w:hint="cs"/>
                <w:sz w:val="24"/>
                <w:szCs w:val="24"/>
              </w:rPr>
            </w:pPr>
            <w:hyperlink w:anchor="Seif1" w:tooltip="חובה לעמוד בתקן נצילות וסימון" w:history="1">
              <w:r>
                <w:rPr>
                  <w:rStyle w:val="Hyperlink"/>
                </w:rPr>
                <w:t>Go</w:t>
              </w:r>
            </w:hyperlink>
          </w:p>
        </w:tc>
        <w:tc>
          <w:tcPr>
            <w:tcW w:w="5669" w:type="dxa"/>
          </w:tcPr>
          <w:p w14:paraId="51CED2A4" w14:textId="77777777" w:rsidR="004E3E7A" w:rsidRDefault="004E3E7A">
            <w:pPr>
              <w:rPr>
                <w:rStyle w:val="default"/>
                <w:rFonts w:cs="FrankRuehl"/>
                <w:sz w:val="24"/>
                <w:szCs w:val="24"/>
                <w:rtl/>
              </w:rPr>
            </w:pPr>
            <w:r>
              <w:rPr>
                <w:rStyle w:val="default"/>
                <w:rFonts w:cs="FrankRuehl"/>
                <w:sz w:val="24"/>
                <w:szCs w:val="24"/>
                <w:rtl/>
              </w:rPr>
              <w:t>חובה לעמוד בתקן נצילות וסימון</w:t>
            </w:r>
          </w:p>
        </w:tc>
        <w:tc>
          <w:tcPr>
            <w:tcW w:w="1247" w:type="dxa"/>
          </w:tcPr>
          <w:p w14:paraId="0673BEB0" w14:textId="77777777" w:rsidR="004E3E7A" w:rsidRDefault="004E3E7A">
            <w:pPr>
              <w:rPr>
                <w:rStyle w:val="default"/>
                <w:rFonts w:cs="FrankRuehl" w:hint="cs"/>
                <w:sz w:val="24"/>
                <w:szCs w:val="24"/>
              </w:rPr>
            </w:pPr>
            <w:r>
              <w:rPr>
                <w:rStyle w:val="default"/>
                <w:rFonts w:cs="FrankRuehl"/>
                <w:sz w:val="24"/>
                <w:szCs w:val="24"/>
                <w:rtl/>
              </w:rPr>
              <w:t xml:space="preserve">סעיף 2 </w:t>
            </w:r>
          </w:p>
        </w:tc>
      </w:tr>
      <w:tr w:rsidR="004E3E7A" w14:paraId="039AB0AE" w14:textId="77777777">
        <w:tblPrEx>
          <w:tblCellMar>
            <w:top w:w="0" w:type="dxa"/>
            <w:bottom w:w="0" w:type="dxa"/>
          </w:tblCellMar>
        </w:tblPrEx>
        <w:tc>
          <w:tcPr>
            <w:tcW w:w="850" w:type="dxa"/>
          </w:tcPr>
          <w:p w14:paraId="0D9CAE49" w14:textId="77777777" w:rsidR="004E3E7A" w:rsidRDefault="004E3E7A">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4ED6CC5C" w14:textId="77777777" w:rsidR="004E3E7A" w:rsidRDefault="004E3E7A">
            <w:pPr>
              <w:rPr>
                <w:rStyle w:val="default"/>
                <w:rFonts w:cs="FrankRuehl" w:hint="cs"/>
                <w:sz w:val="24"/>
                <w:szCs w:val="24"/>
              </w:rPr>
            </w:pPr>
            <w:hyperlink w:anchor="Seif2" w:tooltip="ביקורת" w:history="1">
              <w:r>
                <w:rPr>
                  <w:rStyle w:val="Hyperlink"/>
                </w:rPr>
                <w:t>Go</w:t>
              </w:r>
            </w:hyperlink>
          </w:p>
        </w:tc>
        <w:tc>
          <w:tcPr>
            <w:tcW w:w="5669" w:type="dxa"/>
          </w:tcPr>
          <w:p w14:paraId="216AB4D9" w14:textId="77777777" w:rsidR="004E3E7A" w:rsidRDefault="004E3E7A">
            <w:pPr>
              <w:rPr>
                <w:rStyle w:val="default"/>
                <w:rFonts w:cs="FrankRuehl"/>
                <w:sz w:val="24"/>
                <w:szCs w:val="24"/>
                <w:rtl/>
              </w:rPr>
            </w:pPr>
            <w:r>
              <w:rPr>
                <w:rStyle w:val="default"/>
                <w:rFonts w:cs="FrankRuehl"/>
                <w:sz w:val="24"/>
                <w:szCs w:val="24"/>
                <w:rtl/>
              </w:rPr>
              <w:t>ביקורת</w:t>
            </w:r>
          </w:p>
        </w:tc>
        <w:tc>
          <w:tcPr>
            <w:tcW w:w="1247" w:type="dxa"/>
          </w:tcPr>
          <w:p w14:paraId="15A8B0FE" w14:textId="77777777" w:rsidR="004E3E7A" w:rsidRDefault="004E3E7A">
            <w:pPr>
              <w:rPr>
                <w:rStyle w:val="default"/>
                <w:rFonts w:cs="FrankRuehl" w:hint="cs"/>
                <w:sz w:val="24"/>
                <w:szCs w:val="24"/>
              </w:rPr>
            </w:pPr>
            <w:r>
              <w:rPr>
                <w:rStyle w:val="default"/>
                <w:rFonts w:cs="FrankRuehl"/>
                <w:sz w:val="24"/>
                <w:szCs w:val="24"/>
                <w:rtl/>
              </w:rPr>
              <w:t xml:space="preserve">סעיף 3 </w:t>
            </w:r>
          </w:p>
        </w:tc>
      </w:tr>
      <w:tr w:rsidR="004E3E7A" w14:paraId="23B4A698" w14:textId="77777777">
        <w:tblPrEx>
          <w:tblCellMar>
            <w:top w:w="0" w:type="dxa"/>
            <w:bottom w:w="0" w:type="dxa"/>
          </w:tblCellMar>
        </w:tblPrEx>
        <w:tc>
          <w:tcPr>
            <w:tcW w:w="850" w:type="dxa"/>
          </w:tcPr>
          <w:p w14:paraId="6078C3B9" w14:textId="77777777" w:rsidR="004E3E7A" w:rsidRDefault="004E3E7A">
            <w:pPr>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13F9791C" w14:textId="77777777" w:rsidR="004E3E7A" w:rsidRDefault="004E3E7A">
            <w:pPr>
              <w:rPr>
                <w:rStyle w:val="default"/>
                <w:rFonts w:cs="FrankRuehl" w:hint="cs"/>
                <w:sz w:val="24"/>
                <w:szCs w:val="24"/>
              </w:rPr>
            </w:pPr>
            <w:hyperlink w:anchor="Seif3" w:tooltip="תחילה" w:history="1">
              <w:r>
                <w:rPr>
                  <w:rStyle w:val="Hyperlink"/>
                </w:rPr>
                <w:t>Go</w:t>
              </w:r>
            </w:hyperlink>
          </w:p>
        </w:tc>
        <w:tc>
          <w:tcPr>
            <w:tcW w:w="5669" w:type="dxa"/>
          </w:tcPr>
          <w:p w14:paraId="64A7E609" w14:textId="77777777" w:rsidR="004E3E7A" w:rsidRDefault="004E3E7A">
            <w:pPr>
              <w:rPr>
                <w:rStyle w:val="default"/>
                <w:rFonts w:cs="FrankRuehl"/>
                <w:sz w:val="24"/>
                <w:szCs w:val="24"/>
                <w:rtl/>
              </w:rPr>
            </w:pPr>
            <w:r>
              <w:rPr>
                <w:rStyle w:val="default"/>
                <w:rFonts w:cs="FrankRuehl"/>
                <w:sz w:val="24"/>
                <w:szCs w:val="24"/>
                <w:rtl/>
              </w:rPr>
              <w:t>תחילה</w:t>
            </w:r>
          </w:p>
        </w:tc>
        <w:tc>
          <w:tcPr>
            <w:tcW w:w="1247" w:type="dxa"/>
          </w:tcPr>
          <w:p w14:paraId="1830D052" w14:textId="77777777" w:rsidR="004E3E7A" w:rsidRDefault="004E3E7A">
            <w:pPr>
              <w:rPr>
                <w:rStyle w:val="default"/>
                <w:rFonts w:cs="FrankRuehl" w:hint="cs"/>
                <w:sz w:val="24"/>
                <w:szCs w:val="24"/>
              </w:rPr>
            </w:pPr>
            <w:r>
              <w:rPr>
                <w:rStyle w:val="default"/>
                <w:rFonts w:cs="FrankRuehl"/>
                <w:sz w:val="24"/>
                <w:szCs w:val="24"/>
                <w:rtl/>
              </w:rPr>
              <w:t xml:space="preserve">סעיף 4 </w:t>
            </w:r>
          </w:p>
        </w:tc>
      </w:tr>
    </w:tbl>
    <w:p w14:paraId="6467CFA9" w14:textId="77777777" w:rsidR="004E3E7A" w:rsidRDefault="004E3E7A">
      <w:pPr>
        <w:pStyle w:val="big-header"/>
        <w:ind w:left="0" w:right="1134"/>
        <w:rPr>
          <w:rFonts w:hint="cs"/>
          <w:sz w:val="32"/>
          <w:rtl/>
        </w:rPr>
      </w:pPr>
    </w:p>
    <w:p w14:paraId="7D967A4E" w14:textId="77777777" w:rsidR="004E3E7A" w:rsidRDefault="004E3E7A" w:rsidP="00677697">
      <w:pPr>
        <w:pStyle w:val="big-header"/>
        <w:ind w:left="0" w:right="1134"/>
        <w:rPr>
          <w:rStyle w:val="default"/>
          <w:rFonts w:hint="cs"/>
          <w:sz w:val="22"/>
          <w:szCs w:val="22"/>
          <w:rtl/>
        </w:rPr>
      </w:pPr>
      <w:r>
        <w:rPr>
          <w:rStyle w:val="default"/>
          <w:rFonts w:cs="FrankRuehl"/>
          <w:rtl/>
        </w:rPr>
        <w:br w:type="page"/>
      </w:r>
      <w:r>
        <w:rPr>
          <w:rFonts w:cs="FrankRuehl" w:hint="cs"/>
          <w:sz w:val="32"/>
          <w:rtl/>
        </w:rPr>
        <w:lastRenderedPageBreak/>
        <w:t xml:space="preserve">תקנות מקורות אנרגיה (נצילות אנרגיה של מנועי השראה חשמליים), </w:t>
      </w:r>
      <w:r>
        <w:rPr>
          <w:rFonts w:cs="FrankRuehl"/>
          <w:sz w:val="32"/>
          <w:rtl/>
        </w:rPr>
        <w:br/>
      </w:r>
      <w:r>
        <w:rPr>
          <w:rFonts w:cs="FrankRuehl" w:hint="cs"/>
          <w:sz w:val="32"/>
          <w:rtl/>
        </w:rPr>
        <w:t>תשס"ד-2004</w:t>
      </w:r>
      <w:r>
        <w:rPr>
          <w:rStyle w:val="default"/>
          <w:sz w:val="22"/>
          <w:szCs w:val="22"/>
          <w:rtl/>
        </w:rPr>
        <w:footnoteReference w:customMarkFollows="1" w:id="1"/>
        <w:t>*</w:t>
      </w:r>
    </w:p>
    <w:p w14:paraId="10DF0277" w14:textId="77777777" w:rsidR="004E3E7A" w:rsidRDefault="004E3E7A">
      <w:pPr>
        <w:pStyle w:val="P00"/>
        <w:spacing w:before="72"/>
        <w:ind w:left="0" w:right="1134"/>
        <w:rPr>
          <w:rStyle w:val="default"/>
          <w:rFonts w:cs="FrankRuehl" w:hint="cs"/>
          <w:rtl/>
        </w:rPr>
      </w:pPr>
      <w:r>
        <w:rPr>
          <w:rStyle w:val="default"/>
          <w:rFonts w:cs="FrankRuehl" w:hint="cs"/>
          <w:rtl/>
        </w:rPr>
        <w:tab/>
        <w:t xml:space="preserve">בתוקף סמכותי לפי סעיף 3 לחוק מקורות אנרגיה, התש"ן-1989 (להלן </w:t>
      </w:r>
      <w:r>
        <w:rPr>
          <w:rStyle w:val="default"/>
          <w:rFonts w:cs="FrankRuehl"/>
          <w:rtl/>
        </w:rPr>
        <w:t>–</w:t>
      </w:r>
      <w:r>
        <w:rPr>
          <w:rStyle w:val="default"/>
          <w:rFonts w:cs="FrankRuehl" w:hint="cs"/>
          <w:rtl/>
        </w:rPr>
        <w:t xml:space="preserve"> החוק), ובאישור ועדת הכלכלה של הכנסת, אני מתקין תקנות אלה:</w:t>
      </w:r>
    </w:p>
    <w:p w14:paraId="566E5A15" w14:textId="77777777" w:rsidR="004E3E7A" w:rsidRDefault="004E3E7A">
      <w:pPr>
        <w:pStyle w:val="P00"/>
        <w:spacing w:before="72"/>
        <w:ind w:left="0" w:right="1134"/>
        <w:rPr>
          <w:rStyle w:val="default"/>
          <w:rFonts w:cs="FrankRuehl" w:hint="cs"/>
          <w:rtl/>
        </w:rPr>
      </w:pPr>
      <w:bookmarkStart w:id="0" w:name="Seif0"/>
      <w:bookmarkEnd w:id="0"/>
      <w:r>
        <w:rPr>
          <w:rFonts w:cs="Miriam"/>
          <w:lang w:val="he-IL"/>
        </w:rPr>
        <w:pict w14:anchorId="4F15D404">
          <v:rect id="_x0000_s1026" style="position:absolute;left:0;text-align:left;margin-left:463.5pt;margin-top:8.05pt;width:75.05pt;height:10pt;z-index:251656192" filled="f" stroked="f" strokecolor="lime" strokeweight=".25pt">
            <v:textbox style="mso-next-textbox:#_x0000_s1026" inset="1mm,0,1mm,0">
              <w:txbxContent>
                <w:p w14:paraId="434CA91C" w14:textId="77777777" w:rsidR="004E3E7A" w:rsidRDefault="004E3E7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6282C313" w14:textId="77777777" w:rsidR="004E3E7A" w:rsidRDefault="004E3E7A">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לרבות מי שהממונה הסמיכו לצורך אכיפת תקנות אלה;</w:t>
      </w:r>
    </w:p>
    <w:p w14:paraId="4D829BE0" w14:textId="77777777" w:rsidR="004E3E7A" w:rsidRDefault="004E3E7A">
      <w:pPr>
        <w:pStyle w:val="P00"/>
        <w:spacing w:before="72"/>
        <w:ind w:left="0" w:right="1134"/>
        <w:rPr>
          <w:rStyle w:val="default"/>
          <w:rFonts w:cs="FrankRuehl" w:hint="cs"/>
          <w:rtl/>
        </w:rPr>
      </w:pPr>
      <w:r>
        <w:rPr>
          <w:rStyle w:val="default"/>
          <w:rFonts w:cs="FrankRuehl" w:hint="cs"/>
          <w:rtl/>
        </w:rPr>
        <w:tab/>
        <w:t xml:space="preserve">"מנוע" </w:t>
      </w:r>
      <w:r>
        <w:rPr>
          <w:rStyle w:val="default"/>
          <w:rFonts w:cs="FrankRuehl"/>
          <w:rtl/>
        </w:rPr>
        <w:t>–</w:t>
      </w:r>
      <w:r>
        <w:rPr>
          <w:rStyle w:val="default"/>
          <w:rFonts w:cs="FrankRuehl" w:hint="cs"/>
          <w:rtl/>
        </w:rPr>
        <w:t xml:space="preserve"> מנוע השראה חשמלי אסינכרוני תלת-מופעי כלובי;</w:t>
      </w:r>
    </w:p>
    <w:p w14:paraId="26A2B066" w14:textId="77777777" w:rsidR="004E3E7A" w:rsidRDefault="004E3E7A">
      <w:pPr>
        <w:pStyle w:val="P00"/>
        <w:spacing w:before="72"/>
        <w:ind w:left="0" w:right="1134"/>
        <w:rPr>
          <w:rStyle w:val="default"/>
          <w:rFonts w:cs="FrankRuehl" w:hint="cs"/>
          <w:rtl/>
        </w:rPr>
      </w:pPr>
      <w:r>
        <w:rPr>
          <w:rStyle w:val="default"/>
          <w:rFonts w:cs="FrankRuehl" w:hint="cs"/>
          <w:rtl/>
        </w:rPr>
        <w:tab/>
        <w:t xml:space="preserve">"מעבדה מאושרת" </w:t>
      </w:r>
      <w:r>
        <w:rPr>
          <w:rStyle w:val="default"/>
          <w:rFonts w:cs="FrankRuehl"/>
          <w:rtl/>
        </w:rPr>
        <w:t>–</w:t>
      </w:r>
      <w:r>
        <w:rPr>
          <w:rStyle w:val="default"/>
          <w:rFonts w:cs="FrankRuehl" w:hint="cs"/>
          <w:rtl/>
        </w:rPr>
        <w:t xml:space="preserve"> כמשמעותה בסעיף 12 לחוק התקנים, התשי"ג-1953;</w:t>
      </w:r>
    </w:p>
    <w:p w14:paraId="4A561298" w14:textId="77777777" w:rsidR="004E3E7A" w:rsidRDefault="004E3E7A">
      <w:pPr>
        <w:pStyle w:val="P00"/>
        <w:spacing w:before="72"/>
        <w:ind w:left="0" w:right="1134"/>
        <w:rPr>
          <w:rStyle w:val="default"/>
          <w:rFonts w:cs="FrankRuehl" w:hint="cs"/>
          <w:rtl/>
        </w:rPr>
      </w:pPr>
      <w:r>
        <w:rPr>
          <w:rStyle w:val="default"/>
          <w:rFonts w:cs="FrankRuehl" w:hint="cs"/>
          <w:rtl/>
        </w:rPr>
        <w:tab/>
        <w:t xml:space="preserve">"נצילות" </w:t>
      </w:r>
      <w:r>
        <w:rPr>
          <w:rStyle w:val="default"/>
          <w:rFonts w:cs="FrankRuehl"/>
          <w:rtl/>
        </w:rPr>
        <w:t>–</w:t>
      </w:r>
      <w:r>
        <w:rPr>
          <w:rStyle w:val="default"/>
          <w:rFonts w:cs="FrankRuehl" w:hint="cs"/>
          <w:rtl/>
        </w:rPr>
        <w:t xml:space="preserve"> כהגדרתה בתקן;</w:t>
      </w:r>
    </w:p>
    <w:p w14:paraId="63142D61" w14:textId="77777777" w:rsidR="004E3E7A" w:rsidRDefault="004E3E7A">
      <w:pPr>
        <w:pStyle w:val="P00"/>
        <w:spacing w:before="72"/>
        <w:ind w:left="0" w:right="1134"/>
        <w:rPr>
          <w:rStyle w:val="default"/>
          <w:rFonts w:cs="FrankRuehl" w:hint="cs"/>
          <w:rtl/>
        </w:rPr>
      </w:pPr>
      <w:r>
        <w:rPr>
          <w:rStyle w:val="default"/>
          <w:rFonts w:cs="FrankRuehl" w:hint="cs"/>
          <w:rtl/>
        </w:rPr>
        <w:tab/>
        <w:t xml:space="preserve">"התקן" </w:t>
      </w:r>
      <w:r>
        <w:rPr>
          <w:rStyle w:val="default"/>
          <w:rFonts w:cs="FrankRuehl"/>
          <w:rtl/>
        </w:rPr>
        <w:t>–</w:t>
      </w:r>
      <w:r>
        <w:rPr>
          <w:rStyle w:val="default"/>
          <w:rFonts w:cs="FrankRuehl" w:hint="cs"/>
          <w:rtl/>
        </w:rPr>
        <w:t xml:space="preserve"> תקן ישראלי </w:t>
      </w:r>
      <w:r>
        <w:rPr>
          <w:rStyle w:val="default"/>
          <w:rFonts w:cs="FrankRuehl"/>
          <w:rtl/>
        </w:rPr>
        <w:t>–</w:t>
      </w:r>
      <w:r>
        <w:rPr>
          <w:rStyle w:val="default"/>
          <w:rFonts w:cs="FrankRuehl" w:hint="cs"/>
          <w:rtl/>
        </w:rPr>
        <w:t xml:space="preserve"> ת"י 5289 "נצילות אנרגיה של מנועי השראה חשמליים אסינכרוניים, תלת מופעיים, כלוביים", אשר מופקד לעיון הציבור במכון התקנים הישראלי, רח' חיים לבנון 42, תל אביב, וכן באגף ניהול משאבי תשתית, משרד התשתיות הלאומיות, רח' יפו 234, ירושלים.</w:t>
      </w:r>
    </w:p>
    <w:p w14:paraId="181DCC1D" w14:textId="77777777" w:rsidR="004E3E7A" w:rsidRDefault="004E3E7A">
      <w:pPr>
        <w:pStyle w:val="P00"/>
        <w:spacing w:before="72"/>
        <w:ind w:left="0" w:right="1134"/>
        <w:rPr>
          <w:rStyle w:val="default"/>
          <w:rFonts w:cs="FrankRuehl" w:hint="cs"/>
          <w:rtl/>
        </w:rPr>
      </w:pPr>
      <w:bookmarkStart w:id="1" w:name="Seif1"/>
      <w:bookmarkEnd w:id="1"/>
      <w:r>
        <w:rPr>
          <w:rFonts w:cs="Miriam"/>
          <w:lang w:val="he-IL"/>
        </w:rPr>
        <w:pict w14:anchorId="137377E5">
          <v:rect id="_x0000_s1082" style="position:absolute;left:0;text-align:left;margin-left:463.5pt;margin-top:8.05pt;width:75.05pt;height:14.1pt;z-index:251657216" filled="f" stroked="f" strokecolor="lime" strokeweight=".25pt">
            <v:textbox style="mso-next-textbox:#_x0000_s1082" inset="1mm,0,1mm,0">
              <w:txbxContent>
                <w:p w14:paraId="449122FF" w14:textId="77777777" w:rsidR="004E3E7A" w:rsidRDefault="004E3E7A">
                  <w:pPr>
                    <w:spacing w:line="160" w:lineRule="exact"/>
                    <w:rPr>
                      <w:rFonts w:cs="Miriam" w:hint="cs"/>
                      <w:noProof/>
                      <w:sz w:val="18"/>
                      <w:szCs w:val="18"/>
                      <w:rtl/>
                    </w:rPr>
                  </w:pPr>
                  <w:r>
                    <w:rPr>
                      <w:rFonts w:cs="Miriam" w:hint="cs"/>
                      <w:sz w:val="18"/>
                      <w:szCs w:val="18"/>
                      <w:rtl/>
                    </w:rPr>
                    <w:t>חובה לעמוד בתקן נצילות וסימון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לא ייבא אדם, לא ייצר ולא ימכור מנוע, אלא אם כן:</w:t>
      </w:r>
    </w:p>
    <w:p w14:paraId="4A2C4143" w14:textId="77777777" w:rsidR="004E3E7A" w:rsidRDefault="004E3E7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הוא עומד בנצילות המזערית המותאת על פי סעיף 3 </w:t>
      </w:r>
      <w:r>
        <w:rPr>
          <w:rStyle w:val="default"/>
          <w:rFonts w:cs="FrankRuehl"/>
          <w:rtl/>
        </w:rPr>
        <w:t>–</w:t>
      </w:r>
      <w:r>
        <w:rPr>
          <w:rStyle w:val="default"/>
          <w:rFonts w:cs="FrankRuehl" w:hint="cs"/>
          <w:rtl/>
        </w:rPr>
        <w:t xml:space="preserve"> "נצילות" </w:t>
      </w:r>
      <w:r>
        <w:rPr>
          <w:rStyle w:val="default"/>
          <w:rFonts w:cs="FrankRuehl"/>
          <w:rtl/>
        </w:rPr>
        <w:t>–</w:t>
      </w:r>
      <w:r>
        <w:rPr>
          <w:rStyle w:val="default"/>
          <w:rFonts w:cs="FrankRuehl" w:hint="cs"/>
          <w:rtl/>
        </w:rPr>
        <w:t xml:space="preserve"> שבתקן;</w:t>
      </w:r>
    </w:p>
    <w:p w14:paraId="1ED0812E" w14:textId="77777777" w:rsidR="004E3E7A" w:rsidRDefault="004E3E7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הוא סומן כנדרש לפי הפרק "סימון" שבתקן;</w:t>
      </w:r>
    </w:p>
    <w:p w14:paraId="3FF89362" w14:textId="77777777" w:rsidR="004E3E7A" w:rsidRDefault="004E3E7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הוא נבדק במעבדה מאושרת, והועברו לממונה, על ידי היצרן או היבואן, נתוני הסימון כאמור בפרק "סימון" שבתקן.</w:t>
      </w:r>
    </w:p>
    <w:p w14:paraId="3E3AEFFE" w14:textId="77777777" w:rsidR="004E3E7A" w:rsidRDefault="004E3E7A">
      <w:pPr>
        <w:pStyle w:val="P00"/>
        <w:spacing w:before="72"/>
        <w:ind w:left="0" w:right="1134"/>
        <w:rPr>
          <w:rStyle w:val="default"/>
          <w:rFonts w:cs="FrankRuehl" w:hint="cs"/>
          <w:rtl/>
        </w:rPr>
      </w:pPr>
      <w:bookmarkStart w:id="2" w:name="Seif2"/>
      <w:bookmarkEnd w:id="2"/>
      <w:r>
        <w:rPr>
          <w:rFonts w:cs="Miriam"/>
          <w:lang w:val="he-IL"/>
        </w:rPr>
        <w:pict w14:anchorId="4FCB48E2">
          <v:rect id="_x0000_s1130" style="position:absolute;left:0;text-align:left;margin-left:463.5pt;margin-top:8.05pt;width:75.05pt;height:10pt;z-index:251658240" filled="f" stroked="f" strokecolor="lime" strokeweight=".25pt">
            <v:textbox style="mso-next-textbox:#_x0000_s1130" inset="1mm,0,1mm,0">
              <w:txbxContent>
                <w:p w14:paraId="20C3ED6C" w14:textId="77777777" w:rsidR="004E3E7A" w:rsidRDefault="004E3E7A">
                  <w:pPr>
                    <w:spacing w:line="160" w:lineRule="exact"/>
                    <w:rPr>
                      <w:rFonts w:cs="Miriam" w:hint="cs"/>
                      <w:noProof/>
                      <w:sz w:val="18"/>
                      <w:szCs w:val="18"/>
                      <w:rtl/>
                    </w:rPr>
                  </w:pPr>
                  <w:r>
                    <w:rPr>
                      <w:rFonts w:cs="Miriam" w:hint="cs"/>
                      <w:sz w:val="18"/>
                      <w:szCs w:val="18"/>
                      <w:rtl/>
                    </w:rPr>
                    <w:t>ביקורת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הממונה רשאי, בכל עת סבירה, להיכנס לכל מקום שמייצרים או מוכרים בו מנועים כדי לוודא את קיום תקנות אלה.</w:t>
      </w:r>
    </w:p>
    <w:p w14:paraId="7615B17F" w14:textId="77777777" w:rsidR="004E3E7A" w:rsidRDefault="004E3E7A">
      <w:pPr>
        <w:pStyle w:val="P00"/>
        <w:spacing w:before="72"/>
        <w:ind w:left="0" w:right="1134"/>
        <w:rPr>
          <w:rStyle w:val="default"/>
          <w:rFonts w:cs="FrankRuehl" w:hint="cs"/>
          <w:rtl/>
        </w:rPr>
      </w:pPr>
      <w:bookmarkStart w:id="3" w:name="Seif3"/>
      <w:bookmarkEnd w:id="3"/>
      <w:r>
        <w:rPr>
          <w:rFonts w:cs="Miriam"/>
          <w:lang w:val="he-IL"/>
        </w:rPr>
        <w:pict w14:anchorId="44B7E4E3">
          <v:rect id="_x0000_s1131" style="position:absolute;left:0;text-align:left;margin-left:463.5pt;margin-top:8.05pt;width:75.05pt;height:10pt;z-index:251659264" filled="f" stroked="f" strokecolor="lime" strokeweight=".25pt">
            <v:textbox style="mso-next-textbox:#_x0000_s1131" inset="1mm,0,1mm,0">
              <w:txbxContent>
                <w:p w14:paraId="22CF2A35" w14:textId="77777777" w:rsidR="004E3E7A" w:rsidRDefault="004E3E7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תשעה חודשים מיום פרסומן.</w:t>
      </w:r>
    </w:p>
    <w:p w14:paraId="39474741" w14:textId="77777777" w:rsidR="004E3E7A" w:rsidRDefault="004E3E7A">
      <w:pPr>
        <w:pStyle w:val="P00"/>
        <w:spacing w:before="72"/>
        <w:ind w:left="0" w:right="1134"/>
        <w:rPr>
          <w:rStyle w:val="default"/>
          <w:rFonts w:cs="FrankRuehl" w:hint="cs"/>
          <w:rtl/>
        </w:rPr>
      </w:pPr>
    </w:p>
    <w:p w14:paraId="7E8554A9" w14:textId="77777777" w:rsidR="004E3E7A" w:rsidRDefault="004E3E7A">
      <w:pPr>
        <w:pStyle w:val="P00"/>
        <w:spacing w:before="72"/>
        <w:ind w:left="0" w:right="1134"/>
        <w:rPr>
          <w:rStyle w:val="default"/>
          <w:rFonts w:cs="FrankRuehl" w:hint="cs"/>
          <w:rtl/>
        </w:rPr>
      </w:pPr>
    </w:p>
    <w:p w14:paraId="5C0DE59B" w14:textId="77777777" w:rsidR="004E3E7A" w:rsidRDefault="004E3E7A">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ה' בשבט התשס"ד (28 בינואר 2004)</w:t>
      </w:r>
    </w:p>
    <w:p w14:paraId="1C2E6239" w14:textId="77777777" w:rsidR="004E3E7A" w:rsidRDefault="004E3E7A">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ab/>
        <w:t>יוסף פריצקי</w:t>
      </w:r>
    </w:p>
    <w:p w14:paraId="3A7AE24C" w14:textId="77777777" w:rsidR="004E3E7A" w:rsidRDefault="004E3E7A">
      <w:pPr>
        <w:pStyle w:val="sig-1"/>
        <w:widowControl/>
        <w:tabs>
          <w:tab w:val="clear" w:pos="851"/>
          <w:tab w:val="clear" w:pos="2835"/>
          <w:tab w:val="clear" w:pos="4820"/>
          <w:tab w:val="center" w:pos="4536"/>
        </w:tabs>
        <w:ind w:left="0" w:right="1134"/>
        <w:rPr>
          <w:rFonts w:cs="FrankRuehl" w:hint="cs"/>
          <w:sz w:val="22"/>
          <w:rtl/>
        </w:rPr>
      </w:pPr>
      <w:r>
        <w:rPr>
          <w:rFonts w:cs="FrankRuehl" w:hint="cs"/>
          <w:sz w:val="22"/>
          <w:rtl/>
        </w:rPr>
        <w:tab/>
        <w:t>שר התשתיות הלאומיות</w:t>
      </w:r>
    </w:p>
    <w:p w14:paraId="1748634A" w14:textId="77777777" w:rsidR="004E3E7A" w:rsidRDefault="004E3E7A">
      <w:pPr>
        <w:pStyle w:val="sig-1"/>
        <w:widowControl/>
        <w:tabs>
          <w:tab w:val="clear" w:pos="851"/>
          <w:tab w:val="clear" w:pos="2835"/>
          <w:tab w:val="clear" w:pos="4820"/>
          <w:tab w:val="center" w:pos="4536"/>
        </w:tabs>
        <w:ind w:left="0" w:right="1134"/>
        <w:rPr>
          <w:rFonts w:cs="FrankRuehl" w:hint="cs"/>
          <w:sz w:val="22"/>
          <w:rtl/>
        </w:rPr>
      </w:pPr>
    </w:p>
    <w:sectPr w:rsidR="004E3E7A">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82F2" w14:textId="77777777" w:rsidR="009775AA" w:rsidRDefault="009775AA">
      <w:r>
        <w:separator/>
      </w:r>
    </w:p>
  </w:endnote>
  <w:endnote w:type="continuationSeparator" w:id="0">
    <w:p w14:paraId="26AB801A" w14:textId="77777777" w:rsidR="009775AA" w:rsidRDefault="0097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045E" w14:textId="77777777" w:rsidR="004E3E7A" w:rsidRDefault="004E3E7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F07E10" w14:textId="77777777" w:rsidR="004E3E7A" w:rsidRDefault="004E3E7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2105A6" w14:textId="77777777" w:rsidR="004E3E7A" w:rsidRDefault="004E3E7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C:\Yael\hakika\Revadim\999_259.doc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47FF" w14:textId="77777777" w:rsidR="004E3E7A" w:rsidRDefault="004E3E7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7697">
      <w:rPr>
        <w:rFonts w:hAnsi="FrankRuehl" w:cs="FrankRuehl"/>
        <w:noProof/>
        <w:sz w:val="24"/>
        <w:szCs w:val="24"/>
        <w:rtl/>
      </w:rPr>
      <w:t>2</w:t>
    </w:r>
    <w:r>
      <w:rPr>
        <w:rFonts w:hAnsi="FrankRuehl" w:cs="FrankRuehl"/>
        <w:sz w:val="24"/>
        <w:szCs w:val="24"/>
        <w:rtl/>
      </w:rPr>
      <w:fldChar w:fldCharType="end"/>
    </w:r>
  </w:p>
  <w:p w14:paraId="18E1CFDD" w14:textId="77777777" w:rsidR="004E3E7A" w:rsidRDefault="004E3E7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F01D0A" w14:textId="77777777" w:rsidR="004E3E7A" w:rsidRDefault="004E3E7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C:\Yael\hakika\Revadim\999_259.doc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4A9B0" w14:textId="77777777" w:rsidR="009775AA" w:rsidRDefault="009775AA">
      <w:r>
        <w:separator/>
      </w:r>
    </w:p>
  </w:footnote>
  <w:footnote w:type="continuationSeparator" w:id="0">
    <w:p w14:paraId="0E0890B1" w14:textId="77777777" w:rsidR="009775AA" w:rsidRDefault="009775AA">
      <w:r>
        <w:continuationSeparator/>
      </w:r>
    </w:p>
  </w:footnote>
  <w:footnote w:id="1">
    <w:p w14:paraId="68E42D2E" w14:textId="77777777" w:rsidR="004E3E7A" w:rsidRDefault="004E3E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תשס"ד מס' 6292</w:t>
        </w:r>
      </w:hyperlink>
      <w:r>
        <w:rPr>
          <w:rFonts w:cs="FrankRuehl" w:hint="cs"/>
          <w:rtl/>
        </w:rPr>
        <w:t xml:space="preserve"> מיום 15.2.2004 עמ' 245</w:t>
      </w:r>
      <w:r w:rsidRPr="00777947">
        <w:rPr>
          <w:rFonts w:cs="FrankRuehl" w:hint="cs"/>
          <w:strike/>
          <w:highlight w:val="cyan"/>
          <w:rtl/>
        </w:rPr>
        <w:t>; תחילתן תשעה חודשים מיום פרסומן</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7CBA" w14:textId="77777777" w:rsidR="004E3E7A" w:rsidRDefault="004E3E7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EF4DA16" w14:textId="77777777" w:rsidR="004E3E7A" w:rsidRDefault="004E3E7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5F7B1F" w14:textId="77777777" w:rsidR="004E3E7A" w:rsidRDefault="004E3E7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565A" w14:textId="77777777" w:rsidR="004E3E7A" w:rsidRDefault="004E3E7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מקורות אנרגיה (נצילות אנרגיה של מנועי השראה חשמליים), תשס"ד-2004</w:t>
    </w:r>
  </w:p>
  <w:p w14:paraId="6D2BBE0B" w14:textId="77777777" w:rsidR="004E3E7A" w:rsidRDefault="004E3E7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2695DF" w14:textId="77777777" w:rsidR="004E3E7A" w:rsidRDefault="004E3E7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6758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7947"/>
    <w:rsid w:val="004E3E7A"/>
    <w:rsid w:val="005D71B8"/>
    <w:rsid w:val="00677697"/>
    <w:rsid w:val="00777947"/>
    <w:rsid w:val="007B2972"/>
    <w:rsid w:val="00967DEB"/>
    <w:rsid w:val="009775AA"/>
    <w:rsid w:val="00A93D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6D241E3"/>
  <w15:chartTrackingRefBased/>
  <w15:docId w15:val="{FD9319CC-3BDF-4980-8196-A8CCF1A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1689</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7733256</vt:i4>
      </vt:variant>
      <vt:variant>
        <vt:i4>0</vt:i4>
      </vt:variant>
      <vt:variant>
        <vt:i4>0</vt:i4>
      </vt:variant>
      <vt:variant>
        <vt:i4>5</vt:i4>
      </vt:variant>
      <vt:variant>
        <vt:lpwstr>http://www.nevo.co.il/Law_word/law06/TAK-6292.pdf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מקורות אנרגיה (נצילות אנרגיה של מנועי השראה חשמליים), תשס"ד-2004</vt:lpwstr>
  </property>
  <property fmtid="{D5CDD505-2E9C-101B-9397-08002B2CF9AE}" pid="4" name="LAWNUMBER">
    <vt:lpwstr>0259</vt:lpwstr>
  </property>
  <property fmtid="{D5CDD505-2E9C-101B-9397-08002B2CF9AE}" pid="5" name="TYPE">
    <vt:lpwstr>01</vt:lpwstr>
  </property>
  <property fmtid="{D5CDD505-2E9C-101B-9397-08002B2CF9AE}" pid="6" name="CHNAME">
    <vt:lpwstr>תשתיות</vt:lpwstr>
  </property>
  <property fmtid="{D5CDD505-2E9C-101B-9397-08002B2CF9AE}" pid="7" name="MEKOR_NAME1">
    <vt:lpwstr>חוק מקורות אנרגיה</vt:lpwstr>
  </property>
  <property fmtid="{D5CDD505-2E9C-101B-9397-08002B2CF9AE}" pid="8" name="MEKOR_SAIF1">
    <vt:lpwstr>3X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אנרגיה</vt:lpwstr>
  </property>
  <property fmtid="{D5CDD505-2E9C-101B-9397-08002B2CF9AE}" pid="12" name="NOSE41">
    <vt:lpwstr>מקורות אנרגיה</vt:lpwstr>
  </property>
  <property fmtid="{D5CDD505-2E9C-101B-9397-08002B2CF9AE}" pid="13" name="NOSE12">
    <vt:lpwstr>רשויות ומשפט מנהלי</vt:lpwstr>
  </property>
  <property fmtid="{D5CDD505-2E9C-101B-9397-08002B2CF9AE}" pid="14" name="NOSE22">
    <vt:lpwstr>תשתיות</vt:lpwstr>
  </property>
  <property fmtid="{D5CDD505-2E9C-101B-9397-08002B2CF9AE}" pid="15" name="NOSE32">
    <vt:lpwstr>חשמל</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