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0189" w14:textId="77777777" w:rsidR="00D92F79" w:rsidRDefault="00D92F79" w:rsidP="00561B38">
      <w:pPr>
        <w:pStyle w:val="big-header"/>
        <w:ind w:left="0" w:right="1134"/>
        <w:rPr>
          <w:lang w:eastAsia="en-US"/>
        </w:rPr>
      </w:pPr>
      <w:r>
        <w:rPr>
          <w:rFonts w:hint="cs"/>
          <w:rtl/>
          <w:lang w:eastAsia="en-US"/>
        </w:rPr>
        <w:t>תקנות מקרקעי ציבור (</w:t>
      </w:r>
      <w:r w:rsidR="00561B38">
        <w:rPr>
          <w:rFonts w:hint="cs"/>
          <w:rtl/>
          <w:lang w:eastAsia="en-US"/>
        </w:rPr>
        <w:t>פינוי קרקע</w:t>
      </w:r>
      <w:r>
        <w:rPr>
          <w:rFonts w:hint="cs"/>
          <w:rtl/>
          <w:lang w:eastAsia="en-US"/>
        </w:rPr>
        <w:t>) (ביצוע צו), תשס"ה-2005</w:t>
      </w:r>
    </w:p>
    <w:p w14:paraId="7401E75E" w14:textId="77777777" w:rsidR="00150328" w:rsidRPr="00150328" w:rsidRDefault="00150328" w:rsidP="00150328">
      <w:pPr>
        <w:spacing w:line="320" w:lineRule="auto"/>
        <w:jc w:val="left"/>
        <w:rPr>
          <w:rFonts w:cs="FrankRuehl"/>
          <w:szCs w:val="26"/>
          <w:rtl/>
          <w:lang w:eastAsia="en-US"/>
        </w:rPr>
      </w:pPr>
    </w:p>
    <w:p w14:paraId="0815F212" w14:textId="77777777" w:rsidR="00150328" w:rsidRDefault="00150328" w:rsidP="00150328">
      <w:pPr>
        <w:spacing w:line="320" w:lineRule="auto"/>
        <w:jc w:val="left"/>
        <w:rPr>
          <w:rtl/>
          <w:lang w:eastAsia="en-US"/>
        </w:rPr>
      </w:pPr>
    </w:p>
    <w:p w14:paraId="4CF445D3" w14:textId="77777777" w:rsidR="00150328" w:rsidRPr="00150328" w:rsidRDefault="00150328" w:rsidP="00150328">
      <w:pPr>
        <w:spacing w:line="320" w:lineRule="auto"/>
        <w:jc w:val="left"/>
        <w:rPr>
          <w:rFonts w:cs="Miriam"/>
          <w:szCs w:val="22"/>
          <w:rtl/>
          <w:lang w:eastAsia="en-US"/>
        </w:rPr>
      </w:pPr>
      <w:r w:rsidRPr="00150328">
        <w:rPr>
          <w:rFonts w:cs="Miriam"/>
          <w:szCs w:val="22"/>
          <w:rtl/>
          <w:lang w:eastAsia="en-US"/>
        </w:rPr>
        <w:t>משפט פרטי וכלכלה</w:t>
      </w:r>
      <w:r w:rsidRPr="00150328">
        <w:rPr>
          <w:rFonts w:cs="FrankRuehl"/>
          <w:szCs w:val="26"/>
          <w:rtl/>
          <w:lang w:eastAsia="en-US"/>
        </w:rPr>
        <w:t xml:space="preserve"> – קניין – מקרקעין – מקרקעי ציבור</w:t>
      </w:r>
    </w:p>
    <w:p w14:paraId="52278CB6" w14:textId="77777777" w:rsidR="00D92F79" w:rsidRDefault="00D92F79">
      <w:pPr>
        <w:pStyle w:val="big-header"/>
        <w:ind w:left="0" w:right="1134"/>
        <w:rPr>
          <w:rStyle w:val="default"/>
          <w:rFonts w:cs="FrankRuehl" w:hint="cs"/>
          <w:rtl/>
          <w:lang w:eastAsia="en-US"/>
        </w:rPr>
      </w:pPr>
      <w:r>
        <w:rPr>
          <w:rFonts w:hint="cs"/>
          <w:rtl/>
          <w:lang w:eastAsia="en-US"/>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92F79" w14:paraId="0FC003A2" w14:textId="77777777">
        <w:tblPrEx>
          <w:tblCellMar>
            <w:top w:w="0" w:type="dxa"/>
            <w:bottom w:w="0" w:type="dxa"/>
          </w:tblCellMar>
        </w:tblPrEx>
        <w:trPr>
          <w:jc w:val="right"/>
        </w:trPr>
        <w:tc>
          <w:tcPr>
            <w:tcW w:w="850" w:type="dxa"/>
          </w:tcPr>
          <w:p w14:paraId="524E12E2"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Seif0</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1837501B" w14:textId="77777777" w:rsidR="00D92F79" w:rsidRDefault="00D92F79">
            <w:pPr>
              <w:spacing w:line="240" w:lineRule="auto"/>
              <w:jc w:val="left"/>
              <w:rPr>
                <w:rFonts w:hint="cs"/>
                <w:sz w:val="24"/>
                <w:lang w:eastAsia="en-US"/>
              </w:rPr>
            </w:pPr>
            <w:hyperlink w:anchor="Seif0" w:tooltip="ביצוע צו" w:history="1">
              <w:r>
                <w:rPr>
                  <w:rStyle w:val="Hyperlink"/>
                </w:rPr>
                <w:t>Go</w:t>
              </w:r>
            </w:hyperlink>
          </w:p>
        </w:tc>
        <w:tc>
          <w:tcPr>
            <w:tcW w:w="5669" w:type="dxa"/>
          </w:tcPr>
          <w:p w14:paraId="1D08D3C8" w14:textId="77777777" w:rsidR="00D92F79" w:rsidRDefault="00D92F79">
            <w:pPr>
              <w:spacing w:line="240" w:lineRule="auto"/>
              <w:jc w:val="left"/>
              <w:rPr>
                <w:sz w:val="24"/>
                <w:rtl/>
                <w:lang w:eastAsia="en-US"/>
              </w:rPr>
            </w:pPr>
            <w:r>
              <w:rPr>
                <w:sz w:val="24"/>
                <w:rtl/>
                <w:lang w:eastAsia="en-US"/>
              </w:rPr>
              <w:t>ביצוע צו</w:t>
            </w:r>
          </w:p>
        </w:tc>
        <w:tc>
          <w:tcPr>
            <w:tcW w:w="1247" w:type="dxa"/>
          </w:tcPr>
          <w:p w14:paraId="76B16D6E" w14:textId="77777777" w:rsidR="00D92F79" w:rsidRDefault="00D92F79">
            <w:pPr>
              <w:spacing w:line="240" w:lineRule="auto"/>
              <w:jc w:val="left"/>
              <w:rPr>
                <w:rFonts w:hint="cs"/>
                <w:sz w:val="24"/>
                <w:lang w:eastAsia="en-US"/>
              </w:rPr>
            </w:pPr>
            <w:r>
              <w:rPr>
                <w:sz w:val="24"/>
                <w:rtl/>
                <w:lang w:eastAsia="en-US"/>
              </w:rPr>
              <w:t xml:space="preserve">סעיף 1 </w:t>
            </w:r>
          </w:p>
        </w:tc>
      </w:tr>
      <w:tr w:rsidR="00D92F79" w14:paraId="676E1426" w14:textId="77777777">
        <w:tblPrEx>
          <w:tblCellMar>
            <w:top w:w="0" w:type="dxa"/>
            <w:bottom w:w="0" w:type="dxa"/>
          </w:tblCellMar>
        </w:tblPrEx>
        <w:trPr>
          <w:jc w:val="right"/>
        </w:trPr>
        <w:tc>
          <w:tcPr>
            <w:tcW w:w="850" w:type="dxa"/>
          </w:tcPr>
          <w:p w14:paraId="54581C44"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5341424E" w14:textId="77777777" w:rsidR="00D92F79" w:rsidRDefault="00D92F79">
            <w:pPr>
              <w:spacing w:line="240" w:lineRule="auto"/>
              <w:jc w:val="left"/>
              <w:rPr>
                <w:rFonts w:hint="cs"/>
                <w:sz w:val="24"/>
                <w:lang w:eastAsia="en-US"/>
              </w:rPr>
            </w:pPr>
            <w:hyperlink w:anchor="Seif1" w:tooltip="טיפול במיטלטלין" w:history="1">
              <w:r>
                <w:rPr>
                  <w:rStyle w:val="Hyperlink"/>
                </w:rPr>
                <w:t>Go</w:t>
              </w:r>
            </w:hyperlink>
          </w:p>
        </w:tc>
        <w:tc>
          <w:tcPr>
            <w:tcW w:w="5669" w:type="dxa"/>
          </w:tcPr>
          <w:p w14:paraId="09998FDE" w14:textId="77777777" w:rsidR="00D92F79" w:rsidRDefault="00D92F79">
            <w:pPr>
              <w:spacing w:line="240" w:lineRule="auto"/>
              <w:jc w:val="left"/>
              <w:rPr>
                <w:sz w:val="24"/>
                <w:rtl/>
                <w:lang w:eastAsia="en-US"/>
              </w:rPr>
            </w:pPr>
            <w:r>
              <w:rPr>
                <w:sz w:val="24"/>
                <w:rtl/>
                <w:lang w:eastAsia="en-US"/>
              </w:rPr>
              <w:t>טיפול במיטלטלין</w:t>
            </w:r>
          </w:p>
        </w:tc>
        <w:tc>
          <w:tcPr>
            <w:tcW w:w="1247" w:type="dxa"/>
          </w:tcPr>
          <w:p w14:paraId="6330EFD8" w14:textId="77777777" w:rsidR="00D92F79" w:rsidRDefault="00D92F79">
            <w:pPr>
              <w:spacing w:line="240" w:lineRule="auto"/>
              <w:jc w:val="left"/>
              <w:rPr>
                <w:rFonts w:hint="cs"/>
                <w:sz w:val="24"/>
                <w:lang w:eastAsia="en-US"/>
              </w:rPr>
            </w:pPr>
            <w:r>
              <w:rPr>
                <w:sz w:val="24"/>
                <w:rtl/>
                <w:lang w:eastAsia="en-US"/>
              </w:rPr>
              <w:t xml:space="preserve">סעיף 2 </w:t>
            </w:r>
          </w:p>
        </w:tc>
      </w:tr>
      <w:tr w:rsidR="00D92F79" w14:paraId="0C5F481B" w14:textId="77777777">
        <w:tblPrEx>
          <w:tblCellMar>
            <w:top w:w="0" w:type="dxa"/>
            <w:bottom w:w="0" w:type="dxa"/>
          </w:tblCellMar>
        </w:tblPrEx>
        <w:trPr>
          <w:jc w:val="right"/>
        </w:trPr>
        <w:tc>
          <w:tcPr>
            <w:tcW w:w="850" w:type="dxa"/>
          </w:tcPr>
          <w:p w14:paraId="0507D81D"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18FA9001" w14:textId="77777777" w:rsidR="00D92F79" w:rsidRDefault="00D92F79">
            <w:pPr>
              <w:spacing w:line="240" w:lineRule="auto"/>
              <w:jc w:val="left"/>
              <w:rPr>
                <w:rFonts w:hint="cs"/>
                <w:sz w:val="24"/>
                <w:lang w:eastAsia="en-US"/>
              </w:rPr>
            </w:pPr>
            <w:hyperlink w:anchor="Seif2" w:tooltip="פתיחת מקרקעין נעולים" w:history="1">
              <w:r>
                <w:rPr>
                  <w:rStyle w:val="Hyperlink"/>
                </w:rPr>
                <w:t>Go</w:t>
              </w:r>
            </w:hyperlink>
          </w:p>
        </w:tc>
        <w:tc>
          <w:tcPr>
            <w:tcW w:w="5669" w:type="dxa"/>
          </w:tcPr>
          <w:p w14:paraId="5F732411" w14:textId="77777777" w:rsidR="00D92F79" w:rsidRDefault="00D92F79">
            <w:pPr>
              <w:spacing w:line="240" w:lineRule="auto"/>
              <w:jc w:val="left"/>
              <w:rPr>
                <w:sz w:val="24"/>
                <w:rtl/>
                <w:lang w:eastAsia="en-US"/>
              </w:rPr>
            </w:pPr>
            <w:r>
              <w:rPr>
                <w:sz w:val="24"/>
                <w:rtl/>
                <w:lang w:eastAsia="en-US"/>
              </w:rPr>
              <w:t>פתיחת מקרקעין נעולים</w:t>
            </w:r>
          </w:p>
        </w:tc>
        <w:tc>
          <w:tcPr>
            <w:tcW w:w="1247" w:type="dxa"/>
          </w:tcPr>
          <w:p w14:paraId="5F3B98BC" w14:textId="77777777" w:rsidR="00D92F79" w:rsidRDefault="00D92F79">
            <w:pPr>
              <w:spacing w:line="240" w:lineRule="auto"/>
              <w:jc w:val="left"/>
              <w:rPr>
                <w:rFonts w:hint="cs"/>
                <w:sz w:val="24"/>
                <w:lang w:eastAsia="en-US"/>
              </w:rPr>
            </w:pPr>
            <w:r>
              <w:rPr>
                <w:sz w:val="24"/>
                <w:rtl/>
                <w:lang w:eastAsia="en-US"/>
              </w:rPr>
              <w:t xml:space="preserve">סעיף 3 </w:t>
            </w:r>
          </w:p>
        </w:tc>
      </w:tr>
      <w:tr w:rsidR="00D92F79" w14:paraId="7F14F1F6" w14:textId="77777777">
        <w:tblPrEx>
          <w:tblCellMar>
            <w:top w:w="0" w:type="dxa"/>
            <w:bottom w:w="0" w:type="dxa"/>
          </w:tblCellMar>
        </w:tblPrEx>
        <w:trPr>
          <w:jc w:val="right"/>
        </w:trPr>
        <w:tc>
          <w:tcPr>
            <w:tcW w:w="850" w:type="dxa"/>
          </w:tcPr>
          <w:p w14:paraId="3E5DE530"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Seif3</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332E30D0" w14:textId="77777777" w:rsidR="00D92F79" w:rsidRDefault="00D92F79">
            <w:pPr>
              <w:spacing w:line="240" w:lineRule="auto"/>
              <w:jc w:val="left"/>
              <w:rPr>
                <w:rFonts w:hint="cs"/>
                <w:sz w:val="24"/>
                <w:lang w:eastAsia="en-US"/>
              </w:rPr>
            </w:pPr>
            <w:hyperlink w:anchor="Seif3" w:tooltip="טיפול במחוברים" w:history="1">
              <w:r>
                <w:rPr>
                  <w:rStyle w:val="Hyperlink"/>
                </w:rPr>
                <w:t>Go</w:t>
              </w:r>
            </w:hyperlink>
          </w:p>
        </w:tc>
        <w:tc>
          <w:tcPr>
            <w:tcW w:w="5669" w:type="dxa"/>
          </w:tcPr>
          <w:p w14:paraId="0E137541" w14:textId="77777777" w:rsidR="00D92F79" w:rsidRDefault="00D92F79">
            <w:pPr>
              <w:spacing w:line="240" w:lineRule="auto"/>
              <w:jc w:val="left"/>
              <w:rPr>
                <w:sz w:val="24"/>
                <w:rtl/>
                <w:lang w:eastAsia="en-US"/>
              </w:rPr>
            </w:pPr>
            <w:r>
              <w:rPr>
                <w:sz w:val="24"/>
                <w:rtl/>
                <w:lang w:eastAsia="en-US"/>
              </w:rPr>
              <w:t>טיפול במחוברים</w:t>
            </w:r>
          </w:p>
        </w:tc>
        <w:tc>
          <w:tcPr>
            <w:tcW w:w="1247" w:type="dxa"/>
          </w:tcPr>
          <w:p w14:paraId="1B86025A" w14:textId="77777777" w:rsidR="00D92F79" w:rsidRDefault="00D92F79">
            <w:pPr>
              <w:spacing w:line="240" w:lineRule="auto"/>
              <w:jc w:val="left"/>
              <w:rPr>
                <w:rFonts w:hint="cs"/>
                <w:sz w:val="24"/>
                <w:lang w:eastAsia="en-US"/>
              </w:rPr>
            </w:pPr>
            <w:r>
              <w:rPr>
                <w:sz w:val="24"/>
                <w:rtl/>
                <w:lang w:eastAsia="en-US"/>
              </w:rPr>
              <w:t xml:space="preserve">סעיף 4 </w:t>
            </w:r>
          </w:p>
        </w:tc>
      </w:tr>
      <w:tr w:rsidR="00D92F79" w14:paraId="25C29E28" w14:textId="77777777">
        <w:tblPrEx>
          <w:tblCellMar>
            <w:top w:w="0" w:type="dxa"/>
            <w:bottom w:w="0" w:type="dxa"/>
          </w:tblCellMar>
        </w:tblPrEx>
        <w:trPr>
          <w:jc w:val="right"/>
        </w:trPr>
        <w:tc>
          <w:tcPr>
            <w:tcW w:w="850" w:type="dxa"/>
          </w:tcPr>
          <w:p w14:paraId="61935E34"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Seif4</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6D91EA32" w14:textId="77777777" w:rsidR="00D92F79" w:rsidRDefault="00D92F79">
            <w:pPr>
              <w:spacing w:line="240" w:lineRule="auto"/>
              <w:jc w:val="left"/>
              <w:rPr>
                <w:rFonts w:hint="cs"/>
                <w:sz w:val="24"/>
                <w:lang w:eastAsia="en-US"/>
              </w:rPr>
            </w:pPr>
            <w:hyperlink w:anchor="Seif4" w:tooltip="אי נוכחות התופס   לא תעכב" w:history="1">
              <w:r>
                <w:rPr>
                  <w:rStyle w:val="Hyperlink"/>
                </w:rPr>
                <w:t>Go</w:t>
              </w:r>
            </w:hyperlink>
          </w:p>
        </w:tc>
        <w:tc>
          <w:tcPr>
            <w:tcW w:w="5669" w:type="dxa"/>
          </w:tcPr>
          <w:p w14:paraId="11D2834B" w14:textId="77777777" w:rsidR="00D92F79" w:rsidRDefault="00D92F79">
            <w:pPr>
              <w:spacing w:line="240" w:lineRule="auto"/>
              <w:jc w:val="left"/>
              <w:rPr>
                <w:sz w:val="24"/>
                <w:rtl/>
                <w:lang w:eastAsia="en-US"/>
              </w:rPr>
            </w:pPr>
            <w:r>
              <w:rPr>
                <w:sz w:val="24"/>
                <w:rtl/>
                <w:lang w:eastAsia="en-US"/>
              </w:rPr>
              <w:t>אי נוכחות התופס   לא תעכב</w:t>
            </w:r>
          </w:p>
        </w:tc>
        <w:tc>
          <w:tcPr>
            <w:tcW w:w="1247" w:type="dxa"/>
          </w:tcPr>
          <w:p w14:paraId="540382ED" w14:textId="77777777" w:rsidR="00D92F79" w:rsidRDefault="00D92F79">
            <w:pPr>
              <w:spacing w:line="240" w:lineRule="auto"/>
              <w:jc w:val="left"/>
              <w:rPr>
                <w:rFonts w:hint="cs"/>
                <w:sz w:val="24"/>
                <w:lang w:eastAsia="en-US"/>
              </w:rPr>
            </w:pPr>
            <w:r>
              <w:rPr>
                <w:sz w:val="24"/>
                <w:rtl/>
                <w:lang w:eastAsia="en-US"/>
              </w:rPr>
              <w:t xml:space="preserve">סעיף 5 </w:t>
            </w:r>
          </w:p>
        </w:tc>
      </w:tr>
      <w:tr w:rsidR="00D92F79" w14:paraId="68616F4C" w14:textId="77777777">
        <w:tblPrEx>
          <w:tblCellMar>
            <w:top w:w="0" w:type="dxa"/>
            <w:bottom w:w="0" w:type="dxa"/>
          </w:tblCellMar>
        </w:tblPrEx>
        <w:trPr>
          <w:jc w:val="right"/>
        </w:trPr>
        <w:tc>
          <w:tcPr>
            <w:tcW w:w="850" w:type="dxa"/>
          </w:tcPr>
          <w:p w14:paraId="363A3920"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Seif5</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72AE5D3C" w14:textId="77777777" w:rsidR="00D92F79" w:rsidRDefault="00D92F79">
            <w:pPr>
              <w:spacing w:line="240" w:lineRule="auto"/>
              <w:jc w:val="left"/>
              <w:rPr>
                <w:rFonts w:hint="cs"/>
                <w:sz w:val="24"/>
                <w:lang w:eastAsia="en-US"/>
              </w:rPr>
            </w:pPr>
            <w:hyperlink w:anchor="Seif5" w:tooltip="דין וחשבון" w:history="1">
              <w:r>
                <w:rPr>
                  <w:rStyle w:val="Hyperlink"/>
                </w:rPr>
                <w:t>Go</w:t>
              </w:r>
            </w:hyperlink>
          </w:p>
        </w:tc>
        <w:tc>
          <w:tcPr>
            <w:tcW w:w="5669" w:type="dxa"/>
          </w:tcPr>
          <w:p w14:paraId="263BB41F" w14:textId="77777777" w:rsidR="00D92F79" w:rsidRDefault="00D92F79">
            <w:pPr>
              <w:spacing w:line="240" w:lineRule="auto"/>
              <w:jc w:val="left"/>
              <w:rPr>
                <w:sz w:val="24"/>
                <w:rtl/>
                <w:lang w:eastAsia="en-US"/>
              </w:rPr>
            </w:pPr>
            <w:r>
              <w:rPr>
                <w:sz w:val="24"/>
                <w:rtl/>
                <w:lang w:eastAsia="en-US"/>
              </w:rPr>
              <w:t>דין וחשבון</w:t>
            </w:r>
          </w:p>
        </w:tc>
        <w:tc>
          <w:tcPr>
            <w:tcW w:w="1247" w:type="dxa"/>
          </w:tcPr>
          <w:p w14:paraId="5B79BD56" w14:textId="77777777" w:rsidR="00D92F79" w:rsidRDefault="00D92F79">
            <w:pPr>
              <w:spacing w:line="240" w:lineRule="auto"/>
              <w:jc w:val="left"/>
              <w:rPr>
                <w:rFonts w:hint="cs"/>
                <w:sz w:val="24"/>
                <w:lang w:eastAsia="en-US"/>
              </w:rPr>
            </w:pPr>
            <w:r>
              <w:rPr>
                <w:sz w:val="24"/>
                <w:rtl/>
                <w:lang w:eastAsia="en-US"/>
              </w:rPr>
              <w:t xml:space="preserve">סעיף 6 </w:t>
            </w:r>
          </w:p>
        </w:tc>
      </w:tr>
      <w:tr w:rsidR="00D92F79" w14:paraId="06E707F1" w14:textId="77777777">
        <w:tblPrEx>
          <w:tblCellMar>
            <w:top w:w="0" w:type="dxa"/>
            <w:bottom w:w="0" w:type="dxa"/>
          </w:tblCellMar>
        </w:tblPrEx>
        <w:trPr>
          <w:jc w:val="right"/>
        </w:trPr>
        <w:tc>
          <w:tcPr>
            <w:tcW w:w="850" w:type="dxa"/>
          </w:tcPr>
          <w:p w14:paraId="7CF79564"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Seif6</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412B14EA" w14:textId="77777777" w:rsidR="00D92F79" w:rsidRDefault="00D92F79">
            <w:pPr>
              <w:spacing w:line="240" w:lineRule="auto"/>
              <w:jc w:val="left"/>
              <w:rPr>
                <w:rFonts w:hint="cs"/>
                <w:sz w:val="24"/>
                <w:lang w:eastAsia="en-US"/>
              </w:rPr>
            </w:pPr>
            <w:hyperlink w:anchor="Seif6" w:tooltip="ביטול" w:history="1">
              <w:r>
                <w:rPr>
                  <w:rStyle w:val="Hyperlink"/>
                </w:rPr>
                <w:t>Go</w:t>
              </w:r>
            </w:hyperlink>
          </w:p>
        </w:tc>
        <w:tc>
          <w:tcPr>
            <w:tcW w:w="5669" w:type="dxa"/>
          </w:tcPr>
          <w:p w14:paraId="2CCE2AF4" w14:textId="77777777" w:rsidR="00D92F79" w:rsidRDefault="00D92F79">
            <w:pPr>
              <w:spacing w:line="240" w:lineRule="auto"/>
              <w:jc w:val="left"/>
              <w:rPr>
                <w:sz w:val="24"/>
                <w:rtl/>
                <w:lang w:eastAsia="en-US"/>
              </w:rPr>
            </w:pPr>
            <w:r>
              <w:rPr>
                <w:sz w:val="24"/>
                <w:rtl/>
                <w:lang w:eastAsia="en-US"/>
              </w:rPr>
              <w:t>ביטול</w:t>
            </w:r>
          </w:p>
        </w:tc>
        <w:tc>
          <w:tcPr>
            <w:tcW w:w="1247" w:type="dxa"/>
          </w:tcPr>
          <w:p w14:paraId="7C52933A" w14:textId="77777777" w:rsidR="00D92F79" w:rsidRDefault="00D92F79">
            <w:pPr>
              <w:spacing w:line="240" w:lineRule="auto"/>
              <w:jc w:val="left"/>
              <w:rPr>
                <w:rFonts w:hint="cs"/>
                <w:sz w:val="24"/>
                <w:lang w:eastAsia="en-US"/>
              </w:rPr>
            </w:pPr>
            <w:r>
              <w:rPr>
                <w:sz w:val="24"/>
                <w:rtl/>
                <w:lang w:eastAsia="en-US"/>
              </w:rPr>
              <w:t xml:space="preserve">סעיף 7 </w:t>
            </w:r>
          </w:p>
        </w:tc>
      </w:tr>
      <w:tr w:rsidR="00D92F79" w14:paraId="1C439386" w14:textId="77777777">
        <w:tblPrEx>
          <w:tblCellMar>
            <w:top w:w="0" w:type="dxa"/>
            <w:bottom w:w="0" w:type="dxa"/>
          </w:tblCellMar>
        </w:tblPrEx>
        <w:trPr>
          <w:jc w:val="right"/>
        </w:trPr>
        <w:tc>
          <w:tcPr>
            <w:tcW w:w="850" w:type="dxa"/>
          </w:tcPr>
          <w:p w14:paraId="6828635E" w14:textId="77777777" w:rsidR="00D92F79" w:rsidRDefault="00D92F79">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Seif7</w:instrText>
            </w:r>
            <w:r>
              <w:rPr>
                <w:sz w:val="24"/>
                <w:rtl/>
                <w:lang w:eastAsia="en-US"/>
              </w:rPr>
              <w:instrText xml:space="preserve"> </w:instrText>
            </w:r>
            <w:r>
              <w:rPr>
                <w:sz w:val="24"/>
                <w:rtl/>
                <w:lang w:eastAsia="en-US"/>
              </w:rPr>
              <w:fldChar w:fldCharType="separate"/>
            </w:r>
            <w:r w:rsidR="00B541E7">
              <w:rPr>
                <w:noProof/>
                <w:sz w:val="24"/>
                <w:rtl/>
                <w:lang w:eastAsia="en-US"/>
              </w:rPr>
              <w:t>2</w:t>
            </w:r>
            <w:r>
              <w:rPr>
                <w:sz w:val="24"/>
                <w:rtl/>
                <w:lang w:eastAsia="en-US"/>
              </w:rPr>
              <w:fldChar w:fldCharType="end"/>
            </w:r>
          </w:p>
        </w:tc>
        <w:tc>
          <w:tcPr>
            <w:tcW w:w="567" w:type="dxa"/>
          </w:tcPr>
          <w:p w14:paraId="7078FD8A" w14:textId="77777777" w:rsidR="00D92F79" w:rsidRDefault="00D92F79">
            <w:pPr>
              <w:spacing w:line="240" w:lineRule="auto"/>
              <w:jc w:val="left"/>
              <w:rPr>
                <w:rFonts w:hint="cs"/>
                <w:sz w:val="24"/>
                <w:lang w:eastAsia="en-US"/>
              </w:rPr>
            </w:pPr>
            <w:hyperlink w:anchor="Seif7" w:tooltip="סייג לתחולה" w:history="1">
              <w:r>
                <w:rPr>
                  <w:rStyle w:val="Hyperlink"/>
                </w:rPr>
                <w:t>Go</w:t>
              </w:r>
            </w:hyperlink>
          </w:p>
        </w:tc>
        <w:tc>
          <w:tcPr>
            <w:tcW w:w="5669" w:type="dxa"/>
          </w:tcPr>
          <w:p w14:paraId="6CA382A7" w14:textId="77777777" w:rsidR="00D92F79" w:rsidRDefault="00D92F79">
            <w:pPr>
              <w:spacing w:line="240" w:lineRule="auto"/>
              <w:jc w:val="left"/>
              <w:rPr>
                <w:sz w:val="24"/>
                <w:rtl/>
                <w:lang w:eastAsia="en-US"/>
              </w:rPr>
            </w:pPr>
            <w:r>
              <w:rPr>
                <w:sz w:val="24"/>
                <w:rtl/>
                <w:lang w:eastAsia="en-US"/>
              </w:rPr>
              <w:t>סייג לתחולה</w:t>
            </w:r>
          </w:p>
        </w:tc>
        <w:tc>
          <w:tcPr>
            <w:tcW w:w="1247" w:type="dxa"/>
          </w:tcPr>
          <w:p w14:paraId="57D833AF" w14:textId="77777777" w:rsidR="00D92F79" w:rsidRDefault="00D92F79">
            <w:pPr>
              <w:spacing w:line="240" w:lineRule="auto"/>
              <w:jc w:val="left"/>
              <w:rPr>
                <w:rFonts w:hint="cs"/>
                <w:sz w:val="24"/>
                <w:lang w:eastAsia="en-US"/>
              </w:rPr>
            </w:pPr>
            <w:r>
              <w:rPr>
                <w:sz w:val="24"/>
                <w:rtl/>
                <w:lang w:eastAsia="en-US"/>
              </w:rPr>
              <w:t xml:space="preserve">סעיף 8 </w:t>
            </w:r>
          </w:p>
        </w:tc>
      </w:tr>
    </w:tbl>
    <w:p w14:paraId="677F3213" w14:textId="77777777" w:rsidR="00D92F79" w:rsidRDefault="00D92F79">
      <w:pPr>
        <w:pStyle w:val="P00"/>
        <w:spacing w:before="72"/>
        <w:ind w:left="0" w:right="1134"/>
        <w:rPr>
          <w:rFonts w:hint="cs"/>
          <w:rtl/>
          <w:lang w:eastAsia="en-US"/>
        </w:rPr>
      </w:pPr>
    </w:p>
    <w:p w14:paraId="15B0FE2A" w14:textId="77777777" w:rsidR="00D92F79" w:rsidRDefault="00D92F79" w:rsidP="001603C9">
      <w:pPr>
        <w:pStyle w:val="big-header"/>
        <w:ind w:left="0" w:right="1134"/>
        <w:rPr>
          <w:rStyle w:val="default"/>
          <w:rFonts w:hint="cs"/>
          <w:sz w:val="22"/>
          <w:szCs w:val="22"/>
          <w:rtl/>
          <w:lang w:eastAsia="en-US"/>
        </w:rPr>
      </w:pPr>
      <w:r>
        <w:rPr>
          <w:rtl/>
          <w:lang w:eastAsia="en-US"/>
        </w:rPr>
        <w:br w:type="page"/>
      </w:r>
      <w:r w:rsidR="001603C9">
        <w:rPr>
          <w:rFonts w:hint="cs"/>
          <w:rtl/>
          <w:lang w:eastAsia="en-US"/>
        </w:rPr>
        <w:lastRenderedPageBreak/>
        <w:pict w14:anchorId="330CEF31">
          <v:shapetype id="_x0000_t202" coordsize="21600,21600" o:spt="202" path="m,l,21600r21600,l21600,xe">
            <v:stroke joinstyle="miter"/>
            <v:path gradientshapeok="t" o:connecttype="rect"/>
          </v:shapetype>
          <v:shape id="_x0000_s1262" type="#_x0000_t202" style="position:absolute;left:0;text-align:left;margin-left:470.35pt;margin-top:25.5pt;width:1in;height:11.2pt;z-index:251661312" filled="f" stroked="f">
            <v:textbox inset="1mm,0,1mm,0">
              <w:txbxContent>
                <w:p w14:paraId="264616D9" w14:textId="77777777" w:rsidR="001603C9" w:rsidRDefault="001603C9" w:rsidP="001603C9">
                  <w:pPr>
                    <w:spacing w:line="160" w:lineRule="exact"/>
                    <w:jc w:val="left"/>
                    <w:rPr>
                      <w:rFonts w:cs="Miriam" w:hint="cs"/>
                      <w:noProof/>
                      <w:szCs w:val="18"/>
                      <w:rtl/>
                      <w:lang w:eastAsia="en-US"/>
                    </w:rPr>
                  </w:pPr>
                  <w:r>
                    <w:rPr>
                      <w:rFonts w:cs="Miriam" w:hint="cs"/>
                      <w:szCs w:val="18"/>
                      <w:rtl/>
                      <w:lang w:eastAsia="en-US"/>
                    </w:rPr>
                    <w:t>תק' תשע"ז-2017</w:t>
                  </w:r>
                </w:p>
              </w:txbxContent>
            </v:textbox>
            <w10:anchorlock/>
          </v:shape>
        </w:pict>
      </w:r>
      <w:r>
        <w:rPr>
          <w:rFonts w:hint="cs"/>
          <w:rtl/>
          <w:lang w:eastAsia="en-US"/>
        </w:rPr>
        <w:t>תקנות מקרקעי ציבור (</w:t>
      </w:r>
      <w:r w:rsidR="001603C9">
        <w:rPr>
          <w:rFonts w:hint="cs"/>
          <w:rtl/>
          <w:lang w:eastAsia="en-US"/>
        </w:rPr>
        <w:t>פינוי קרקע</w:t>
      </w:r>
      <w:r>
        <w:rPr>
          <w:rFonts w:hint="cs"/>
          <w:rtl/>
          <w:lang w:eastAsia="en-US"/>
        </w:rPr>
        <w:t>) (ביצוע צו), תשס"ה-2005</w:t>
      </w:r>
      <w:r>
        <w:rPr>
          <w:rStyle w:val="default"/>
          <w:sz w:val="22"/>
          <w:szCs w:val="22"/>
          <w:rtl/>
          <w:lang w:eastAsia="en-US"/>
        </w:rPr>
        <w:footnoteReference w:customMarkFollows="1" w:id="1"/>
        <w:t>*</w:t>
      </w:r>
    </w:p>
    <w:p w14:paraId="42133D04" w14:textId="77777777" w:rsidR="00561B38" w:rsidRPr="001603C9" w:rsidRDefault="001603C9" w:rsidP="001603C9">
      <w:pPr>
        <w:pStyle w:val="P00"/>
        <w:spacing w:before="0"/>
        <w:ind w:left="0" w:right="1134"/>
        <w:rPr>
          <w:rStyle w:val="default"/>
          <w:rFonts w:cs="FrankRuehl" w:hint="cs"/>
          <w:vanish/>
          <w:color w:val="FF0000"/>
          <w:szCs w:val="20"/>
          <w:shd w:val="clear" w:color="auto" w:fill="FFFF99"/>
          <w:rtl/>
          <w:lang w:eastAsia="en-US"/>
        </w:rPr>
      </w:pPr>
      <w:bookmarkStart w:id="0" w:name="Rov9"/>
      <w:r w:rsidRPr="001603C9">
        <w:rPr>
          <w:rStyle w:val="default"/>
          <w:rFonts w:cs="FrankRuehl" w:hint="cs"/>
          <w:vanish/>
          <w:color w:val="FF0000"/>
          <w:szCs w:val="20"/>
          <w:shd w:val="clear" w:color="auto" w:fill="FFFF99"/>
          <w:rtl/>
          <w:lang w:eastAsia="en-US"/>
        </w:rPr>
        <w:t>מיום 6.4.2017</w:t>
      </w:r>
    </w:p>
    <w:p w14:paraId="77189F49" w14:textId="77777777" w:rsidR="001603C9" w:rsidRPr="001603C9" w:rsidRDefault="001603C9" w:rsidP="001603C9">
      <w:pPr>
        <w:pStyle w:val="P00"/>
        <w:spacing w:before="0"/>
        <w:ind w:left="0" w:right="1134"/>
        <w:rPr>
          <w:rStyle w:val="default"/>
          <w:rFonts w:cs="FrankRuehl" w:hint="cs"/>
          <w:vanish/>
          <w:szCs w:val="20"/>
          <w:shd w:val="clear" w:color="auto" w:fill="FFFF99"/>
          <w:rtl/>
          <w:lang w:eastAsia="en-US"/>
        </w:rPr>
      </w:pPr>
      <w:r w:rsidRPr="001603C9">
        <w:rPr>
          <w:rStyle w:val="default"/>
          <w:rFonts w:cs="FrankRuehl" w:hint="cs"/>
          <w:b/>
          <w:bCs/>
          <w:vanish/>
          <w:szCs w:val="20"/>
          <w:shd w:val="clear" w:color="auto" w:fill="FFFF99"/>
          <w:rtl/>
          <w:lang w:eastAsia="en-US"/>
        </w:rPr>
        <w:t>תק' תשע"ז-2017</w:t>
      </w:r>
    </w:p>
    <w:p w14:paraId="06A3B5C0" w14:textId="77777777" w:rsidR="001603C9" w:rsidRPr="001603C9" w:rsidRDefault="001603C9" w:rsidP="001603C9">
      <w:pPr>
        <w:pStyle w:val="P00"/>
        <w:spacing w:before="0"/>
        <w:ind w:left="0" w:right="1134"/>
        <w:rPr>
          <w:rStyle w:val="default"/>
          <w:rFonts w:cs="FrankRuehl" w:hint="cs"/>
          <w:vanish/>
          <w:szCs w:val="20"/>
          <w:shd w:val="clear" w:color="auto" w:fill="FFFF99"/>
          <w:rtl/>
          <w:lang w:eastAsia="en-US"/>
        </w:rPr>
      </w:pPr>
      <w:hyperlink r:id="rId6" w:history="1">
        <w:r w:rsidRPr="001603C9">
          <w:rPr>
            <w:rStyle w:val="Hyperlink"/>
            <w:rFonts w:hint="cs"/>
            <w:vanish/>
            <w:szCs w:val="20"/>
            <w:shd w:val="clear" w:color="auto" w:fill="FFFF99"/>
            <w:rtl/>
            <w:lang w:eastAsia="en-US"/>
          </w:rPr>
          <w:t>ק"ת תשע"ז מס' 7800</w:t>
        </w:r>
      </w:hyperlink>
      <w:r w:rsidRPr="001603C9">
        <w:rPr>
          <w:rStyle w:val="default"/>
          <w:rFonts w:cs="FrankRuehl" w:hint="cs"/>
          <w:vanish/>
          <w:szCs w:val="20"/>
          <w:shd w:val="clear" w:color="auto" w:fill="FFFF99"/>
          <w:rtl/>
          <w:lang w:eastAsia="en-US"/>
        </w:rPr>
        <w:t xml:space="preserve"> מיום 6.4.2017 עמ' 965</w:t>
      </w:r>
    </w:p>
    <w:p w14:paraId="51802E89" w14:textId="77777777" w:rsidR="001603C9" w:rsidRPr="001603C9" w:rsidRDefault="001603C9" w:rsidP="001603C9">
      <w:pPr>
        <w:pStyle w:val="P00"/>
        <w:ind w:left="0" w:right="1134"/>
        <w:rPr>
          <w:rStyle w:val="default"/>
          <w:rFonts w:cs="FrankRuehl" w:hint="cs"/>
          <w:sz w:val="2"/>
          <w:szCs w:val="2"/>
          <w:rtl/>
          <w:lang w:eastAsia="en-US"/>
        </w:rPr>
      </w:pPr>
      <w:r w:rsidRPr="001603C9">
        <w:rPr>
          <w:rStyle w:val="default"/>
          <w:rFonts w:cs="FrankRuehl" w:hint="cs"/>
          <w:vanish/>
          <w:sz w:val="22"/>
          <w:szCs w:val="22"/>
          <w:shd w:val="clear" w:color="auto" w:fill="FFFF99"/>
          <w:rtl/>
          <w:lang w:eastAsia="en-US"/>
        </w:rPr>
        <w:t xml:space="preserve">תקנות מקרקעין ציבור </w:t>
      </w:r>
      <w:r w:rsidRPr="001603C9">
        <w:rPr>
          <w:rStyle w:val="default"/>
          <w:rFonts w:cs="FrankRuehl" w:hint="cs"/>
          <w:strike/>
          <w:vanish/>
          <w:sz w:val="22"/>
          <w:szCs w:val="22"/>
          <w:shd w:val="clear" w:color="auto" w:fill="FFFF99"/>
          <w:rtl/>
          <w:lang w:eastAsia="en-US"/>
        </w:rPr>
        <w:t>(סילוק פולשים)</w:t>
      </w:r>
      <w:r w:rsidRPr="001603C9">
        <w:rPr>
          <w:rStyle w:val="default"/>
          <w:rFonts w:cs="FrankRuehl" w:hint="cs"/>
          <w:vanish/>
          <w:sz w:val="22"/>
          <w:szCs w:val="22"/>
          <w:shd w:val="clear" w:color="auto" w:fill="FFFF99"/>
          <w:rtl/>
          <w:lang w:eastAsia="en-US"/>
        </w:rPr>
        <w:t xml:space="preserve"> </w:t>
      </w:r>
      <w:r w:rsidRPr="001603C9">
        <w:rPr>
          <w:rStyle w:val="default"/>
          <w:rFonts w:cs="FrankRuehl" w:hint="cs"/>
          <w:vanish/>
          <w:sz w:val="22"/>
          <w:szCs w:val="22"/>
          <w:u w:val="single"/>
          <w:shd w:val="clear" w:color="auto" w:fill="FFFF99"/>
          <w:rtl/>
          <w:lang w:eastAsia="en-US"/>
        </w:rPr>
        <w:t>(פינוי קרקע)</w:t>
      </w:r>
      <w:r w:rsidRPr="001603C9">
        <w:rPr>
          <w:rStyle w:val="default"/>
          <w:rFonts w:cs="FrankRuehl" w:hint="cs"/>
          <w:vanish/>
          <w:sz w:val="22"/>
          <w:szCs w:val="22"/>
          <w:shd w:val="clear" w:color="auto" w:fill="FFFF99"/>
          <w:rtl/>
          <w:lang w:eastAsia="en-US"/>
        </w:rPr>
        <w:t xml:space="preserve"> (ביצוע צו), תשס"ה-2005</w:t>
      </w:r>
      <w:bookmarkEnd w:id="0"/>
    </w:p>
    <w:p w14:paraId="3D8628EB" w14:textId="77777777" w:rsidR="00D92F79" w:rsidRDefault="001603C9" w:rsidP="001603C9">
      <w:pPr>
        <w:pStyle w:val="P00"/>
        <w:spacing w:before="72"/>
        <w:ind w:left="0" w:right="1134"/>
        <w:rPr>
          <w:rStyle w:val="default"/>
          <w:rFonts w:cs="FrankRuehl" w:hint="cs"/>
          <w:rtl/>
          <w:lang w:eastAsia="en-US"/>
        </w:rPr>
      </w:pPr>
      <w:r>
        <w:rPr>
          <w:rFonts w:hint="cs"/>
          <w:rtl/>
          <w:lang w:eastAsia="en-US"/>
        </w:rPr>
        <w:pict w14:anchorId="1240F5F5">
          <v:shape id="_x0000_s1265" type="#_x0000_t202" style="position:absolute;left:0;text-align:left;margin-left:470.35pt;margin-top:7.1pt;width:1in;height:11.2pt;z-index:251662336" filled="f" stroked="f">
            <v:textbox inset="1mm,0,1mm,0">
              <w:txbxContent>
                <w:p w14:paraId="4EC26BF9" w14:textId="77777777" w:rsidR="001603C9" w:rsidRDefault="001603C9" w:rsidP="001603C9">
                  <w:pPr>
                    <w:spacing w:line="160" w:lineRule="exact"/>
                    <w:jc w:val="left"/>
                    <w:rPr>
                      <w:rFonts w:cs="Miriam" w:hint="cs"/>
                      <w:noProof/>
                      <w:szCs w:val="18"/>
                      <w:rtl/>
                      <w:lang w:eastAsia="en-US"/>
                    </w:rPr>
                  </w:pPr>
                  <w:r>
                    <w:rPr>
                      <w:rFonts w:cs="Miriam" w:hint="cs"/>
                      <w:szCs w:val="18"/>
                      <w:rtl/>
                      <w:lang w:eastAsia="en-US"/>
                    </w:rPr>
                    <w:t>תק' תשע"ז-2017</w:t>
                  </w:r>
                </w:p>
              </w:txbxContent>
            </v:textbox>
            <w10:anchorlock/>
          </v:shape>
        </w:pict>
      </w:r>
      <w:r w:rsidR="00D92F79">
        <w:rPr>
          <w:rStyle w:val="default"/>
          <w:rFonts w:cs="FrankRuehl" w:hint="cs"/>
          <w:rtl/>
          <w:lang w:eastAsia="en-US"/>
        </w:rPr>
        <w:tab/>
      </w:r>
      <w:r w:rsidR="00D92F79">
        <w:rPr>
          <w:rStyle w:val="default"/>
          <w:rFonts w:cs="FrankRuehl"/>
          <w:rtl/>
          <w:lang w:eastAsia="en-US"/>
        </w:rPr>
        <w:t>בתוקף סמכותי לפי סעיף 5(ה) לחוק מקרקעי ציבור (</w:t>
      </w:r>
      <w:r>
        <w:rPr>
          <w:rStyle w:val="default"/>
          <w:rFonts w:cs="FrankRuehl" w:hint="cs"/>
          <w:rtl/>
          <w:lang w:eastAsia="en-US"/>
        </w:rPr>
        <w:t>פינוי קרקע</w:t>
      </w:r>
      <w:r w:rsidR="00D92F79">
        <w:rPr>
          <w:rStyle w:val="default"/>
          <w:rFonts w:cs="FrankRuehl"/>
          <w:rtl/>
          <w:lang w:eastAsia="en-US"/>
        </w:rPr>
        <w:t>), התשמ"א</w:t>
      </w:r>
      <w:r w:rsidR="00D92F79">
        <w:rPr>
          <w:rStyle w:val="default"/>
          <w:rFonts w:cs="FrankRuehl" w:hint="cs"/>
          <w:rtl/>
          <w:lang w:eastAsia="en-US"/>
        </w:rPr>
        <w:t xml:space="preserve">-1981 </w:t>
      </w:r>
      <w:r w:rsidR="00D92F79">
        <w:rPr>
          <w:rStyle w:val="default"/>
          <w:rFonts w:cs="FrankRuehl"/>
          <w:rtl/>
          <w:lang w:eastAsia="en-US"/>
        </w:rPr>
        <w:t>(להלן – החוק), אני מתקינה תקנות אלה:</w:t>
      </w:r>
    </w:p>
    <w:p w14:paraId="5EDC8F78" w14:textId="77777777" w:rsidR="001603C9" w:rsidRPr="001603C9" w:rsidRDefault="001603C9" w:rsidP="001603C9">
      <w:pPr>
        <w:pStyle w:val="P00"/>
        <w:spacing w:before="0"/>
        <w:ind w:left="0" w:right="1134"/>
        <w:rPr>
          <w:rStyle w:val="default"/>
          <w:rFonts w:cs="FrankRuehl" w:hint="cs"/>
          <w:vanish/>
          <w:color w:val="FF0000"/>
          <w:szCs w:val="20"/>
          <w:shd w:val="clear" w:color="auto" w:fill="FFFF99"/>
          <w:rtl/>
          <w:lang w:eastAsia="en-US"/>
        </w:rPr>
      </w:pPr>
      <w:bookmarkStart w:id="1" w:name="Rov10"/>
      <w:r w:rsidRPr="001603C9">
        <w:rPr>
          <w:rStyle w:val="default"/>
          <w:rFonts w:cs="FrankRuehl" w:hint="cs"/>
          <w:vanish/>
          <w:color w:val="FF0000"/>
          <w:szCs w:val="20"/>
          <w:shd w:val="clear" w:color="auto" w:fill="FFFF99"/>
          <w:rtl/>
          <w:lang w:eastAsia="en-US"/>
        </w:rPr>
        <w:t>מיום 6.4.2017</w:t>
      </w:r>
    </w:p>
    <w:p w14:paraId="4E78CF1A" w14:textId="77777777" w:rsidR="001603C9" w:rsidRPr="001603C9" w:rsidRDefault="001603C9" w:rsidP="001603C9">
      <w:pPr>
        <w:pStyle w:val="P00"/>
        <w:spacing w:before="0"/>
        <w:ind w:left="0" w:right="1134"/>
        <w:rPr>
          <w:rStyle w:val="default"/>
          <w:rFonts w:cs="FrankRuehl" w:hint="cs"/>
          <w:vanish/>
          <w:szCs w:val="20"/>
          <w:shd w:val="clear" w:color="auto" w:fill="FFFF99"/>
          <w:rtl/>
          <w:lang w:eastAsia="en-US"/>
        </w:rPr>
      </w:pPr>
      <w:r w:rsidRPr="001603C9">
        <w:rPr>
          <w:rStyle w:val="default"/>
          <w:rFonts w:cs="FrankRuehl" w:hint="cs"/>
          <w:b/>
          <w:bCs/>
          <w:vanish/>
          <w:szCs w:val="20"/>
          <w:shd w:val="clear" w:color="auto" w:fill="FFFF99"/>
          <w:rtl/>
          <w:lang w:eastAsia="en-US"/>
        </w:rPr>
        <w:t>תק' תשע"ז-2017</w:t>
      </w:r>
    </w:p>
    <w:p w14:paraId="0BADF07D" w14:textId="77777777" w:rsidR="001603C9" w:rsidRPr="001603C9" w:rsidRDefault="001603C9" w:rsidP="001603C9">
      <w:pPr>
        <w:pStyle w:val="P00"/>
        <w:spacing w:before="0"/>
        <w:ind w:left="0" w:right="1134"/>
        <w:rPr>
          <w:rStyle w:val="default"/>
          <w:rFonts w:cs="FrankRuehl" w:hint="cs"/>
          <w:vanish/>
          <w:szCs w:val="20"/>
          <w:shd w:val="clear" w:color="auto" w:fill="FFFF99"/>
          <w:rtl/>
          <w:lang w:eastAsia="en-US"/>
        </w:rPr>
      </w:pPr>
      <w:hyperlink r:id="rId7" w:history="1">
        <w:r w:rsidRPr="001603C9">
          <w:rPr>
            <w:rStyle w:val="Hyperlink"/>
            <w:rFonts w:hint="cs"/>
            <w:vanish/>
            <w:szCs w:val="20"/>
            <w:shd w:val="clear" w:color="auto" w:fill="FFFF99"/>
            <w:rtl/>
            <w:lang w:eastAsia="en-US"/>
          </w:rPr>
          <w:t>ק"ת תשע"ז מס' 7800</w:t>
        </w:r>
      </w:hyperlink>
      <w:r w:rsidRPr="001603C9">
        <w:rPr>
          <w:rStyle w:val="default"/>
          <w:rFonts w:cs="FrankRuehl" w:hint="cs"/>
          <w:vanish/>
          <w:szCs w:val="20"/>
          <w:shd w:val="clear" w:color="auto" w:fill="FFFF99"/>
          <w:rtl/>
          <w:lang w:eastAsia="en-US"/>
        </w:rPr>
        <w:t xml:space="preserve"> מיום 6.4.2017 עמ' 965</w:t>
      </w:r>
    </w:p>
    <w:p w14:paraId="2AEFAF4C" w14:textId="77777777" w:rsidR="001603C9" w:rsidRPr="001603C9" w:rsidRDefault="001603C9" w:rsidP="001603C9">
      <w:pPr>
        <w:pStyle w:val="P00"/>
        <w:ind w:left="0" w:right="1134"/>
        <w:rPr>
          <w:rStyle w:val="default"/>
          <w:rFonts w:cs="FrankRuehl" w:hint="cs"/>
          <w:sz w:val="2"/>
          <w:szCs w:val="2"/>
          <w:shd w:val="clear" w:color="auto" w:fill="FFFF99"/>
          <w:rtl/>
          <w:lang w:eastAsia="en-US"/>
        </w:rPr>
      </w:pPr>
      <w:r w:rsidRPr="001603C9">
        <w:rPr>
          <w:rStyle w:val="default"/>
          <w:rFonts w:cs="FrankRuehl" w:hint="cs"/>
          <w:vanish/>
          <w:sz w:val="22"/>
          <w:szCs w:val="22"/>
          <w:shd w:val="clear" w:color="auto" w:fill="FFFF99"/>
          <w:rtl/>
          <w:lang w:eastAsia="en-US"/>
        </w:rPr>
        <w:tab/>
      </w:r>
      <w:r w:rsidRPr="001603C9">
        <w:rPr>
          <w:rStyle w:val="default"/>
          <w:rFonts w:cs="FrankRuehl"/>
          <w:vanish/>
          <w:sz w:val="22"/>
          <w:szCs w:val="22"/>
          <w:shd w:val="clear" w:color="auto" w:fill="FFFF99"/>
          <w:rtl/>
          <w:lang w:eastAsia="en-US"/>
        </w:rPr>
        <w:t xml:space="preserve">בתוקף סמכותי לפי סעיף 5(ה) לחוק מקרקעי ציבור </w:t>
      </w:r>
      <w:r w:rsidRPr="001603C9">
        <w:rPr>
          <w:rStyle w:val="default"/>
          <w:rFonts w:cs="FrankRuehl"/>
          <w:strike/>
          <w:vanish/>
          <w:sz w:val="22"/>
          <w:szCs w:val="22"/>
          <w:shd w:val="clear" w:color="auto" w:fill="FFFF99"/>
          <w:rtl/>
          <w:lang w:eastAsia="en-US"/>
        </w:rPr>
        <w:t>(סילוק פולשים)</w:t>
      </w:r>
      <w:r w:rsidRPr="001603C9">
        <w:rPr>
          <w:rStyle w:val="default"/>
          <w:rFonts w:cs="FrankRuehl" w:hint="cs"/>
          <w:vanish/>
          <w:sz w:val="22"/>
          <w:szCs w:val="22"/>
          <w:shd w:val="clear" w:color="auto" w:fill="FFFF99"/>
          <w:rtl/>
          <w:lang w:eastAsia="en-US"/>
        </w:rPr>
        <w:t xml:space="preserve"> </w:t>
      </w:r>
      <w:r w:rsidRPr="001603C9">
        <w:rPr>
          <w:rStyle w:val="default"/>
          <w:rFonts w:cs="FrankRuehl" w:hint="cs"/>
          <w:vanish/>
          <w:sz w:val="22"/>
          <w:szCs w:val="22"/>
          <w:u w:val="single"/>
          <w:shd w:val="clear" w:color="auto" w:fill="FFFF99"/>
          <w:rtl/>
          <w:lang w:eastAsia="en-US"/>
        </w:rPr>
        <w:t>(פינוי קרקע)</w:t>
      </w:r>
      <w:r w:rsidRPr="001603C9">
        <w:rPr>
          <w:rStyle w:val="default"/>
          <w:rFonts w:cs="FrankRuehl"/>
          <w:vanish/>
          <w:sz w:val="22"/>
          <w:szCs w:val="22"/>
          <w:shd w:val="clear" w:color="auto" w:fill="FFFF99"/>
          <w:rtl/>
          <w:lang w:eastAsia="en-US"/>
        </w:rPr>
        <w:t>, התשמ"א</w:t>
      </w:r>
      <w:r w:rsidRPr="001603C9">
        <w:rPr>
          <w:rStyle w:val="default"/>
          <w:rFonts w:cs="FrankRuehl" w:hint="cs"/>
          <w:vanish/>
          <w:sz w:val="22"/>
          <w:szCs w:val="22"/>
          <w:shd w:val="clear" w:color="auto" w:fill="FFFF99"/>
          <w:rtl/>
          <w:lang w:eastAsia="en-US"/>
        </w:rPr>
        <w:t xml:space="preserve">-1981 </w:t>
      </w:r>
      <w:r w:rsidRPr="001603C9">
        <w:rPr>
          <w:rStyle w:val="default"/>
          <w:rFonts w:cs="FrankRuehl"/>
          <w:vanish/>
          <w:sz w:val="22"/>
          <w:szCs w:val="22"/>
          <w:shd w:val="clear" w:color="auto" w:fill="FFFF99"/>
          <w:rtl/>
          <w:lang w:eastAsia="en-US"/>
        </w:rPr>
        <w:t>(להלן – החוק), אני מתקינה תקנות אלה:</w:t>
      </w:r>
      <w:bookmarkEnd w:id="1"/>
    </w:p>
    <w:p w14:paraId="4824BFD0" w14:textId="77777777" w:rsidR="00D92F79" w:rsidRDefault="00D92F79">
      <w:pPr>
        <w:pStyle w:val="P00"/>
        <w:spacing w:before="72"/>
        <w:ind w:left="0" w:right="1134"/>
        <w:rPr>
          <w:rStyle w:val="default"/>
          <w:rFonts w:cs="FrankRuehl" w:hint="cs"/>
          <w:rtl/>
          <w:lang w:eastAsia="en-US"/>
        </w:rPr>
      </w:pPr>
      <w:bookmarkStart w:id="2" w:name="Seif0"/>
      <w:bookmarkEnd w:id="2"/>
      <w:r>
        <w:rPr>
          <w:lang w:val="he-IL"/>
        </w:rPr>
        <w:pict w14:anchorId="61287299">
          <v:rect id="_x0000_s1026" style="position:absolute;left:0;text-align:left;margin-left:464.5pt;margin-top:8.05pt;width:75.05pt;height:8.8pt;z-index:251653120" o:allowincell="f" filled="f" stroked="f" strokecolor="lime" strokeweight=".25pt">
            <v:textbox style="mso-next-textbox:#_x0000_s1026" inset="0,0,0,0">
              <w:txbxContent>
                <w:p w14:paraId="29C202B1" w14:textId="77777777" w:rsidR="00D92F79" w:rsidRDefault="00D92F79">
                  <w:pPr>
                    <w:spacing w:line="160" w:lineRule="exact"/>
                    <w:jc w:val="left"/>
                    <w:rPr>
                      <w:rFonts w:cs="Miriam" w:hint="cs"/>
                      <w:noProof/>
                      <w:szCs w:val="18"/>
                      <w:rtl/>
                      <w:lang w:eastAsia="en-US"/>
                    </w:rPr>
                  </w:pPr>
                  <w:r>
                    <w:rPr>
                      <w:rFonts w:cs="Miriam" w:hint="cs"/>
                      <w:szCs w:val="18"/>
                      <w:rtl/>
                      <w:lang w:eastAsia="en-US"/>
                    </w:rPr>
                    <w:t>ביצוע צו</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לשם ביצוע צו לסילוק יד ולפינוי מקרקעין שהוצא מכוח החוק, רשאי פקח להיכנס</w:t>
      </w:r>
      <w:r>
        <w:rPr>
          <w:rStyle w:val="default"/>
          <w:rFonts w:cs="FrankRuehl" w:hint="cs"/>
          <w:rtl/>
          <w:lang w:eastAsia="en-US"/>
        </w:rPr>
        <w:t xml:space="preserve"> </w:t>
      </w:r>
      <w:r>
        <w:rPr>
          <w:rStyle w:val="default"/>
          <w:rFonts w:cs="FrankRuehl"/>
          <w:rtl/>
          <w:lang w:eastAsia="en-US"/>
        </w:rPr>
        <w:t>למקרקעין שהצו נוגע אליהם, להרחיק מהם כל אדם וחפץ, ולנקוט כל אמצעי כדי להבטיח</w:t>
      </w:r>
      <w:r>
        <w:rPr>
          <w:rStyle w:val="default"/>
          <w:rFonts w:cs="FrankRuehl" w:hint="cs"/>
          <w:rtl/>
          <w:lang w:eastAsia="en-US"/>
        </w:rPr>
        <w:t xml:space="preserve"> </w:t>
      </w:r>
      <w:r>
        <w:rPr>
          <w:rStyle w:val="default"/>
          <w:rFonts w:cs="FrankRuehl"/>
          <w:rtl/>
          <w:lang w:eastAsia="en-US"/>
        </w:rPr>
        <w:t>את קיום הצו ולבצעו; כמו כן רשאי הוא, בשעת הצורך, להשתמש בכוח סביר ולקבל לשם כך עזרה מתאימה מהמשטרה.</w:t>
      </w:r>
    </w:p>
    <w:p w14:paraId="44DF7A29" w14:textId="77777777" w:rsidR="00D92F79" w:rsidRDefault="00D92F79">
      <w:pPr>
        <w:pStyle w:val="P00"/>
        <w:spacing w:before="72"/>
        <w:ind w:left="0" w:right="1134"/>
        <w:rPr>
          <w:rStyle w:val="default"/>
          <w:rFonts w:cs="FrankRuehl" w:hint="cs"/>
          <w:rtl/>
          <w:lang w:eastAsia="en-US"/>
        </w:rPr>
      </w:pPr>
      <w:bookmarkStart w:id="3" w:name="Seif1"/>
      <w:bookmarkEnd w:id="3"/>
      <w:r>
        <w:rPr>
          <w:rFonts w:cs="Miriam"/>
          <w:szCs w:val="32"/>
          <w:rtl/>
          <w:lang w:val="he-IL"/>
        </w:rPr>
        <w:pict w14:anchorId="67C13311">
          <v:shape id="_x0000_s1147" type="#_x0000_t202" style="position:absolute;left:0;text-align:left;margin-left:470.25pt;margin-top:7.1pt;width:1in;height:9.25pt;z-index:251654144" filled="f" stroked="f">
            <v:textbox inset="1mm,0,1mm,0">
              <w:txbxContent>
                <w:p w14:paraId="629139AF" w14:textId="77777777" w:rsidR="00D92F79" w:rsidRDefault="00D92F79">
                  <w:pPr>
                    <w:spacing w:line="160" w:lineRule="exact"/>
                    <w:jc w:val="left"/>
                    <w:rPr>
                      <w:rFonts w:cs="Miriam" w:hint="cs"/>
                      <w:szCs w:val="18"/>
                      <w:rtl/>
                      <w:lang w:eastAsia="en-US"/>
                    </w:rPr>
                  </w:pPr>
                  <w:r>
                    <w:rPr>
                      <w:rFonts w:cs="Miriam" w:hint="cs"/>
                      <w:szCs w:val="18"/>
                      <w:rtl/>
                      <w:lang w:eastAsia="en-US"/>
                    </w:rPr>
                    <w:t>טיפול במיטלטלין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נמצאו במקרקעין בשעת ביצוע הצו או לאחריה מיטלטלין שתופס המקרקעין שלא כדין</w:t>
      </w:r>
      <w:r>
        <w:rPr>
          <w:rStyle w:val="default"/>
          <w:rFonts w:cs="FrankRuehl" w:hint="cs"/>
          <w:rtl/>
          <w:lang w:eastAsia="en-US"/>
        </w:rPr>
        <w:t xml:space="preserve"> </w:t>
      </w:r>
      <w:r>
        <w:rPr>
          <w:rStyle w:val="default"/>
          <w:rFonts w:cs="FrankRuehl"/>
          <w:rtl/>
          <w:lang w:eastAsia="en-US"/>
        </w:rPr>
        <w:t>(להלן – התופס) לא הוציאם, ימסור אותם הפקח לשמירה במקום מתאים כפי שייראה לו,</w:t>
      </w:r>
      <w:r>
        <w:rPr>
          <w:rStyle w:val="default"/>
          <w:rFonts w:cs="FrankRuehl" w:hint="cs"/>
          <w:rtl/>
          <w:lang w:eastAsia="en-US"/>
        </w:rPr>
        <w:t xml:space="preserve"> </w:t>
      </w:r>
      <w:r>
        <w:rPr>
          <w:rStyle w:val="default"/>
          <w:rFonts w:cs="FrankRuehl"/>
          <w:rtl/>
          <w:lang w:eastAsia="en-US"/>
        </w:rPr>
        <w:t>בהתחשב בנסיבות, ורשאי הוא למכרם לאחר תקופה סבירה, ובלבד שקודם לכן ניתנה הודעה</w:t>
      </w:r>
      <w:r>
        <w:rPr>
          <w:rStyle w:val="default"/>
          <w:rFonts w:cs="FrankRuehl" w:hint="cs"/>
          <w:rtl/>
          <w:lang w:eastAsia="en-US"/>
        </w:rPr>
        <w:t xml:space="preserve"> </w:t>
      </w:r>
      <w:r>
        <w:rPr>
          <w:rStyle w:val="default"/>
          <w:rFonts w:cs="FrankRuehl"/>
          <w:rtl/>
          <w:lang w:eastAsia="en-US"/>
        </w:rPr>
        <w:t>על המכירה לתופס אם ניתן לאתרו; היו המיטלטלין פסידים – ימכרום מיד; הוצאות השמירה</w:t>
      </w:r>
      <w:r>
        <w:rPr>
          <w:rStyle w:val="default"/>
          <w:rFonts w:cs="FrankRuehl" w:hint="cs"/>
          <w:rtl/>
          <w:lang w:eastAsia="en-US"/>
        </w:rPr>
        <w:t xml:space="preserve"> </w:t>
      </w:r>
      <w:r>
        <w:rPr>
          <w:rStyle w:val="default"/>
          <w:rFonts w:cs="FrankRuehl"/>
          <w:rtl/>
          <w:lang w:eastAsia="en-US"/>
        </w:rPr>
        <w:t>והמכירה יחולו על התופס, ואם נמכרו המיטלטלין זכאי הוא לדמי המכר בניכוי ההוצאות האמורות.</w:t>
      </w:r>
    </w:p>
    <w:p w14:paraId="4C5E4A70" w14:textId="77777777" w:rsidR="00D92F79" w:rsidRDefault="00D92F79">
      <w:pPr>
        <w:pStyle w:val="P00"/>
        <w:spacing w:before="72"/>
        <w:ind w:left="0" w:right="1134"/>
        <w:rPr>
          <w:rStyle w:val="default"/>
          <w:rFonts w:cs="FrankRuehl" w:hint="cs"/>
          <w:rtl/>
          <w:lang w:eastAsia="en-US"/>
        </w:rPr>
      </w:pPr>
      <w:bookmarkStart w:id="4" w:name="Seif2"/>
      <w:bookmarkEnd w:id="4"/>
      <w:r>
        <w:rPr>
          <w:rFonts w:cs="Miriam"/>
          <w:szCs w:val="32"/>
          <w:rtl/>
          <w:lang w:val="he-IL"/>
        </w:rPr>
        <w:pict w14:anchorId="79D10B0F">
          <v:shape id="_x0000_s1254" type="#_x0000_t202" style="position:absolute;left:0;text-align:left;margin-left:470.25pt;margin-top:7.1pt;width:1in;height:15.9pt;z-index:251655168" filled="f" stroked="f">
            <v:textbox inset="1mm,0,1mm,0">
              <w:txbxContent>
                <w:p w14:paraId="3A2D4E46" w14:textId="77777777" w:rsidR="00D92F79" w:rsidRDefault="00D92F79">
                  <w:pPr>
                    <w:spacing w:line="160" w:lineRule="exact"/>
                    <w:jc w:val="left"/>
                    <w:rPr>
                      <w:rFonts w:cs="Miriam" w:hint="cs"/>
                      <w:szCs w:val="18"/>
                      <w:rtl/>
                      <w:lang w:eastAsia="en-US"/>
                    </w:rPr>
                  </w:pPr>
                  <w:r>
                    <w:rPr>
                      <w:rFonts w:cs="Miriam" w:hint="cs"/>
                      <w:szCs w:val="18"/>
                      <w:rtl/>
                      <w:lang w:eastAsia="en-US"/>
                    </w:rPr>
                    <w:t>פתיחת מקרקעין נעולים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היו המקרקעין נעולים, רשאי הפקח לפתחם או להורות לפתחם, ובלבד שבעת פתיחתם יהיה נוכח עד אחד לפחות זולת הפקח.</w:t>
      </w:r>
    </w:p>
    <w:p w14:paraId="585A98D5" w14:textId="77777777" w:rsidR="00D92F79" w:rsidRDefault="00D92F79">
      <w:pPr>
        <w:pStyle w:val="P00"/>
        <w:spacing w:before="72"/>
        <w:ind w:left="0" w:right="1134"/>
        <w:rPr>
          <w:rStyle w:val="default"/>
          <w:rFonts w:cs="FrankRuehl" w:hint="cs"/>
          <w:rtl/>
          <w:lang w:eastAsia="en-US"/>
        </w:rPr>
      </w:pPr>
      <w:bookmarkStart w:id="5" w:name="Seif3"/>
      <w:bookmarkEnd w:id="5"/>
      <w:r>
        <w:rPr>
          <w:rFonts w:cs="Miriam"/>
          <w:szCs w:val="32"/>
          <w:rtl/>
          <w:lang w:val="he-IL"/>
        </w:rPr>
        <w:pict w14:anchorId="63A23043">
          <v:shape id="_x0000_s1255" type="#_x0000_t202" style="position:absolute;left:0;text-align:left;margin-left:470.25pt;margin-top:7.1pt;width:1in;height:9.25pt;z-index:251656192" filled="f" stroked="f">
            <v:textbox inset="1mm,0,1mm,0">
              <w:txbxContent>
                <w:p w14:paraId="02D739E5" w14:textId="77777777" w:rsidR="00D92F79" w:rsidRDefault="00D92F79">
                  <w:pPr>
                    <w:spacing w:line="160" w:lineRule="exact"/>
                    <w:jc w:val="left"/>
                    <w:rPr>
                      <w:rFonts w:cs="Miriam" w:hint="cs"/>
                      <w:szCs w:val="18"/>
                      <w:rtl/>
                      <w:lang w:eastAsia="en-US"/>
                    </w:rPr>
                  </w:pPr>
                  <w:r>
                    <w:rPr>
                      <w:rFonts w:cs="Miriam" w:hint="cs"/>
                      <w:szCs w:val="18"/>
                      <w:rtl/>
                      <w:lang w:eastAsia="en-US"/>
                    </w:rPr>
                    <w:t>טיפול במחוברים</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נמצאו במקרקעין בשעת ביצוע הצו או לאחריו, מחוברים, לרבות נטיעות, והתופס</w:t>
      </w:r>
      <w:r>
        <w:rPr>
          <w:rStyle w:val="default"/>
          <w:rFonts w:cs="FrankRuehl" w:hint="cs"/>
          <w:rtl/>
          <w:lang w:eastAsia="en-US"/>
        </w:rPr>
        <w:t xml:space="preserve"> </w:t>
      </w:r>
      <w:r>
        <w:rPr>
          <w:rStyle w:val="default"/>
          <w:rFonts w:cs="FrankRuehl"/>
          <w:rtl/>
          <w:lang w:eastAsia="en-US"/>
        </w:rPr>
        <w:t>לא פינה אותם בהתאם לצו, רשאי הפקח לפנותם, להרסם, לעקרם ולעשות כל פעולה כדי להשיב, ככל הניתן, את מצב המקרקעין כפי שהיה ערב התפיסה.</w:t>
      </w:r>
    </w:p>
    <w:p w14:paraId="26A5FDAB" w14:textId="77777777" w:rsidR="00D92F79" w:rsidRDefault="00D92F7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מחוברים שפונו כאמור בתקנת משנה (א), ימסור הפקח למשמורת במקום מתאים כפי שייראה לו, בהתחשב בנסיבות, ורשאי הוא למכרם לאחר תקופה סבירה, ובלבד שקודם לכן ניתנה הודעה על המכירה לתופס, אם ניתן לאתרו.</w:t>
      </w:r>
    </w:p>
    <w:p w14:paraId="49015E3D" w14:textId="77777777" w:rsidR="00D92F79" w:rsidRDefault="00D92F7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קבע הפקח, כי המחוברים אינם ניתנים למכירה, ייתן הוראות להשמדתם, השלכתם או פינוים בדרך שיורה.</w:t>
      </w:r>
    </w:p>
    <w:p w14:paraId="54893130" w14:textId="77777777" w:rsidR="00D92F79" w:rsidRDefault="00D92F7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הוצאות ביצוע הפינוי, לרבות הוצאות הריסה או עקירה, וכן הוצאות המשמורת והמכירה יחולו על התופס, ואם נמכרו המחוברים, לרבות חומרי הבניה, זכאי הוא לדמי המכר בניכוי ההוצאות האמורות.</w:t>
      </w:r>
    </w:p>
    <w:p w14:paraId="2E30CEE9" w14:textId="77777777" w:rsidR="00D92F79" w:rsidRDefault="00D92F79">
      <w:pPr>
        <w:pStyle w:val="P00"/>
        <w:spacing w:before="72"/>
        <w:ind w:left="0" w:right="1134"/>
        <w:rPr>
          <w:rStyle w:val="default"/>
          <w:rFonts w:cs="FrankRuehl" w:hint="cs"/>
          <w:rtl/>
          <w:lang w:eastAsia="en-US"/>
        </w:rPr>
      </w:pPr>
      <w:bookmarkStart w:id="6" w:name="Seif4"/>
      <w:bookmarkEnd w:id="6"/>
      <w:r>
        <w:rPr>
          <w:rFonts w:cs="Miriam"/>
          <w:szCs w:val="32"/>
          <w:rtl/>
          <w:lang w:val="he-IL"/>
        </w:rPr>
        <w:pict w14:anchorId="6022773E">
          <v:shape id="_x0000_s1256" type="#_x0000_t202" style="position:absolute;left:0;text-align:left;margin-left:470.25pt;margin-top:7.1pt;width:1in;height:18.25pt;z-index:251657216" filled="f" stroked="f">
            <v:textbox inset="1mm,0,1mm,0">
              <w:txbxContent>
                <w:p w14:paraId="778DD91F" w14:textId="77777777" w:rsidR="00D92F79" w:rsidRDefault="00D92F79">
                  <w:pPr>
                    <w:spacing w:line="160" w:lineRule="exact"/>
                    <w:jc w:val="left"/>
                    <w:rPr>
                      <w:rFonts w:cs="Miriam" w:hint="cs"/>
                      <w:szCs w:val="18"/>
                      <w:rtl/>
                      <w:lang w:eastAsia="en-US"/>
                    </w:rPr>
                  </w:pPr>
                  <w:r>
                    <w:rPr>
                      <w:rFonts w:cs="Miriam" w:hint="cs"/>
                      <w:szCs w:val="18"/>
                      <w:rtl/>
                      <w:lang w:eastAsia="en-US"/>
                    </w:rPr>
                    <w:t xml:space="preserve">אי-נוכחות התופס </w:t>
                  </w:r>
                  <w:r>
                    <w:rPr>
                      <w:rFonts w:cs="Miriam"/>
                      <w:szCs w:val="18"/>
                      <w:rtl/>
                      <w:lang w:eastAsia="en-US"/>
                    </w:rPr>
                    <w:t>–</w:t>
                  </w:r>
                  <w:r>
                    <w:rPr>
                      <w:rFonts w:cs="Miriam" w:hint="cs"/>
                      <w:szCs w:val="18"/>
                      <w:rtl/>
                      <w:lang w:eastAsia="en-US"/>
                    </w:rPr>
                    <w:t xml:space="preserve"> לא תעכב</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אי</w:t>
      </w:r>
      <w:r>
        <w:rPr>
          <w:rStyle w:val="default"/>
          <w:rFonts w:cs="FrankRuehl" w:hint="cs"/>
          <w:rtl/>
          <w:lang w:eastAsia="en-US"/>
        </w:rPr>
        <w:t>-</w:t>
      </w:r>
      <w:r>
        <w:rPr>
          <w:rStyle w:val="default"/>
          <w:rFonts w:cs="FrankRuehl"/>
          <w:rtl/>
          <w:lang w:eastAsia="en-US"/>
        </w:rPr>
        <w:t>נוכחותו של התופס, אין בה כדי לעכב את ביצוע סילוק היד והפינוי.</w:t>
      </w:r>
    </w:p>
    <w:p w14:paraId="217E9DA2" w14:textId="77777777" w:rsidR="00D92F79" w:rsidRDefault="00D92F79">
      <w:pPr>
        <w:pStyle w:val="P00"/>
        <w:spacing w:before="72"/>
        <w:ind w:left="0" w:right="1134"/>
        <w:rPr>
          <w:rStyle w:val="default"/>
          <w:rFonts w:cs="FrankRuehl" w:hint="cs"/>
          <w:rtl/>
          <w:lang w:eastAsia="en-US"/>
        </w:rPr>
      </w:pPr>
      <w:bookmarkStart w:id="7" w:name="Seif5"/>
      <w:bookmarkEnd w:id="7"/>
      <w:r>
        <w:rPr>
          <w:rFonts w:cs="Miriam"/>
          <w:szCs w:val="32"/>
          <w:rtl/>
          <w:lang w:val="he-IL"/>
        </w:rPr>
        <w:pict w14:anchorId="25457DDC">
          <v:shape id="_x0000_s1257" type="#_x0000_t202" style="position:absolute;left:0;text-align:left;margin-left:470.25pt;margin-top:7.1pt;width:1in;height:9.25pt;z-index:251658240" filled="f" stroked="f">
            <v:textbox inset="1mm,0,1mm,0">
              <w:txbxContent>
                <w:p w14:paraId="7E6F7991" w14:textId="77777777" w:rsidR="00D92F79" w:rsidRDefault="00D92F79">
                  <w:pPr>
                    <w:spacing w:line="160" w:lineRule="exact"/>
                    <w:jc w:val="left"/>
                    <w:rPr>
                      <w:rFonts w:cs="Miriam" w:hint="cs"/>
                      <w:szCs w:val="18"/>
                      <w:rtl/>
                      <w:lang w:eastAsia="en-US"/>
                    </w:rPr>
                  </w:pPr>
                  <w:r>
                    <w:rPr>
                      <w:rFonts w:cs="Miriam" w:hint="cs"/>
                      <w:szCs w:val="18"/>
                      <w:rtl/>
                      <w:lang w:eastAsia="en-US"/>
                    </w:rPr>
                    <w:t>דין וחשבון</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הפקח יערוך דין וחשבון על סילוק היד ופינוי המקרקעין ואופן ביצועם (להלן – דין וחשבון), יחתום עליו, ואם נכחו עדים כאמור בתקנה 3, יחתמו גם הם.</w:t>
      </w:r>
    </w:p>
    <w:p w14:paraId="1172134A" w14:textId="77777777" w:rsidR="00D92F79" w:rsidRDefault="00D92F7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העתק מן הדין וחשבון יימסר לתופס, אם היה נוכח בשעת ביצוע הצו.</w:t>
      </w:r>
    </w:p>
    <w:p w14:paraId="605AC3A4" w14:textId="77777777" w:rsidR="00D92F79" w:rsidRDefault="00D92F79">
      <w:pPr>
        <w:pStyle w:val="P00"/>
        <w:spacing w:before="72"/>
        <w:ind w:left="0" w:right="1134"/>
        <w:rPr>
          <w:rStyle w:val="default"/>
          <w:rFonts w:cs="FrankRuehl" w:hint="cs"/>
          <w:rtl/>
          <w:lang w:eastAsia="en-US"/>
        </w:rPr>
      </w:pPr>
      <w:bookmarkStart w:id="8" w:name="Seif6"/>
      <w:bookmarkEnd w:id="8"/>
      <w:r>
        <w:rPr>
          <w:rFonts w:cs="Miriam"/>
          <w:szCs w:val="32"/>
          <w:rtl/>
          <w:lang w:val="he-IL"/>
        </w:rPr>
        <w:pict w14:anchorId="75FA2FD2">
          <v:shape id="_x0000_s1258" type="#_x0000_t202" style="position:absolute;left:0;text-align:left;margin-left:470.25pt;margin-top:7.1pt;width:1in;height:9.25pt;z-index:251659264" filled="f" stroked="f">
            <v:textbox inset="1mm,0,1mm,0">
              <w:txbxContent>
                <w:p w14:paraId="29E4FCBB" w14:textId="77777777" w:rsidR="00D92F79" w:rsidRDefault="00D92F79">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תקנות מקרקעי ציבור (סילוק פולשים) (הוצאה לפועל), התשמ"א</w:t>
      </w:r>
      <w:r>
        <w:rPr>
          <w:rStyle w:val="default"/>
          <w:rFonts w:cs="FrankRuehl" w:hint="cs"/>
          <w:rtl/>
          <w:lang w:eastAsia="en-US"/>
        </w:rPr>
        <w:t xml:space="preserve">-1981 </w:t>
      </w:r>
      <w:r>
        <w:rPr>
          <w:rStyle w:val="default"/>
          <w:rFonts w:cs="FrankRuehl"/>
          <w:rtl/>
          <w:lang w:eastAsia="en-US"/>
        </w:rPr>
        <w:t>– בטלות</w:t>
      </w:r>
      <w:r>
        <w:rPr>
          <w:rStyle w:val="default"/>
          <w:rFonts w:cs="FrankRuehl" w:hint="cs"/>
          <w:rtl/>
          <w:lang w:eastAsia="en-US"/>
        </w:rPr>
        <w:t>.</w:t>
      </w:r>
    </w:p>
    <w:p w14:paraId="1510488B" w14:textId="77777777" w:rsidR="00D92F79" w:rsidRDefault="00D92F79">
      <w:pPr>
        <w:pStyle w:val="P00"/>
        <w:spacing w:before="72"/>
        <w:ind w:left="0" w:right="1134"/>
        <w:rPr>
          <w:rStyle w:val="default"/>
          <w:rFonts w:cs="FrankRuehl" w:hint="cs"/>
          <w:rtl/>
          <w:lang w:eastAsia="en-US"/>
        </w:rPr>
      </w:pPr>
      <w:bookmarkStart w:id="9" w:name="Seif7"/>
      <w:bookmarkEnd w:id="9"/>
      <w:r>
        <w:rPr>
          <w:rFonts w:cs="Miriam"/>
          <w:szCs w:val="32"/>
          <w:rtl/>
          <w:lang w:val="he-IL"/>
        </w:rPr>
        <w:pict w14:anchorId="1A096F65">
          <v:shape id="_x0000_s1259" type="#_x0000_t202" style="position:absolute;left:0;text-align:left;margin-left:470.25pt;margin-top:7.1pt;width:1in;height:9.25pt;z-index:251660288" filled="f" stroked="f">
            <v:textbox inset="1mm,0,1mm,0">
              <w:txbxContent>
                <w:p w14:paraId="694BA1A4" w14:textId="77777777" w:rsidR="00D92F79" w:rsidRDefault="00D92F79">
                  <w:pPr>
                    <w:spacing w:line="160" w:lineRule="exact"/>
                    <w:jc w:val="left"/>
                    <w:rPr>
                      <w:rFonts w:cs="Miriam" w:hint="cs"/>
                      <w:szCs w:val="18"/>
                      <w:rtl/>
                      <w:lang w:eastAsia="en-US"/>
                    </w:rPr>
                  </w:pPr>
                  <w:r>
                    <w:rPr>
                      <w:rFonts w:cs="Miriam" w:hint="cs"/>
                      <w:szCs w:val="18"/>
                      <w:rtl/>
                      <w:lang w:eastAsia="en-US"/>
                    </w:rPr>
                    <w:t>סייג לתחולה</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תקנות אלה לא יחולו על ביצוע צווים שהוצאו מכוח החוק ערב תחילתו של חוק מקרקעי ציבור (סילוק פולשים) (תיקון), התשס"ה</w:t>
      </w:r>
      <w:r>
        <w:rPr>
          <w:rStyle w:val="default"/>
          <w:rFonts w:cs="FrankRuehl" w:hint="cs"/>
          <w:rtl/>
          <w:lang w:eastAsia="en-US"/>
        </w:rPr>
        <w:t>-2005.</w:t>
      </w:r>
    </w:p>
    <w:p w14:paraId="2CBBA76E" w14:textId="77777777" w:rsidR="00D92F79" w:rsidRDefault="00D92F79">
      <w:pPr>
        <w:pStyle w:val="P00"/>
        <w:spacing w:before="72"/>
        <w:ind w:left="0" w:right="1134"/>
        <w:rPr>
          <w:rFonts w:hint="cs"/>
          <w:rtl/>
          <w:lang w:eastAsia="en-US"/>
        </w:rPr>
      </w:pPr>
    </w:p>
    <w:p w14:paraId="361303DF" w14:textId="77777777" w:rsidR="00D92F79" w:rsidRDefault="00D92F79">
      <w:pPr>
        <w:pStyle w:val="P00"/>
        <w:spacing w:before="72"/>
        <w:ind w:left="0" w:right="1134"/>
        <w:rPr>
          <w:rFonts w:hint="cs"/>
          <w:rtl/>
          <w:lang w:eastAsia="en-US"/>
        </w:rPr>
      </w:pPr>
    </w:p>
    <w:p w14:paraId="128864D8" w14:textId="77777777" w:rsidR="00D92F79" w:rsidRDefault="00D92F79" w:rsidP="00561B3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כ"ה באב התשס"ה (30 באוגוסט 2005)</w:t>
      </w:r>
      <w:r w:rsidR="00561B38">
        <w:rPr>
          <w:rFonts w:hint="cs"/>
          <w:rtl/>
          <w:lang w:eastAsia="en-US"/>
        </w:rPr>
        <w:tab/>
      </w:r>
      <w:r>
        <w:rPr>
          <w:rFonts w:hint="cs"/>
          <w:rtl/>
          <w:lang w:eastAsia="en-US"/>
        </w:rPr>
        <w:t>ציפי לבני</w:t>
      </w:r>
    </w:p>
    <w:p w14:paraId="15917C5A" w14:textId="77777777" w:rsidR="00D92F79" w:rsidRDefault="00D92F79" w:rsidP="00561B38">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שרת המשפטים</w:t>
      </w:r>
    </w:p>
    <w:p w14:paraId="095C3FEC" w14:textId="77777777" w:rsidR="00D92F79" w:rsidRDefault="00D92F79">
      <w:pPr>
        <w:pStyle w:val="P00"/>
        <w:spacing w:before="72"/>
        <w:ind w:left="0" w:right="1134"/>
        <w:rPr>
          <w:rStyle w:val="default"/>
          <w:rFonts w:cs="FrankRuehl" w:hint="cs"/>
          <w:rtl/>
          <w:lang w:eastAsia="en-US"/>
        </w:rPr>
      </w:pPr>
    </w:p>
    <w:sectPr w:rsidR="00D92F79">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7286" w14:textId="77777777" w:rsidR="00437977" w:rsidRDefault="00437977">
      <w:r>
        <w:separator/>
      </w:r>
    </w:p>
  </w:endnote>
  <w:endnote w:type="continuationSeparator" w:id="0">
    <w:p w14:paraId="750FF851" w14:textId="77777777" w:rsidR="00437977" w:rsidRDefault="00437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36E4" w14:textId="77777777" w:rsidR="00D92F79" w:rsidRDefault="00D92F7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F3389B6" w14:textId="77777777" w:rsidR="00D92F79" w:rsidRDefault="00D92F7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73716DB" w14:textId="77777777" w:rsidR="00D92F79" w:rsidRDefault="00D92F7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541E7">
      <w:rPr>
        <w:rFonts w:cs="TopType Jerushalmi"/>
        <w:noProof/>
        <w:color w:val="000000"/>
        <w:sz w:val="14"/>
        <w:szCs w:val="14"/>
        <w:lang w:eastAsia="en-US"/>
      </w:rPr>
      <w:t>C:\Yael\hakika\170406\999_488.doc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8D5D" w14:textId="77777777" w:rsidR="00D92F79" w:rsidRDefault="00D92F7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A9757E">
      <w:rPr>
        <w:noProof/>
        <w:sz w:val="24"/>
        <w:szCs w:val="24"/>
        <w:rtl/>
        <w:lang w:eastAsia="en-US"/>
      </w:rPr>
      <w:t>2</w:t>
    </w:r>
    <w:r>
      <w:rPr>
        <w:rFonts w:hAnsi="FrankRuehl"/>
        <w:sz w:val="24"/>
        <w:szCs w:val="24"/>
        <w:rtl/>
      </w:rPr>
      <w:fldChar w:fldCharType="end"/>
    </w:r>
  </w:p>
  <w:p w14:paraId="41E00D30" w14:textId="77777777" w:rsidR="00D92F79" w:rsidRDefault="00D92F7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B66D390" w14:textId="77777777" w:rsidR="00D92F79" w:rsidRDefault="00D92F7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541E7">
      <w:rPr>
        <w:rFonts w:cs="TopType Jerushalmi"/>
        <w:noProof/>
        <w:color w:val="000000"/>
        <w:sz w:val="14"/>
        <w:szCs w:val="14"/>
        <w:lang w:eastAsia="en-US"/>
      </w:rPr>
      <w:t>C:\Yael\hakika\170406\999_488.doc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42F0" w14:textId="77777777" w:rsidR="00437977" w:rsidRDefault="00437977" w:rsidP="00B541E7">
      <w:pPr>
        <w:spacing w:before="60" w:line="240" w:lineRule="auto"/>
        <w:ind w:right="1134"/>
      </w:pPr>
      <w:r>
        <w:separator/>
      </w:r>
    </w:p>
  </w:footnote>
  <w:footnote w:type="continuationSeparator" w:id="0">
    <w:p w14:paraId="5967E92C" w14:textId="77777777" w:rsidR="00437977" w:rsidRDefault="00437977">
      <w:r>
        <w:continuationSeparator/>
      </w:r>
    </w:p>
  </w:footnote>
  <w:footnote w:id="1">
    <w:p w14:paraId="53DB725A" w14:textId="77777777" w:rsidR="00D92F79" w:rsidRDefault="00D92F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lang w:eastAsia="en-US"/>
        </w:rPr>
        <w:t>*</w:t>
      </w:r>
      <w:r>
        <w:rPr>
          <w:rFonts w:hint="cs"/>
          <w:sz w:val="20"/>
          <w:rtl/>
          <w:lang w:eastAsia="en-US"/>
        </w:rPr>
        <w:t xml:space="preserve"> פורסמו </w:t>
      </w:r>
      <w:hyperlink r:id="rId1" w:history="1">
        <w:r>
          <w:rPr>
            <w:rStyle w:val="Hyperlink"/>
            <w:rFonts w:hint="cs"/>
            <w:rtl/>
            <w:lang w:eastAsia="en-US"/>
          </w:rPr>
          <w:t>ק"ת תשס"ה מס' 6422</w:t>
        </w:r>
      </w:hyperlink>
      <w:r>
        <w:rPr>
          <w:rFonts w:hint="cs"/>
          <w:rtl/>
          <w:lang w:eastAsia="en-US"/>
        </w:rPr>
        <w:t xml:space="preserve"> מיום 19.9.2005 עמ' 966.</w:t>
      </w:r>
    </w:p>
    <w:p w14:paraId="24BEBCF1" w14:textId="77777777" w:rsidR="00A9757E" w:rsidRDefault="00561B38" w:rsidP="00A9757E">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rFonts w:hint="cs"/>
          <w:sz w:val="20"/>
          <w:rtl/>
          <w:lang w:eastAsia="en-US"/>
        </w:rPr>
        <w:t xml:space="preserve">תוקנו </w:t>
      </w:r>
      <w:hyperlink r:id="rId2" w:history="1">
        <w:r w:rsidRPr="00A9757E">
          <w:rPr>
            <w:rStyle w:val="Hyperlink"/>
            <w:rFonts w:hint="cs"/>
            <w:sz w:val="20"/>
            <w:rtl/>
            <w:lang w:eastAsia="en-US"/>
          </w:rPr>
          <w:t>ק"ת תשע"ז מס' 7800</w:t>
        </w:r>
      </w:hyperlink>
      <w:r>
        <w:rPr>
          <w:rFonts w:hint="cs"/>
          <w:sz w:val="20"/>
          <w:rtl/>
          <w:lang w:eastAsia="en-US"/>
        </w:rPr>
        <w:t xml:space="preserve"> מיום 6.4.2017 עמ' 96</w:t>
      </w:r>
      <w:r w:rsidR="001603C9">
        <w:rPr>
          <w:rFonts w:hint="cs"/>
          <w:sz w:val="20"/>
          <w:rtl/>
          <w:lang w:eastAsia="en-US"/>
        </w:rPr>
        <w:t>5</w:t>
      </w:r>
      <w:r>
        <w:rPr>
          <w:rFonts w:hint="cs"/>
          <w:sz w:val="20"/>
          <w:rtl/>
          <w:lang w:eastAsia="en-US"/>
        </w:rPr>
        <w:t xml:space="preserve"> </w:t>
      </w:r>
      <w:r>
        <w:rPr>
          <w:sz w:val="20"/>
          <w:rtl/>
          <w:lang w:eastAsia="en-US"/>
        </w:rPr>
        <w:t>–</w:t>
      </w:r>
      <w:r>
        <w:rPr>
          <w:rFonts w:hint="cs"/>
          <w:sz w:val="20"/>
          <w:rtl/>
          <w:lang w:eastAsia="en-US"/>
        </w:rPr>
        <w:t xml:space="preserve"> 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637BC" w14:textId="77777777" w:rsidR="00D92F79" w:rsidRDefault="00D92F7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1D35222F" w14:textId="77777777" w:rsidR="00D92F79" w:rsidRDefault="00D92F7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A6D1FD2" w14:textId="77777777" w:rsidR="00D92F79" w:rsidRDefault="00D92F7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0BF9" w14:textId="77777777" w:rsidR="00D92F79" w:rsidRDefault="00D92F79" w:rsidP="00561B3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מקרקעי ציבור (</w:t>
    </w:r>
    <w:r w:rsidR="00561B38">
      <w:rPr>
        <w:rFonts w:hint="cs"/>
        <w:color w:val="000000"/>
        <w:sz w:val="28"/>
        <w:szCs w:val="28"/>
        <w:rtl/>
        <w:lang w:eastAsia="en-US"/>
      </w:rPr>
      <w:t>פינוי קרקע</w:t>
    </w:r>
    <w:r>
      <w:rPr>
        <w:rFonts w:hint="cs"/>
        <w:color w:val="000000"/>
        <w:sz w:val="28"/>
        <w:szCs w:val="28"/>
        <w:rtl/>
        <w:lang w:eastAsia="en-US"/>
      </w:rPr>
      <w:t>) (ביצוע צו)</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14:paraId="2D9E4206" w14:textId="77777777" w:rsidR="00D92F79" w:rsidRDefault="00D92F7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B57AFAE" w14:textId="77777777" w:rsidR="00D92F79" w:rsidRDefault="00D92F7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2F79"/>
    <w:rsid w:val="000C427C"/>
    <w:rsid w:val="00150328"/>
    <w:rsid w:val="001603C9"/>
    <w:rsid w:val="00272D57"/>
    <w:rsid w:val="003D72FC"/>
    <w:rsid w:val="00437977"/>
    <w:rsid w:val="00561B38"/>
    <w:rsid w:val="00A0689D"/>
    <w:rsid w:val="00A9757E"/>
    <w:rsid w:val="00AC3DC7"/>
    <w:rsid w:val="00B541E7"/>
    <w:rsid w:val="00D92F79"/>
    <w:rsid w:val="00E721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DBE484"/>
  <w15:chartTrackingRefBased/>
  <w15:docId w15:val="{ED805A94-68C7-4460-B341-031C7D33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80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800.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800.pdf" TargetMode="External"/><Relationship Id="rId1" Type="http://schemas.openxmlformats.org/officeDocument/2006/relationships/hyperlink" Target="http://www.nevo.co.il/Law_word/law06/TAK-64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3477</CharactersWithSpaces>
  <SharedDoc>false</SharedDoc>
  <HLinks>
    <vt:vector size="72" baseType="variant">
      <vt:variant>
        <vt:i4>8257536</vt:i4>
      </vt:variant>
      <vt:variant>
        <vt:i4>51</vt:i4>
      </vt:variant>
      <vt:variant>
        <vt:i4>0</vt:i4>
      </vt:variant>
      <vt:variant>
        <vt:i4>5</vt:i4>
      </vt:variant>
      <vt:variant>
        <vt:lpwstr>http://www.nevo.co.il/Law_word/law06/tak-7800.pdf</vt:lpwstr>
      </vt:variant>
      <vt:variant>
        <vt:lpwstr/>
      </vt:variant>
      <vt:variant>
        <vt:i4>8257536</vt:i4>
      </vt:variant>
      <vt:variant>
        <vt:i4>48</vt:i4>
      </vt:variant>
      <vt:variant>
        <vt:i4>0</vt:i4>
      </vt:variant>
      <vt:variant>
        <vt:i4>5</vt:i4>
      </vt:variant>
      <vt:variant>
        <vt:lpwstr>http://www.nevo.co.il/Law_word/law06/tak-7800.pdf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8257536</vt:i4>
      </vt:variant>
      <vt:variant>
        <vt:i4>3</vt:i4>
      </vt:variant>
      <vt:variant>
        <vt:i4>0</vt:i4>
      </vt:variant>
      <vt:variant>
        <vt:i4>5</vt:i4>
      </vt:variant>
      <vt:variant>
        <vt:lpwstr>http://www.nevo.co.il/Law_word/law06/tak-7800.pdf</vt:lpwstr>
      </vt:variant>
      <vt:variant>
        <vt:lpwstr/>
      </vt:variant>
      <vt:variant>
        <vt:i4>8192014</vt:i4>
      </vt:variant>
      <vt:variant>
        <vt:i4>0</vt:i4>
      </vt:variant>
      <vt:variant>
        <vt:i4>0</vt:i4>
      </vt:variant>
      <vt:variant>
        <vt:i4>5</vt:i4>
      </vt:variant>
      <vt:variant>
        <vt:lpwstr>http://www.nevo.co.il/Law_word/law06/TAK-6422.pdf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מקרקעין</vt:lpwstr>
  </property>
  <property fmtid="{D5CDD505-2E9C-101B-9397-08002B2CF9AE}" pid="4" name="LAWNAME">
    <vt:lpwstr>תקנות מקרקעי ציבור (פינוי קרקע) (ביצוע צו), תשס"ה-2005;תקנות מקרקעי ציבור (סילוק פולשים) (ביצוע צו)</vt:lpwstr>
  </property>
  <property fmtid="{D5CDD505-2E9C-101B-9397-08002B2CF9AE}" pid="5" name="LAWNUMBER">
    <vt:lpwstr>0488</vt:lpwstr>
  </property>
  <property fmtid="{D5CDD505-2E9C-101B-9397-08002B2CF9AE}" pid="6" name="TYPE">
    <vt:lpwstr>01</vt:lpwstr>
  </property>
  <property fmtid="{D5CDD505-2E9C-101B-9397-08002B2CF9AE}" pid="7" name="LINKK2">
    <vt:lpwstr>http://www.nevo.co.il/Law_word/law06/tak-7800.pdf;‎רשומות - תקנות כלליות#תוקנו ק"ת תשע"ז מס' ‏‏7800 #מיום 6.4.2017 עמ' 965 – תק' תשע"ז-2017‏</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http://www.nevo.co.il/Law_word/law06/TAK-6422.pdf;רשומות – תקנות כלליות#פורסמו ק"ת תשס"ה מס' 6422#מיום 19.9.2005#עמ' 966</vt:lpwstr>
  </property>
  <property fmtid="{D5CDD505-2E9C-101B-9397-08002B2CF9AE}" pid="22" name="MEKOR_NAME1">
    <vt:lpwstr>חוק מקרקעי ציבור (פינוי קרקע)</vt:lpwstr>
  </property>
  <property fmtid="{D5CDD505-2E9C-101B-9397-08002B2CF9AE}" pid="23" name="MEKOR_SAIF1">
    <vt:lpwstr>5XהX</vt:lpwstr>
  </property>
  <property fmtid="{D5CDD505-2E9C-101B-9397-08002B2CF9AE}" pid="24" name="NOSE11">
    <vt:lpwstr>משפט פרטי וכלכלה</vt:lpwstr>
  </property>
  <property fmtid="{D5CDD505-2E9C-101B-9397-08002B2CF9AE}" pid="25" name="NOSE21">
    <vt:lpwstr>קניין</vt:lpwstr>
  </property>
  <property fmtid="{D5CDD505-2E9C-101B-9397-08002B2CF9AE}" pid="26" name="NOSE31">
    <vt:lpwstr>מקרקעין</vt:lpwstr>
  </property>
  <property fmtid="{D5CDD505-2E9C-101B-9397-08002B2CF9AE}" pid="27" name="NOSE41">
    <vt:lpwstr>מקרקעי ציבור</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