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3E1E" w14:textId="77777777" w:rsidR="00EA0C68" w:rsidRDefault="00EA0C68">
      <w:pPr>
        <w:pStyle w:val="big-header"/>
        <w:ind w:left="0" w:right="1134"/>
        <w:rPr>
          <w:rFonts w:cs="FrankRuehl"/>
          <w:sz w:val="32"/>
        </w:rPr>
      </w:pPr>
      <w:r>
        <w:rPr>
          <w:rFonts w:cs="FrankRuehl" w:hint="cs"/>
          <w:sz w:val="32"/>
          <w:rtl/>
        </w:rPr>
        <w:t>תקנות מרשם האוכלוסין (מחיקת מען לתושבים המוחזקים כלא פעילים), תשס"ח-2008</w:t>
      </w:r>
    </w:p>
    <w:p w14:paraId="2573DBE4" w14:textId="77777777" w:rsidR="007A278C" w:rsidRPr="007A278C" w:rsidRDefault="007A278C" w:rsidP="007A278C">
      <w:pPr>
        <w:spacing w:line="320" w:lineRule="auto"/>
        <w:rPr>
          <w:rFonts w:cs="FrankRuehl"/>
          <w:szCs w:val="26"/>
          <w:rtl/>
        </w:rPr>
      </w:pPr>
    </w:p>
    <w:p w14:paraId="68C78F3F" w14:textId="77777777" w:rsidR="007A278C" w:rsidRDefault="007A278C" w:rsidP="007A278C">
      <w:pPr>
        <w:spacing w:line="320" w:lineRule="auto"/>
        <w:rPr>
          <w:rtl/>
        </w:rPr>
      </w:pPr>
    </w:p>
    <w:p w14:paraId="4ACF406C" w14:textId="77777777" w:rsidR="007A278C" w:rsidRPr="007A278C" w:rsidRDefault="007A278C" w:rsidP="007A278C">
      <w:pPr>
        <w:spacing w:line="320" w:lineRule="auto"/>
        <w:rPr>
          <w:rFonts w:cs="Miriam"/>
          <w:szCs w:val="22"/>
          <w:rtl/>
        </w:rPr>
      </w:pPr>
      <w:r w:rsidRPr="007A278C">
        <w:rPr>
          <w:rFonts w:cs="Miriam"/>
          <w:szCs w:val="22"/>
          <w:rtl/>
        </w:rPr>
        <w:t>רשויות ומשפט מנהלי</w:t>
      </w:r>
      <w:r w:rsidRPr="007A278C">
        <w:rPr>
          <w:rFonts w:cs="FrankRuehl"/>
          <w:szCs w:val="26"/>
          <w:rtl/>
        </w:rPr>
        <w:t xml:space="preserve"> – מרשם אוכלוסין</w:t>
      </w:r>
    </w:p>
    <w:p w14:paraId="0BE75597" w14:textId="77777777" w:rsidR="00EA0C68" w:rsidRDefault="00EA0C6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77C7" w:rsidRPr="00BC77C7" w14:paraId="74C434F8" w14:textId="77777777">
        <w:tblPrEx>
          <w:tblCellMar>
            <w:top w:w="0" w:type="dxa"/>
            <w:bottom w:w="0" w:type="dxa"/>
          </w:tblCellMar>
        </w:tblPrEx>
        <w:tc>
          <w:tcPr>
            <w:tcW w:w="1247" w:type="dxa"/>
          </w:tcPr>
          <w:p w14:paraId="44CB39FA" w14:textId="77777777" w:rsidR="00BC77C7" w:rsidRPr="00BC77C7" w:rsidRDefault="00BC77C7" w:rsidP="00BC77C7">
            <w:pPr>
              <w:rPr>
                <w:rFonts w:cs="Frankruhel" w:hint="cs"/>
                <w:rtl/>
              </w:rPr>
            </w:pPr>
            <w:r>
              <w:rPr>
                <w:rtl/>
              </w:rPr>
              <w:t xml:space="preserve">סעיף 1 </w:t>
            </w:r>
          </w:p>
        </w:tc>
        <w:tc>
          <w:tcPr>
            <w:tcW w:w="5669" w:type="dxa"/>
          </w:tcPr>
          <w:p w14:paraId="437C0788" w14:textId="77777777" w:rsidR="00BC77C7" w:rsidRPr="00BC77C7" w:rsidRDefault="00BC77C7" w:rsidP="00BC77C7">
            <w:pPr>
              <w:rPr>
                <w:rFonts w:cs="Frankruhel" w:hint="cs"/>
                <w:rtl/>
              </w:rPr>
            </w:pPr>
            <w:r>
              <w:rPr>
                <w:rtl/>
              </w:rPr>
              <w:t>הגדרה</w:t>
            </w:r>
          </w:p>
        </w:tc>
        <w:tc>
          <w:tcPr>
            <w:tcW w:w="567" w:type="dxa"/>
          </w:tcPr>
          <w:p w14:paraId="0839D2D6" w14:textId="77777777" w:rsidR="00BC77C7" w:rsidRPr="00BC77C7" w:rsidRDefault="00BC77C7" w:rsidP="00BC77C7">
            <w:pPr>
              <w:rPr>
                <w:rStyle w:val="Hyperlink"/>
                <w:rFonts w:hint="cs"/>
                <w:rtl/>
              </w:rPr>
            </w:pPr>
            <w:hyperlink w:anchor="Seif1" w:tooltip="הגדרה" w:history="1">
              <w:r w:rsidRPr="00BC77C7">
                <w:rPr>
                  <w:rStyle w:val="Hyperlink"/>
                </w:rPr>
                <w:t>Go</w:t>
              </w:r>
            </w:hyperlink>
          </w:p>
        </w:tc>
        <w:tc>
          <w:tcPr>
            <w:tcW w:w="850" w:type="dxa"/>
          </w:tcPr>
          <w:p w14:paraId="2D5A1AD5" w14:textId="77777777" w:rsidR="00BC77C7" w:rsidRPr="00BC77C7" w:rsidRDefault="00BC77C7" w:rsidP="00BC77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C77C7" w:rsidRPr="00BC77C7" w14:paraId="53A45CA7" w14:textId="77777777">
        <w:tblPrEx>
          <w:tblCellMar>
            <w:top w:w="0" w:type="dxa"/>
            <w:bottom w:w="0" w:type="dxa"/>
          </w:tblCellMar>
        </w:tblPrEx>
        <w:tc>
          <w:tcPr>
            <w:tcW w:w="1247" w:type="dxa"/>
          </w:tcPr>
          <w:p w14:paraId="2630F4E6" w14:textId="77777777" w:rsidR="00BC77C7" w:rsidRPr="00BC77C7" w:rsidRDefault="00BC77C7" w:rsidP="00BC77C7">
            <w:pPr>
              <w:rPr>
                <w:rFonts w:cs="Frankruhel" w:hint="cs"/>
                <w:rtl/>
              </w:rPr>
            </w:pPr>
            <w:r>
              <w:rPr>
                <w:rtl/>
              </w:rPr>
              <w:t xml:space="preserve">סעיף 2 </w:t>
            </w:r>
          </w:p>
        </w:tc>
        <w:tc>
          <w:tcPr>
            <w:tcW w:w="5669" w:type="dxa"/>
          </w:tcPr>
          <w:p w14:paraId="3F2FD720" w14:textId="77777777" w:rsidR="00BC77C7" w:rsidRPr="00BC77C7" w:rsidRDefault="00BC77C7" w:rsidP="00BC77C7">
            <w:pPr>
              <w:rPr>
                <w:rFonts w:cs="Frankruhel" w:hint="cs"/>
                <w:rtl/>
              </w:rPr>
            </w:pPr>
            <w:r>
              <w:rPr>
                <w:rtl/>
              </w:rPr>
              <w:t>מחיקת מען</w:t>
            </w:r>
          </w:p>
        </w:tc>
        <w:tc>
          <w:tcPr>
            <w:tcW w:w="567" w:type="dxa"/>
          </w:tcPr>
          <w:p w14:paraId="295CA99D" w14:textId="77777777" w:rsidR="00BC77C7" w:rsidRPr="00BC77C7" w:rsidRDefault="00BC77C7" w:rsidP="00BC77C7">
            <w:pPr>
              <w:rPr>
                <w:rStyle w:val="Hyperlink"/>
                <w:rFonts w:hint="cs"/>
                <w:rtl/>
              </w:rPr>
            </w:pPr>
            <w:hyperlink w:anchor="Seif2" w:tooltip="מחיקת מען" w:history="1">
              <w:r w:rsidRPr="00BC77C7">
                <w:rPr>
                  <w:rStyle w:val="Hyperlink"/>
                </w:rPr>
                <w:t>Go</w:t>
              </w:r>
            </w:hyperlink>
          </w:p>
        </w:tc>
        <w:tc>
          <w:tcPr>
            <w:tcW w:w="850" w:type="dxa"/>
          </w:tcPr>
          <w:p w14:paraId="62E3AE58" w14:textId="77777777" w:rsidR="00BC77C7" w:rsidRPr="00BC77C7" w:rsidRDefault="00BC77C7" w:rsidP="00BC77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3836814" w14:textId="77777777" w:rsidR="00EA0C68" w:rsidRDefault="00EA0C68">
      <w:pPr>
        <w:pStyle w:val="big-header"/>
        <w:ind w:left="0" w:right="1134"/>
        <w:rPr>
          <w:rFonts w:cs="FrankRuehl" w:hint="cs"/>
          <w:sz w:val="32"/>
          <w:rtl/>
        </w:rPr>
      </w:pPr>
    </w:p>
    <w:p w14:paraId="433CB94E" w14:textId="77777777" w:rsidR="00EA0C68" w:rsidRDefault="00EA0C68" w:rsidP="007A278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מרשם האוכלוסין (מחיקת מען לתושבים המוחזקים כלא פעילים), תשס"ח-2008</w:t>
      </w:r>
      <w:r>
        <w:rPr>
          <w:rStyle w:val="default"/>
          <w:sz w:val="22"/>
          <w:szCs w:val="22"/>
          <w:rtl/>
        </w:rPr>
        <w:footnoteReference w:customMarkFollows="1" w:id="1"/>
        <w:t>*</w:t>
      </w:r>
    </w:p>
    <w:p w14:paraId="0B9DD0B6" w14:textId="77777777" w:rsidR="00EA0C68" w:rsidRDefault="00EA0C68">
      <w:pPr>
        <w:pStyle w:val="P00"/>
        <w:spacing w:before="72"/>
        <w:ind w:left="0" w:right="1134"/>
        <w:rPr>
          <w:rStyle w:val="default"/>
          <w:rFonts w:cs="FrankRuehl" w:hint="cs"/>
          <w:rtl/>
        </w:rPr>
      </w:pPr>
      <w:r>
        <w:rPr>
          <w:rStyle w:val="default"/>
          <w:rFonts w:cs="FrankRuehl" w:hint="cs"/>
          <w:rtl/>
        </w:rPr>
        <w:tab/>
        <w:t>בתוקף סמכותי לפי סעיף 47 לחוק מרשם האוכלוסין, התשכ"ה-1965, ובאישור ועדת החוקה חוק ומשפט של הכנסת, אני מתקין תקנות אלה:</w:t>
      </w:r>
    </w:p>
    <w:p w14:paraId="405C94C2" w14:textId="77777777" w:rsidR="00EA0C68" w:rsidRDefault="00EA0C68" w:rsidP="00BC77C7">
      <w:pPr>
        <w:pStyle w:val="P00"/>
        <w:spacing w:before="72"/>
        <w:ind w:left="0" w:right="1134"/>
        <w:rPr>
          <w:rStyle w:val="default"/>
          <w:rFonts w:cs="FrankRuehl" w:hint="cs"/>
          <w:rtl/>
        </w:rPr>
      </w:pPr>
      <w:bookmarkStart w:id="0" w:name="Seif1"/>
      <w:bookmarkEnd w:id="0"/>
      <w:r>
        <w:rPr>
          <w:rFonts w:cs="Miriam"/>
          <w:lang w:val="he-IL"/>
        </w:rPr>
        <w:pict w14:anchorId="6EA4A9E9">
          <v:rect id="_x0000_s1026" style="position:absolute;left:0;text-align:left;margin-left:464.35pt;margin-top:7.1pt;width:75.05pt;height:16.95pt;z-index:251657216" o:allowincell="f" filled="f" stroked="f" strokecolor="lime" strokeweight=".25pt">
            <v:textbox style="mso-next-textbox:#_x0000_s1026" inset="0,0,0,0">
              <w:txbxContent>
                <w:p w14:paraId="40427393" w14:textId="77777777" w:rsidR="00EA0C68" w:rsidRDefault="00EA0C68">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hyperlink r:id="rId7" w:tooltip="אזכורים" w:history="1">
        <w:r w:rsidR="00BC77C7" w:rsidRPr="00BC77C7">
          <w:rPr>
            <w:rStyle w:val="Hyperlink"/>
            <w:rtl/>
          </w:rPr>
          <w:t>*</w:t>
        </w:r>
      </w:hyperlink>
      <w:r>
        <w:rPr>
          <w:rStyle w:val="big-number"/>
          <w:rFonts w:cs="FrankRuehl"/>
          <w:sz w:val="26"/>
          <w:szCs w:val="26"/>
          <w:rtl/>
        </w:rPr>
        <w:tab/>
      </w:r>
      <w:r>
        <w:rPr>
          <w:rStyle w:val="default"/>
          <w:rFonts w:cs="FrankRuehl" w:hint="cs"/>
          <w:rtl/>
        </w:rPr>
        <w:t xml:space="preserve">בתקנות אלה, "תושב שמוחזק כלא פעיל" </w:t>
      </w:r>
      <w:r>
        <w:rPr>
          <w:rStyle w:val="default"/>
          <w:rFonts w:cs="FrankRuehl"/>
          <w:rtl/>
        </w:rPr>
        <w:t>–</w:t>
      </w:r>
      <w:r>
        <w:rPr>
          <w:rStyle w:val="default"/>
          <w:rFonts w:cs="FrankRuehl" w:hint="cs"/>
          <w:rtl/>
        </w:rPr>
        <w:t xml:space="preserve"> תושב שגילו הרשום במרשם האוכלוסין הוא מעל מאה ועשר שנים, ואשר נמצא כי לא משתלמת לו גמלה לפי חוק הביטוח הלאומי [נוסח משולב], התשנ"ה-1995, או לפי חוק הבטחת הכנסה, התשמ"א-1980.</w:t>
      </w:r>
    </w:p>
    <w:p w14:paraId="3AC3AA9F" w14:textId="77777777" w:rsidR="00EA0C68" w:rsidRDefault="00EA0C68" w:rsidP="00BC77C7">
      <w:pPr>
        <w:pStyle w:val="P00"/>
        <w:spacing w:before="72"/>
        <w:ind w:left="0" w:right="1134"/>
        <w:rPr>
          <w:rStyle w:val="default"/>
          <w:rFonts w:cs="FrankRuehl" w:hint="cs"/>
          <w:rtl/>
        </w:rPr>
      </w:pPr>
      <w:bookmarkStart w:id="1" w:name="Seif2"/>
      <w:bookmarkEnd w:id="1"/>
      <w:r>
        <w:rPr>
          <w:rFonts w:cs="Miriam"/>
          <w:lang w:val="he-IL"/>
        </w:rPr>
        <w:pict w14:anchorId="3E1732DA">
          <v:rect id="_x0000_s1216" style="position:absolute;left:0;text-align:left;margin-left:464.35pt;margin-top:7.1pt;width:75.05pt;height:15.05pt;z-index:251658240" o:allowincell="f" filled="f" stroked="f" strokecolor="lime" strokeweight=".25pt">
            <v:textbox style="mso-next-textbox:#_x0000_s1216" inset="0,0,0,0">
              <w:txbxContent>
                <w:p w14:paraId="48792D9B" w14:textId="77777777" w:rsidR="00EA0C68" w:rsidRDefault="00EA0C68">
                  <w:pPr>
                    <w:spacing w:line="160" w:lineRule="exact"/>
                    <w:rPr>
                      <w:rFonts w:cs="Miriam" w:hint="cs"/>
                      <w:noProof/>
                      <w:sz w:val="18"/>
                      <w:szCs w:val="18"/>
                      <w:rtl/>
                    </w:rPr>
                  </w:pPr>
                  <w:r>
                    <w:rPr>
                      <w:rFonts w:cs="Miriam" w:hint="cs"/>
                      <w:sz w:val="18"/>
                      <w:szCs w:val="18"/>
                      <w:rtl/>
                    </w:rPr>
                    <w:t>מחיקת מען</w:t>
                  </w:r>
                </w:p>
              </w:txbxContent>
            </v:textbox>
            <w10:anchorlock/>
          </v:rect>
        </w:pict>
      </w:r>
      <w:r>
        <w:rPr>
          <w:rStyle w:val="big-number"/>
          <w:rFonts w:cs="Miriam" w:hint="cs"/>
          <w:rtl/>
        </w:rPr>
        <w:t>2</w:t>
      </w:r>
      <w:r>
        <w:rPr>
          <w:rStyle w:val="big-number"/>
          <w:rFonts w:cs="FrankRuehl"/>
          <w:sz w:val="26"/>
          <w:szCs w:val="26"/>
          <w:rtl/>
        </w:rPr>
        <w:t>.</w:t>
      </w:r>
      <w:hyperlink r:id="rId8" w:tooltip="אזכורים" w:history="1">
        <w:r w:rsidR="00BC77C7" w:rsidRPr="00BC77C7">
          <w:rPr>
            <w:rStyle w:val="Hyperlink"/>
            <w:rtl/>
          </w:rPr>
          <w:t>*</w:t>
        </w:r>
      </w:hyperlink>
      <w:r>
        <w:rPr>
          <w:rStyle w:val="big-number"/>
          <w:rFonts w:cs="FrankRuehl"/>
          <w:sz w:val="26"/>
          <w:szCs w:val="26"/>
          <w:rtl/>
        </w:rPr>
        <w:tab/>
      </w:r>
      <w:r>
        <w:rPr>
          <w:rStyle w:val="default"/>
          <w:rFonts w:cs="FrankRuehl" w:hint="cs"/>
          <w:rtl/>
        </w:rPr>
        <w:t>(א)</w:t>
      </w:r>
      <w:r>
        <w:rPr>
          <w:rStyle w:val="default"/>
          <w:rFonts w:cs="FrankRuehl" w:hint="cs"/>
          <w:rtl/>
        </w:rPr>
        <w:tab/>
        <w:t>מנהל מינהל האוכלוסין ישלח בא' באייר של כל שנה הודעה בכתב בדואר רשום לכל תושב שמוחזק כלא פעיל, שבה יודיע לו על הכוונה למחוק את מענו הרשום במרשם האוכלוסין; ההודעה תישלח למענו הרשום של תושב כאמור במרשם האוכלוסין.</w:t>
      </w:r>
    </w:p>
    <w:p w14:paraId="7F756EEC" w14:textId="77777777" w:rsidR="00EA0C68" w:rsidRDefault="00EA0C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מינהל האוכלוסין יפנה בא' באייר של כל שנה לרשויות המקומיות שעל פי מרשם האוכלוסין מתגוררים בהן תושבים המחוזקים כלא פעילים; הרשויות יתבקשו להודיע בתוך 60 ימים מהתאריך הרשום בהודעה האם ידוע להם מענם של אותם תושבים.</w:t>
      </w:r>
    </w:p>
    <w:p w14:paraId="572D59C8" w14:textId="77777777" w:rsidR="00EA0C68" w:rsidRDefault="00EA0C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שנשלחה אליו הודעה לפי תקנת משנה (א) יודיע בתוך 60 ימים מהתאריך המצוין בהודעה כי הוא מתגורר במענו הרשום במרשם האוכלוסין או במען אחר בישראל.</w:t>
      </w:r>
    </w:p>
    <w:p w14:paraId="01DA25DA" w14:textId="77777777" w:rsidR="00EA0C68" w:rsidRDefault="00EA0C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שחלפו 60 ימים מיום שליחת ההודעה בכתב, מנהל מינהל האוכלוסין יפרסם בשלושה עיתונים יומיים בעלי תפוצה רחבה, אחד מהם בשפה הערבית, הודעה על כוונה למחוק ממרשם האוכלוסין את מענם של תושבים המוחזקים כלא פעילים, שלא יודיעו על מענם בתוך 30 ימים מיום הפרסום; תושב כאמור שלא הודיע על מענו בישראל בתוך 30 ימים מיום הפרסום, והרשות המקומית שהוא מתגורר בה על פי מרשם האוכלוסין לא הודיעה כי ידוע לה מענו של אותו תושב, מענו ימחק ממרשם האוכלוסין.</w:t>
      </w:r>
    </w:p>
    <w:p w14:paraId="28EAC7A8" w14:textId="77777777" w:rsidR="00EA0C68" w:rsidRDefault="00EA0C68">
      <w:pPr>
        <w:pStyle w:val="P00"/>
        <w:spacing w:before="72"/>
        <w:ind w:left="0" w:right="1134"/>
        <w:rPr>
          <w:rStyle w:val="default"/>
          <w:rFonts w:cs="FrankRuehl" w:hint="cs"/>
          <w:rtl/>
        </w:rPr>
      </w:pPr>
    </w:p>
    <w:p w14:paraId="51FA38FF" w14:textId="77777777" w:rsidR="00EA0C68" w:rsidRDefault="00EA0C68">
      <w:pPr>
        <w:pStyle w:val="P00"/>
        <w:spacing w:before="72"/>
        <w:ind w:left="0" w:right="1134"/>
        <w:rPr>
          <w:rStyle w:val="default"/>
          <w:rFonts w:cs="FrankRuehl" w:hint="cs"/>
          <w:rtl/>
        </w:rPr>
      </w:pPr>
    </w:p>
    <w:p w14:paraId="07696BA0" w14:textId="77777777" w:rsidR="00EA0C68" w:rsidRDefault="00EA0C68">
      <w:pPr>
        <w:pStyle w:val="sig-0"/>
        <w:tabs>
          <w:tab w:val="clear" w:pos="4820"/>
          <w:tab w:val="center" w:pos="5103"/>
        </w:tabs>
        <w:ind w:left="0" w:right="1134"/>
        <w:rPr>
          <w:rFonts w:cs="FrankRuehl" w:hint="cs"/>
          <w:sz w:val="26"/>
          <w:rtl/>
        </w:rPr>
      </w:pPr>
      <w:r>
        <w:rPr>
          <w:rFonts w:cs="FrankRuehl" w:hint="cs"/>
          <w:sz w:val="26"/>
          <w:rtl/>
        </w:rPr>
        <w:t>ד' בניסן התשס"ח (9 באפריל 2008)</w:t>
      </w:r>
      <w:r>
        <w:rPr>
          <w:rFonts w:cs="FrankRuehl" w:hint="cs"/>
          <w:sz w:val="26"/>
          <w:rtl/>
        </w:rPr>
        <w:tab/>
        <w:t>מאיר שטרית</w:t>
      </w:r>
    </w:p>
    <w:p w14:paraId="72529C8F" w14:textId="77777777" w:rsidR="00EA0C68" w:rsidRDefault="00EA0C68">
      <w:pPr>
        <w:pStyle w:val="sig-0"/>
        <w:tabs>
          <w:tab w:val="clear" w:pos="4820"/>
          <w:tab w:val="center" w:pos="5103"/>
        </w:tabs>
        <w:ind w:left="0" w:right="1134"/>
        <w:rPr>
          <w:rFonts w:cs="FrankRuehl" w:hint="cs"/>
          <w:sz w:val="22"/>
          <w:szCs w:val="22"/>
          <w:rtl/>
        </w:rPr>
      </w:pPr>
      <w:r>
        <w:rPr>
          <w:rFonts w:cs="FrankRuehl" w:hint="cs"/>
          <w:sz w:val="22"/>
          <w:szCs w:val="22"/>
          <w:rtl/>
        </w:rPr>
        <w:tab/>
        <w:t>שר הפנים</w:t>
      </w:r>
    </w:p>
    <w:p w14:paraId="664D0612" w14:textId="77777777" w:rsidR="00EA0C68" w:rsidRDefault="00EA0C68">
      <w:pPr>
        <w:pStyle w:val="P00"/>
        <w:spacing w:before="72"/>
        <w:ind w:left="0" w:right="1134"/>
        <w:rPr>
          <w:rStyle w:val="default"/>
          <w:rFonts w:cs="FrankRuehl" w:hint="cs"/>
          <w:rtl/>
        </w:rPr>
      </w:pPr>
    </w:p>
    <w:p w14:paraId="33EEBE93" w14:textId="77777777" w:rsidR="00EA0C68" w:rsidRDefault="00EA0C68">
      <w:pPr>
        <w:pStyle w:val="P00"/>
        <w:spacing w:before="72"/>
        <w:ind w:left="0" w:right="1134"/>
        <w:rPr>
          <w:rStyle w:val="default"/>
          <w:rFonts w:cs="FrankRuehl" w:hint="cs"/>
          <w:rtl/>
        </w:rPr>
      </w:pPr>
    </w:p>
    <w:p w14:paraId="6911E5AA" w14:textId="77777777" w:rsidR="00EA0C68" w:rsidRDefault="00EA0C68">
      <w:pPr>
        <w:pStyle w:val="P00"/>
        <w:spacing w:before="72"/>
        <w:ind w:left="0" w:right="1134"/>
        <w:rPr>
          <w:rStyle w:val="default"/>
          <w:rFonts w:cs="FrankRuehl"/>
          <w:rtl/>
        </w:rPr>
      </w:pPr>
    </w:p>
    <w:sectPr w:rsidR="00EA0C6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B181B" w14:textId="77777777" w:rsidR="0095415C" w:rsidRDefault="0095415C">
      <w:r>
        <w:separator/>
      </w:r>
    </w:p>
  </w:endnote>
  <w:endnote w:type="continuationSeparator" w:id="0">
    <w:p w14:paraId="584E27D6" w14:textId="77777777" w:rsidR="0095415C" w:rsidRDefault="0095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510B" w14:textId="77777777" w:rsidR="00EA0C68" w:rsidRDefault="00EA0C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ADCF04" w14:textId="77777777" w:rsidR="00EA0C68" w:rsidRDefault="00EA0C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EB92E2" w14:textId="77777777" w:rsidR="00EA0C68" w:rsidRDefault="00EA0C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77C7">
      <w:rPr>
        <w:rFonts w:cs="TopType Jerushalmi"/>
        <w:noProof/>
        <w:color w:val="000000"/>
        <w:sz w:val="14"/>
        <w:szCs w:val="14"/>
      </w:rPr>
      <w:t>Z:\000000000000-law\yael\08-04-14\tav\999_949.doc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5B28" w14:textId="77777777" w:rsidR="00EA0C68" w:rsidRDefault="00EA0C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278C">
      <w:rPr>
        <w:rFonts w:hAnsi="FrankRuehl" w:cs="FrankRuehl"/>
        <w:noProof/>
        <w:sz w:val="24"/>
        <w:szCs w:val="24"/>
        <w:rtl/>
      </w:rPr>
      <w:t>2</w:t>
    </w:r>
    <w:r>
      <w:rPr>
        <w:rFonts w:hAnsi="FrankRuehl" w:cs="FrankRuehl"/>
        <w:sz w:val="24"/>
        <w:szCs w:val="24"/>
        <w:rtl/>
      </w:rPr>
      <w:fldChar w:fldCharType="end"/>
    </w:r>
  </w:p>
  <w:p w14:paraId="6C50CE6B" w14:textId="77777777" w:rsidR="00EA0C68" w:rsidRDefault="00EA0C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0BC440" w14:textId="77777777" w:rsidR="00EA0C68" w:rsidRDefault="00EA0C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77C7">
      <w:rPr>
        <w:rFonts w:cs="TopType Jerushalmi"/>
        <w:noProof/>
        <w:color w:val="000000"/>
        <w:sz w:val="14"/>
        <w:szCs w:val="14"/>
      </w:rPr>
      <w:t>Z:\000000000000-law\yael\08-04-14\tav\999_949.doc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9B8E" w14:textId="77777777" w:rsidR="0095415C" w:rsidRDefault="0095415C">
      <w:r>
        <w:separator/>
      </w:r>
    </w:p>
  </w:footnote>
  <w:footnote w:type="continuationSeparator" w:id="0">
    <w:p w14:paraId="4281145E" w14:textId="77777777" w:rsidR="0095415C" w:rsidRDefault="0095415C">
      <w:r>
        <w:continuationSeparator/>
      </w:r>
    </w:p>
  </w:footnote>
  <w:footnote w:id="1">
    <w:p w14:paraId="3E1422B0" w14:textId="77777777" w:rsidR="00CA6573" w:rsidRDefault="00EA0C68" w:rsidP="00CA65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A6573">
          <w:rPr>
            <w:rStyle w:val="Hyperlink"/>
            <w:rFonts w:cs="FrankRuehl" w:hint="cs"/>
            <w:rtl/>
          </w:rPr>
          <w:t>ק"ת תשס"ח מס' 6666</w:t>
        </w:r>
      </w:hyperlink>
      <w:r>
        <w:rPr>
          <w:rFonts w:cs="FrankRuehl" w:hint="cs"/>
          <w:rtl/>
        </w:rPr>
        <w:t xml:space="preserve"> מיום 14.4.2008 עמ' 852.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5DDA" w14:textId="77777777" w:rsidR="00EA0C68" w:rsidRDefault="00EA0C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0D74FD5" w14:textId="77777777" w:rsidR="00EA0C68" w:rsidRDefault="00EA0C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1E7DD7" w14:textId="77777777" w:rsidR="00EA0C68" w:rsidRDefault="00EA0C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4EA4" w14:textId="77777777" w:rsidR="00EA0C68" w:rsidRDefault="00EA0C6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מרשם האוכלוסין (מחיקת מען לתושבים המוחזקים כלא פעילים), תשס"ח-2008</w:t>
    </w:r>
  </w:p>
  <w:p w14:paraId="6D34D3E6" w14:textId="77777777" w:rsidR="00EA0C68" w:rsidRDefault="00EA0C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B21518" w14:textId="77777777" w:rsidR="00EA0C68" w:rsidRDefault="00EA0C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242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573"/>
    <w:rsid w:val="000E46E0"/>
    <w:rsid w:val="007A278C"/>
    <w:rsid w:val="0095415C"/>
    <w:rsid w:val="00BA30B2"/>
    <w:rsid w:val="00BC77C7"/>
    <w:rsid w:val="00CA6573"/>
    <w:rsid w:val="00D141C3"/>
    <w:rsid w:val="00E0236D"/>
    <w:rsid w:val="00EA0C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E83686"/>
  <w15:chartTrackingRefBased/>
  <w15:docId w15:val="{C000A691-F6CB-4239-9BD9-737505AE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502;&#1512;&#1513;&#1501;%20&#1492;&#1488;&#1493;&#1499;&#1500;&#1493;&#1505;&#1497;&#1503;%20(&#1502;&#1495;&#1497;&#1511;&#1514;%20&#1502;&#1506;&#1503;%20&#1500;&#1514;&#1493;&#1513;&#1489;&#1497;&#1501;%20&#1492;&#1502;&#1493;&#1495;&#1494;&#1511;&#1497;&#1501;%20&#1499;&#1500;&#1488;%20&#1508;&#1506;&#1497;&#1500;&#1497;&#1501;)&amp;pIzcurNum=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inks/psika/?pIzcurLaw=&#1514;&#1511;&#1504;&#1493;&#1514;%20&#1502;&#1512;&#1513;&#1501;%20&#1492;&#1488;&#1493;&#1499;&#1500;&#1493;&#1505;&#1497;&#1503;%20(&#1502;&#1495;&#1497;&#1511;&#1514;%20&#1502;&#1506;&#1503;%20&#1500;&#1514;&#1493;&#1513;&#1489;&#1497;&#1501;%20&#1492;&#1502;&#1493;&#1495;&#1494;&#1511;&#1497;&#1501;%20&#1499;&#1500;&#1488;%20&#1508;&#1506;&#1497;&#1500;&#1497;&#1501;)&amp;pIzcurNum=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2066</CharactersWithSpaces>
  <SharedDoc>false</SharedDoc>
  <HLinks>
    <vt:vector size="30" baseType="variant">
      <vt:variant>
        <vt:i4>5505060</vt:i4>
      </vt:variant>
      <vt:variant>
        <vt:i4>15</vt:i4>
      </vt:variant>
      <vt:variant>
        <vt:i4>0</vt:i4>
      </vt:variant>
      <vt:variant>
        <vt:i4>5</vt:i4>
      </vt:variant>
      <vt:variant>
        <vt:lpwstr>http://www.nevo.co.il/links/psika/?pIzcurLaw=תקנות מרשם האוכלוסין (מחיקת מען לתושבים המוחזקים כלא פעילים)&amp;pIzcurNum=2</vt:lpwstr>
      </vt:variant>
      <vt:variant>
        <vt:lpwstr/>
      </vt:variant>
      <vt:variant>
        <vt:i4>5505060</vt:i4>
      </vt:variant>
      <vt:variant>
        <vt:i4>12</vt:i4>
      </vt:variant>
      <vt:variant>
        <vt:i4>0</vt:i4>
      </vt:variant>
      <vt:variant>
        <vt:i4>5</vt:i4>
      </vt:variant>
      <vt:variant>
        <vt:lpwstr>http://www.nevo.co.il/links/psika/?pIzcurLaw=תקנות מרשם האוכלוסין (מחיקת מען לתושבים המוחזקים כלא פעילים)&amp;pIzcurNum=1</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http://www.nevo.co.il/Law_word/law06/TAK-6666.pdf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מרשם האוכלוסין (מחיקת מען לתושבים המוחזקים כלא פעילים), תשס"ח-2008</vt:lpwstr>
  </property>
  <property fmtid="{D5CDD505-2E9C-101B-9397-08002B2CF9AE}" pid="4" name="LAWNUMBER">
    <vt:lpwstr>0949</vt:lpwstr>
  </property>
  <property fmtid="{D5CDD505-2E9C-101B-9397-08002B2CF9AE}" pid="5" name="TYPE">
    <vt:lpwstr>01</vt:lpwstr>
  </property>
  <property fmtid="{D5CDD505-2E9C-101B-9397-08002B2CF9AE}" pid="6" name="CHNAME">
    <vt:lpwstr>מרשם האוכלוסין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http://www.nevo.co.il/Law_word/law06/TAK-6666.pdf;רשומות - תקנות כלליות#פורסמו ק"ת תשס"ח מס' 6666 #מיום 14.4.2008 עמ' 852</vt:lpwstr>
  </property>
  <property fmtid="{D5CDD505-2E9C-101B-9397-08002B2CF9AE}" pid="22" name="MEKOR_NAME1">
    <vt:lpwstr>חוק מרשם האוכלוסין</vt:lpwstr>
  </property>
  <property fmtid="{D5CDD505-2E9C-101B-9397-08002B2CF9AE}" pid="23" name="MEKOR_SAIF1">
    <vt:lpwstr>47X</vt:lpwstr>
  </property>
  <property fmtid="{D5CDD505-2E9C-101B-9397-08002B2CF9AE}" pid="24" name="NOSE11">
    <vt:lpwstr>רשויות ומשפט מנהלי</vt:lpwstr>
  </property>
  <property fmtid="{D5CDD505-2E9C-101B-9397-08002B2CF9AE}" pid="25" name="NOSE21">
    <vt:lpwstr>מרשם אוכלוסין</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