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876593" w14:textId="77777777" w:rsidR="002C33CF" w:rsidRDefault="002C33CF">
      <w:pPr>
        <w:pStyle w:val="big-header"/>
        <w:ind w:left="0" w:right="1134"/>
        <w:rPr>
          <w:rFonts w:cs="FrankRuehl" w:hint="cs"/>
          <w:sz w:val="32"/>
          <w:rtl/>
        </w:rPr>
      </w:pPr>
      <w:r>
        <w:rPr>
          <w:rFonts w:cs="FrankRuehl"/>
          <w:sz w:val="32"/>
          <w:rtl/>
        </w:rPr>
        <w:t>תקנות משפחות חיילים שנספו במערכה (ביטוח מפני מחלה) (מס' 2), תשנ"ד–1993</w:t>
      </w:r>
    </w:p>
    <w:p w14:paraId="575072C5" w14:textId="77777777" w:rsidR="00915D76" w:rsidRPr="00915D76" w:rsidRDefault="00915D76" w:rsidP="00915D76">
      <w:pPr>
        <w:spacing w:line="320" w:lineRule="auto"/>
        <w:jc w:val="left"/>
        <w:rPr>
          <w:rFonts w:cs="FrankRuehl"/>
          <w:szCs w:val="26"/>
          <w:rtl/>
        </w:rPr>
      </w:pPr>
    </w:p>
    <w:p w14:paraId="444FDC83" w14:textId="77777777" w:rsidR="00915D76" w:rsidRPr="00915D76" w:rsidRDefault="00915D76" w:rsidP="00915D76">
      <w:pPr>
        <w:spacing w:line="320" w:lineRule="auto"/>
        <w:jc w:val="left"/>
        <w:rPr>
          <w:rFonts w:cs="Miriam" w:hint="cs"/>
          <w:szCs w:val="22"/>
          <w:rtl/>
        </w:rPr>
      </w:pPr>
      <w:r w:rsidRPr="00915D76">
        <w:rPr>
          <w:rFonts w:cs="Miriam"/>
          <w:szCs w:val="22"/>
          <w:rtl/>
        </w:rPr>
        <w:t>בטחון</w:t>
      </w:r>
      <w:r w:rsidRPr="00915D76">
        <w:rPr>
          <w:rFonts w:cs="FrankRuehl"/>
          <w:szCs w:val="26"/>
          <w:rtl/>
        </w:rPr>
        <w:t xml:space="preserve"> – צה"ל – חיילים – משפחות חיילים שנספו</w:t>
      </w:r>
    </w:p>
    <w:p w14:paraId="46CB6B7A" w14:textId="77777777" w:rsidR="002C33CF" w:rsidRDefault="002C33CF">
      <w:pPr>
        <w:pStyle w:val="big-header"/>
        <w:ind w:left="0" w:right="1134"/>
        <w:rPr>
          <w:rFonts w:cs="FrankRuehl"/>
          <w:sz w:val="32"/>
          <w:rtl/>
        </w:rPr>
      </w:pPr>
      <w:r>
        <w:rPr>
          <w:rFonts w:cs="FrankRuehl"/>
          <w:sz w:val="32"/>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2C33CF" w14:paraId="47F59ACA" w14:textId="77777777">
        <w:tblPrEx>
          <w:tblCellMar>
            <w:top w:w="0" w:type="dxa"/>
            <w:bottom w:w="0" w:type="dxa"/>
          </w:tblCellMar>
        </w:tblPrEx>
        <w:tc>
          <w:tcPr>
            <w:tcW w:w="850" w:type="dxa"/>
          </w:tcPr>
          <w:p w14:paraId="04E6F1A7" w14:textId="77777777" w:rsidR="002C33CF" w:rsidRDefault="002C33CF">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2AD14E57" w14:textId="77777777" w:rsidR="002C33CF" w:rsidRDefault="002C33CF">
            <w:pPr>
              <w:spacing w:line="240" w:lineRule="auto"/>
              <w:rPr>
                <w:sz w:val="24"/>
              </w:rPr>
            </w:pPr>
            <w:hyperlink w:anchor="Seif0" w:tooltip="שיעור השתתפות המדינה" w:history="1">
              <w:r>
                <w:rPr>
                  <w:rStyle w:val="Hyperlink"/>
                </w:rPr>
                <w:t>Go</w:t>
              </w:r>
            </w:hyperlink>
          </w:p>
        </w:tc>
        <w:tc>
          <w:tcPr>
            <w:tcW w:w="5669" w:type="dxa"/>
          </w:tcPr>
          <w:p w14:paraId="3AB71BB3" w14:textId="77777777" w:rsidR="002C33CF" w:rsidRDefault="002C33CF">
            <w:pPr>
              <w:spacing w:line="240" w:lineRule="auto"/>
              <w:rPr>
                <w:sz w:val="24"/>
                <w:rtl/>
              </w:rPr>
            </w:pPr>
            <w:r>
              <w:rPr>
                <w:sz w:val="24"/>
                <w:rtl/>
              </w:rPr>
              <w:t>שיעור השתתפות המדינה</w:t>
            </w:r>
          </w:p>
        </w:tc>
        <w:tc>
          <w:tcPr>
            <w:tcW w:w="1247" w:type="dxa"/>
          </w:tcPr>
          <w:p w14:paraId="1DAE6F6E" w14:textId="77777777" w:rsidR="002C33CF" w:rsidRDefault="002C33CF">
            <w:pPr>
              <w:spacing w:line="240" w:lineRule="auto"/>
              <w:rPr>
                <w:sz w:val="24"/>
              </w:rPr>
            </w:pPr>
            <w:r>
              <w:rPr>
                <w:sz w:val="24"/>
                <w:rtl/>
              </w:rPr>
              <w:t xml:space="preserve">סעיף 1 </w:t>
            </w:r>
          </w:p>
        </w:tc>
      </w:tr>
      <w:tr w:rsidR="002C33CF" w14:paraId="4962E749" w14:textId="77777777">
        <w:tblPrEx>
          <w:tblCellMar>
            <w:top w:w="0" w:type="dxa"/>
            <w:bottom w:w="0" w:type="dxa"/>
          </w:tblCellMar>
        </w:tblPrEx>
        <w:tc>
          <w:tcPr>
            <w:tcW w:w="850" w:type="dxa"/>
          </w:tcPr>
          <w:p w14:paraId="34400A54" w14:textId="77777777" w:rsidR="002C33CF" w:rsidRDefault="002C33CF">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17D91548" w14:textId="77777777" w:rsidR="002C33CF" w:rsidRDefault="002C33CF">
            <w:pPr>
              <w:spacing w:line="240" w:lineRule="auto"/>
              <w:rPr>
                <w:sz w:val="24"/>
              </w:rPr>
            </w:pPr>
            <w:hyperlink w:anchor="Seif1" w:tooltip="ביטול" w:history="1">
              <w:r>
                <w:rPr>
                  <w:rStyle w:val="Hyperlink"/>
                </w:rPr>
                <w:t>Go</w:t>
              </w:r>
            </w:hyperlink>
          </w:p>
        </w:tc>
        <w:tc>
          <w:tcPr>
            <w:tcW w:w="5669" w:type="dxa"/>
          </w:tcPr>
          <w:p w14:paraId="7E1219AF" w14:textId="77777777" w:rsidR="002C33CF" w:rsidRDefault="002C33CF">
            <w:pPr>
              <w:spacing w:line="240" w:lineRule="auto"/>
              <w:rPr>
                <w:sz w:val="24"/>
                <w:rtl/>
              </w:rPr>
            </w:pPr>
            <w:r>
              <w:rPr>
                <w:sz w:val="24"/>
                <w:rtl/>
              </w:rPr>
              <w:t>ביטול</w:t>
            </w:r>
          </w:p>
        </w:tc>
        <w:tc>
          <w:tcPr>
            <w:tcW w:w="1247" w:type="dxa"/>
          </w:tcPr>
          <w:p w14:paraId="17704710" w14:textId="77777777" w:rsidR="002C33CF" w:rsidRDefault="002C33CF">
            <w:pPr>
              <w:spacing w:line="240" w:lineRule="auto"/>
              <w:rPr>
                <w:sz w:val="24"/>
              </w:rPr>
            </w:pPr>
            <w:r>
              <w:rPr>
                <w:sz w:val="24"/>
                <w:rtl/>
              </w:rPr>
              <w:t xml:space="preserve">סעיף 2 </w:t>
            </w:r>
          </w:p>
        </w:tc>
      </w:tr>
      <w:tr w:rsidR="002C33CF" w14:paraId="201F6389" w14:textId="77777777">
        <w:tblPrEx>
          <w:tblCellMar>
            <w:top w:w="0" w:type="dxa"/>
            <w:bottom w:w="0" w:type="dxa"/>
          </w:tblCellMar>
        </w:tblPrEx>
        <w:tc>
          <w:tcPr>
            <w:tcW w:w="850" w:type="dxa"/>
          </w:tcPr>
          <w:p w14:paraId="724FB761" w14:textId="77777777" w:rsidR="002C33CF" w:rsidRDefault="002C33CF">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Pr>
                <w:sz w:val="24"/>
                <w:rtl/>
              </w:rPr>
              <w:t>2</w:t>
            </w:r>
            <w:r>
              <w:rPr>
                <w:sz w:val="24"/>
                <w:rtl/>
              </w:rPr>
              <w:fldChar w:fldCharType="end"/>
            </w:r>
          </w:p>
        </w:tc>
        <w:tc>
          <w:tcPr>
            <w:tcW w:w="567" w:type="dxa"/>
          </w:tcPr>
          <w:p w14:paraId="773AF899" w14:textId="77777777" w:rsidR="002C33CF" w:rsidRDefault="002C33CF">
            <w:pPr>
              <w:spacing w:line="240" w:lineRule="auto"/>
              <w:rPr>
                <w:sz w:val="24"/>
              </w:rPr>
            </w:pPr>
            <w:hyperlink w:anchor="Seif2" w:tooltip="תחילה" w:history="1">
              <w:r>
                <w:rPr>
                  <w:rStyle w:val="Hyperlink"/>
                </w:rPr>
                <w:t>Go</w:t>
              </w:r>
            </w:hyperlink>
          </w:p>
        </w:tc>
        <w:tc>
          <w:tcPr>
            <w:tcW w:w="5669" w:type="dxa"/>
          </w:tcPr>
          <w:p w14:paraId="2C60093C" w14:textId="77777777" w:rsidR="002C33CF" w:rsidRDefault="002C33CF">
            <w:pPr>
              <w:spacing w:line="240" w:lineRule="auto"/>
              <w:rPr>
                <w:sz w:val="24"/>
                <w:rtl/>
              </w:rPr>
            </w:pPr>
            <w:r>
              <w:rPr>
                <w:sz w:val="24"/>
                <w:rtl/>
              </w:rPr>
              <w:t>תחילה</w:t>
            </w:r>
          </w:p>
        </w:tc>
        <w:tc>
          <w:tcPr>
            <w:tcW w:w="1247" w:type="dxa"/>
          </w:tcPr>
          <w:p w14:paraId="7B4EFBD0" w14:textId="77777777" w:rsidR="002C33CF" w:rsidRDefault="002C33CF">
            <w:pPr>
              <w:spacing w:line="240" w:lineRule="auto"/>
              <w:rPr>
                <w:sz w:val="24"/>
              </w:rPr>
            </w:pPr>
            <w:r>
              <w:rPr>
                <w:sz w:val="24"/>
                <w:rtl/>
              </w:rPr>
              <w:t xml:space="preserve">סעיף 3 </w:t>
            </w:r>
          </w:p>
        </w:tc>
      </w:tr>
    </w:tbl>
    <w:p w14:paraId="6F3A33BE" w14:textId="77777777" w:rsidR="002C33CF" w:rsidRDefault="002C33CF">
      <w:pPr>
        <w:pStyle w:val="big-header"/>
        <w:ind w:left="0" w:right="1134"/>
        <w:rPr>
          <w:rFonts w:cs="FrankRuehl"/>
          <w:sz w:val="32"/>
          <w:rtl/>
        </w:rPr>
      </w:pPr>
    </w:p>
    <w:p w14:paraId="26DFE9F9" w14:textId="77777777" w:rsidR="002C33CF" w:rsidRPr="00915D76" w:rsidRDefault="002C33CF" w:rsidP="00915D76">
      <w:pPr>
        <w:pStyle w:val="big-header"/>
        <w:ind w:left="0" w:right="1134"/>
        <w:rPr>
          <w:rStyle w:val="default"/>
          <w:rFonts w:cs="FrankRuehl"/>
          <w:sz w:val="32"/>
          <w:szCs w:val="32"/>
          <w:rtl/>
        </w:rPr>
      </w:pPr>
      <w:r>
        <w:rPr>
          <w:rFonts w:cs="FrankRuehl"/>
          <w:sz w:val="32"/>
          <w:rtl/>
        </w:rPr>
        <w:br w:type="page"/>
      </w:r>
      <w:r>
        <w:rPr>
          <w:rFonts w:cs="FrankRuehl"/>
          <w:sz w:val="32"/>
          <w:rtl/>
        </w:rPr>
        <w:lastRenderedPageBreak/>
        <w:t>תק</w:t>
      </w:r>
      <w:r>
        <w:rPr>
          <w:rFonts w:cs="FrankRuehl" w:hint="cs"/>
          <w:sz w:val="32"/>
          <w:rtl/>
        </w:rPr>
        <w:t>נות משפחות חיילים שנספו במערכה (ביטוח מפני מחלה) (מס' 2), תשנ"ד</w:t>
      </w:r>
      <w:r>
        <w:rPr>
          <w:rFonts w:cs="FrankRuehl"/>
          <w:sz w:val="32"/>
          <w:rtl/>
        </w:rPr>
        <w:t>–1993</w:t>
      </w:r>
      <w:r>
        <w:rPr>
          <w:rStyle w:val="super"/>
          <w:rFonts w:cs="Miriam"/>
          <w:noProof w:val="0"/>
          <w:rtl/>
          <w:lang w:eastAsia="he-IL"/>
        </w:rPr>
        <w:t>(31)</w:t>
      </w:r>
    </w:p>
    <w:p w14:paraId="771FC94C" w14:textId="77777777" w:rsidR="002C33CF" w:rsidRDefault="002C33CF">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וקף סמכותי לפי סעיפים 15(ב) ו-37 לחוק משפחות חיילים שנספו במערכה (תגמולים ושיקום), תש"י</w:t>
      </w:r>
      <w:r>
        <w:rPr>
          <w:rStyle w:val="default"/>
          <w:rFonts w:cs="FrankRuehl"/>
          <w:rtl/>
        </w:rPr>
        <w:t>–1950 (</w:t>
      </w:r>
      <w:r>
        <w:rPr>
          <w:rStyle w:val="default"/>
          <w:rFonts w:cs="FrankRuehl" w:hint="cs"/>
          <w:rtl/>
        </w:rPr>
        <w:t xml:space="preserve">להלן </w:t>
      </w:r>
      <w:r>
        <w:rPr>
          <w:rStyle w:val="default"/>
          <w:rFonts w:cs="FrankRuehl"/>
          <w:rtl/>
        </w:rPr>
        <w:t xml:space="preserve">— </w:t>
      </w:r>
      <w:r>
        <w:rPr>
          <w:rStyle w:val="default"/>
          <w:rFonts w:cs="FrankRuehl" w:hint="cs"/>
          <w:rtl/>
        </w:rPr>
        <w:t xml:space="preserve">החוק), אני מתקין תקנות אלה: </w:t>
      </w:r>
    </w:p>
    <w:p w14:paraId="197A72A1" w14:textId="77777777" w:rsidR="002C33CF" w:rsidRDefault="002C33CF">
      <w:pPr>
        <w:pStyle w:val="P00"/>
        <w:spacing w:before="72"/>
        <w:ind w:left="0" w:right="1134"/>
        <w:rPr>
          <w:rStyle w:val="default"/>
          <w:rFonts w:cs="FrankRuehl"/>
          <w:rtl/>
        </w:rPr>
      </w:pPr>
      <w:bookmarkStart w:id="0" w:name="Seif0"/>
      <w:bookmarkEnd w:id="0"/>
      <w:r>
        <w:rPr>
          <w:lang w:val="he-IL"/>
        </w:rPr>
        <w:pict w14:anchorId="4FCE9645">
          <v:rect id="_x0000_s1026" style="position:absolute;left:0;text-align:left;margin-left:464.5pt;margin-top:8.05pt;width:75.05pt;height:8pt;z-index:251656704" o:allowincell="f" filled="f" stroked="f" strokecolor="lime" strokeweight=".25pt">
            <v:textbox inset="0,0,0,0">
              <w:txbxContent>
                <w:p w14:paraId="03255CDE" w14:textId="77777777" w:rsidR="002C33CF" w:rsidRDefault="002C33CF">
                  <w:pPr>
                    <w:spacing w:line="160" w:lineRule="exact"/>
                    <w:jc w:val="left"/>
                    <w:rPr>
                      <w:rFonts w:cs="Miriam"/>
                      <w:noProof/>
                      <w:sz w:val="18"/>
                      <w:szCs w:val="18"/>
                      <w:rtl/>
                    </w:rPr>
                  </w:pPr>
                  <w:r>
                    <w:rPr>
                      <w:rFonts w:cs="Miriam"/>
                      <w:sz w:val="18"/>
                      <w:szCs w:val="18"/>
                      <w:rtl/>
                    </w:rPr>
                    <w:t>שי</w:t>
                  </w:r>
                  <w:r>
                    <w:rPr>
                      <w:rFonts w:cs="Miriam" w:hint="cs"/>
                      <w:sz w:val="18"/>
                      <w:szCs w:val="18"/>
                      <w:rtl/>
                    </w:rPr>
                    <w:t>עור השתתפות המדינה</w:t>
                  </w:r>
                </w:p>
              </w:txbxContent>
            </v:textbox>
            <w10:anchorlock/>
          </v:rect>
        </w:pict>
      </w:r>
      <w:r>
        <w:rPr>
          <w:rStyle w:val="big-number"/>
          <w:rFonts w:cs="Miriam"/>
          <w:rtl/>
        </w:rPr>
        <w:t>1.</w:t>
      </w:r>
      <w:r>
        <w:rPr>
          <w:rStyle w:val="big-number"/>
          <w:rFonts w:cs="Miriam"/>
          <w:rtl/>
        </w:rPr>
        <w:tab/>
      </w:r>
      <w:r>
        <w:rPr>
          <w:rStyle w:val="default"/>
          <w:rFonts w:cs="FrankRuehl"/>
          <w:rtl/>
        </w:rPr>
        <w:t>הש</w:t>
      </w:r>
      <w:r>
        <w:rPr>
          <w:rStyle w:val="default"/>
          <w:rFonts w:cs="FrankRuehl" w:hint="cs"/>
          <w:rtl/>
        </w:rPr>
        <w:t xml:space="preserve">תתפות המדינה </w:t>
      </w:r>
      <w:r>
        <w:rPr>
          <w:rStyle w:val="default"/>
          <w:rFonts w:cs="FrankRuehl"/>
          <w:rtl/>
        </w:rPr>
        <w:t>בה</w:t>
      </w:r>
      <w:r>
        <w:rPr>
          <w:rStyle w:val="default"/>
          <w:rFonts w:cs="FrankRuehl" w:hint="cs"/>
          <w:rtl/>
        </w:rPr>
        <w:t xml:space="preserve">וצאות ביטוח מפני מחלה, כאמור בסעיף 15(ב) לחוק, של מקבל תגמול לפי אחד מסעיפי החוק המפורטים להלן בטור א', תהיה בשיעור הנקוב לצדו של אותו סעיף בטור ב', שישולם לכל חודש שבעדו משתלם התגמול: </w:t>
      </w:r>
    </w:p>
    <w:p w14:paraId="098C5472" w14:textId="77777777" w:rsidR="002C33CF" w:rsidRDefault="002C33CF">
      <w:pPr>
        <w:pStyle w:val="P00"/>
        <w:spacing w:before="72"/>
        <w:ind w:left="0" w:right="1134"/>
        <w:rPr>
          <w:rStyle w:val="default"/>
          <w:rFonts w:cs="FrankRuehl"/>
          <w:sz w:val="20"/>
          <w:szCs w:val="20"/>
          <w:rtl/>
        </w:rPr>
      </w:pPr>
      <w:r>
        <w:rPr>
          <w:rFonts w:cs="FrankRuehl"/>
          <w:sz w:val="26"/>
          <w:rtl/>
        </w:rPr>
        <w:tab/>
      </w:r>
      <w:r>
        <w:rPr>
          <w:rStyle w:val="default"/>
          <w:rFonts w:cs="FrankRuehl"/>
          <w:sz w:val="20"/>
          <w:szCs w:val="20"/>
          <w:rtl/>
        </w:rPr>
        <w:t>טו</w:t>
      </w:r>
      <w:r>
        <w:rPr>
          <w:rStyle w:val="default"/>
          <w:rFonts w:cs="FrankRuehl" w:hint="cs"/>
          <w:sz w:val="20"/>
          <w:szCs w:val="20"/>
          <w:rtl/>
        </w:rPr>
        <w:t>ר א'</w:t>
      </w:r>
      <w:r>
        <w:rPr>
          <w:rStyle w:val="default"/>
          <w:rFonts w:cs="FrankRuehl"/>
          <w:sz w:val="20"/>
          <w:szCs w:val="20"/>
          <w:rtl/>
        </w:rPr>
        <w:tab/>
      </w:r>
      <w:r>
        <w:rPr>
          <w:rStyle w:val="default"/>
          <w:rFonts w:cs="FrankRuehl"/>
          <w:sz w:val="20"/>
          <w:szCs w:val="20"/>
          <w:rtl/>
        </w:rPr>
        <w:tab/>
      </w:r>
      <w:r>
        <w:rPr>
          <w:rStyle w:val="default"/>
          <w:rFonts w:cs="FrankRuehl"/>
          <w:sz w:val="20"/>
          <w:szCs w:val="20"/>
          <w:rtl/>
        </w:rPr>
        <w:tab/>
      </w:r>
      <w:r>
        <w:rPr>
          <w:rStyle w:val="default"/>
          <w:rFonts w:cs="FrankRuehl"/>
          <w:sz w:val="20"/>
          <w:szCs w:val="20"/>
          <w:rtl/>
        </w:rPr>
        <w:tab/>
        <w:t>ט</w:t>
      </w:r>
      <w:r>
        <w:rPr>
          <w:rStyle w:val="default"/>
          <w:rFonts w:cs="FrankRuehl" w:hint="cs"/>
          <w:sz w:val="20"/>
          <w:szCs w:val="20"/>
          <w:rtl/>
        </w:rPr>
        <w:t>ור ב'</w:t>
      </w:r>
    </w:p>
    <w:p w14:paraId="6790579A" w14:textId="77777777" w:rsidR="002C33CF" w:rsidRDefault="002C33CF">
      <w:pPr>
        <w:pStyle w:val="P00"/>
        <w:spacing w:before="72"/>
        <w:ind w:left="0" w:right="1134"/>
        <w:rPr>
          <w:rStyle w:val="default"/>
          <w:rFonts w:cs="FrankRuehl"/>
          <w:sz w:val="20"/>
          <w:szCs w:val="20"/>
          <w:rtl/>
        </w:rPr>
      </w:pPr>
      <w:r>
        <w:rPr>
          <w:rFonts w:cs="FrankRuehl"/>
          <w:szCs w:val="20"/>
          <w:rtl/>
        </w:rPr>
        <w:tab/>
      </w:r>
      <w:r>
        <w:rPr>
          <w:rStyle w:val="default"/>
          <w:rFonts w:cs="FrankRuehl"/>
          <w:sz w:val="20"/>
          <w:szCs w:val="20"/>
          <w:rtl/>
        </w:rPr>
        <w:t>הס</w:t>
      </w:r>
      <w:r>
        <w:rPr>
          <w:rStyle w:val="default"/>
          <w:rFonts w:cs="FrankRuehl" w:hint="cs"/>
          <w:sz w:val="20"/>
          <w:szCs w:val="20"/>
          <w:rtl/>
        </w:rPr>
        <w:t>עיף</w:t>
      </w:r>
      <w:r>
        <w:rPr>
          <w:rFonts w:cs="FrankRuehl"/>
          <w:szCs w:val="20"/>
          <w:rtl/>
        </w:rPr>
        <w:t> </w:t>
      </w:r>
      <w:r>
        <w:rPr>
          <w:rFonts w:cs="FrankRuehl"/>
          <w:szCs w:val="20"/>
          <w:rtl/>
        </w:rPr>
        <w:t> </w:t>
      </w:r>
      <w:r>
        <w:rPr>
          <w:rFonts w:cs="FrankRuehl"/>
          <w:szCs w:val="20"/>
          <w:rtl/>
        </w:rPr>
        <w:tab/>
      </w:r>
      <w:r>
        <w:rPr>
          <w:rFonts w:cs="FrankRuehl"/>
          <w:szCs w:val="20"/>
          <w:rtl/>
        </w:rPr>
        <w:tab/>
      </w:r>
      <w:r>
        <w:rPr>
          <w:rFonts w:cs="FrankRuehl"/>
          <w:szCs w:val="20"/>
          <w:rtl/>
        </w:rPr>
        <w:tab/>
      </w:r>
      <w:r>
        <w:rPr>
          <w:rStyle w:val="default"/>
          <w:rFonts w:cs="FrankRuehl"/>
          <w:sz w:val="20"/>
          <w:szCs w:val="20"/>
          <w:rtl/>
        </w:rPr>
        <w:t>בש</w:t>
      </w:r>
      <w:r>
        <w:rPr>
          <w:rStyle w:val="default"/>
          <w:rFonts w:cs="FrankRuehl" w:hint="cs"/>
          <w:sz w:val="20"/>
          <w:szCs w:val="20"/>
          <w:rtl/>
        </w:rPr>
        <w:t>קלים חדשים</w:t>
      </w:r>
    </w:p>
    <w:p w14:paraId="277DA602" w14:textId="77777777" w:rsidR="002C33CF" w:rsidRDefault="002C33CF">
      <w:pPr>
        <w:pStyle w:val="P00"/>
        <w:spacing w:before="72"/>
        <w:ind w:left="0" w:right="1134"/>
        <w:rPr>
          <w:rStyle w:val="default"/>
          <w:rFonts w:cs="FrankRuehl"/>
          <w:rtl/>
        </w:rPr>
      </w:pPr>
      <w:r>
        <w:rPr>
          <w:rStyle w:val="default"/>
          <w:rFonts w:cs="FrankRuehl"/>
          <w:rtl/>
        </w:rPr>
        <w:t>___________________________________</w:t>
      </w:r>
    </w:p>
    <w:p w14:paraId="1A566642" w14:textId="77777777" w:rsidR="002C33CF" w:rsidRDefault="002C33CF">
      <w:pPr>
        <w:pStyle w:val="P00"/>
        <w:spacing w:before="72"/>
        <w:ind w:left="0" w:right="1134" w:firstLine="567"/>
        <w:rPr>
          <w:rStyle w:val="default"/>
          <w:rFonts w:cs="FrankRuehl"/>
          <w:rtl/>
        </w:rPr>
      </w:pPr>
      <w:r>
        <w:rPr>
          <w:rStyle w:val="default"/>
          <w:rFonts w:cs="FrankRuehl"/>
          <w:rtl/>
        </w:rPr>
        <w:t>7</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59.96</w:t>
      </w:r>
    </w:p>
    <w:p w14:paraId="7F9DA90C" w14:textId="77777777" w:rsidR="002C33CF" w:rsidRDefault="002C33CF">
      <w:pPr>
        <w:pStyle w:val="P00"/>
        <w:spacing w:before="72"/>
        <w:ind w:left="0" w:right="1134" w:firstLine="567"/>
        <w:rPr>
          <w:rStyle w:val="default"/>
          <w:rFonts w:cs="FrankRuehl"/>
          <w:rtl/>
        </w:rPr>
      </w:pPr>
      <w:r>
        <w:rPr>
          <w:rStyle w:val="default"/>
          <w:rFonts w:cs="FrankRuehl" w:hint="cs"/>
          <w:rtl/>
        </w:rPr>
        <w:t>8</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72.59</w:t>
      </w:r>
    </w:p>
    <w:p w14:paraId="5E6B1E9A" w14:textId="77777777" w:rsidR="002C33CF" w:rsidRDefault="002C33CF">
      <w:pPr>
        <w:pStyle w:val="P00"/>
        <w:spacing w:before="72"/>
        <w:ind w:left="0" w:right="1134" w:firstLine="567"/>
        <w:rPr>
          <w:rStyle w:val="default"/>
          <w:rFonts w:cs="FrankRuehl"/>
          <w:rtl/>
        </w:rPr>
      </w:pPr>
      <w:r>
        <w:rPr>
          <w:rStyle w:val="default"/>
          <w:rFonts w:cs="FrankRuehl" w:hint="cs"/>
          <w:rtl/>
        </w:rPr>
        <w:t>9</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59.96</w:t>
      </w:r>
    </w:p>
    <w:p w14:paraId="4E81F3DA"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א</w:t>
      </w:r>
      <w:r>
        <w:rPr>
          <w:rStyle w:val="default"/>
          <w:rFonts w:cs="FrankRuehl" w:hint="cs"/>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72.59 </w:t>
      </w:r>
    </w:p>
    <w:p w14:paraId="6A74E056"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ב</w:t>
      </w:r>
      <w:r>
        <w:rPr>
          <w:rStyle w:val="default"/>
          <w:rFonts w:cs="FrankRuehl" w:hint="cs"/>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t>59.96</w:t>
      </w:r>
    </w:p>
    <w:p w14:paraId="20CF43E5"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ג</w:t>
      </w:r>
      <w:r>
        <w:rPr>
          <w:rStyle w:val="default"/>
          <w:rFonts w:cs="FrankRuehl" w:hint="cs"/>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72.59</w:t>
      </w:r>
    </w:p>
    <w:p w14:paraId="4A6C7D4F"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ד</w:t>
      </w:r>
      <w:r>
        <w:rPr>
          <w:rStyle w:val="default"/>
          <w:rFonts w:cs="FrankRuehl" w:hint="cs"/>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t>72.59</w:t>
      </w:r>
    </w:p>
    <w:p w14:paraId="3F1026BA"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ה</w:t>
      </w:r>
      <w:r>
        <w:rPr>
          <w:rStyle w:val="default"/>
          <w:rFonts w:cs="FrankRuehl" w:hint="cs"/>
          <w:rtl/>
        </w:rPr>
        <w:t>)</w:t>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59.96 </w:t>
      </w:r>
    </w:p>
    <w:p w14:paraId="69AA7E0B" w14:textId="77777777" w:rsidR="002C33CF" w:rsidRDefault="002C33CF">
      <w:pPr>
        <w:pStyle w:val="P00"/>
        <w:spacing w:before="72"/>
        <w:ind w:left="0" w:right="1134" w:firstLine="567"/>
        <w:rPr>
          <w:rStyle w:val="default"/>
          <w:rFonts w:cs="FrankRuehl"/>
          <w:rtl/>
        </w:rPr>
      </w:pPr>
      <w:r>
        <w:rPr>
          <w:rStyle w:val="default"/>
          <w:rFonts w:cs="FrankRuehl" w:hint="cs"/>
          <w:rtl/>
        </w:rPr>
        <w:t>10</w:t>
      </w:r>
      <w:r>
        <w:rPr>
          <w:rStyle w:val="default"/>
          <w:rFonts w:cs="FrankRuehl"/>
          <w:rtl/>
        </w:rPr>
        <w:t>א</w:t>
      </w:r>
      <w:r>
        <w:rPr>
          <w:rStyle w:val="default"/>
          <w:rFonts w:cs="FrankRuehl"/>
          <w:rtl/>
        </w:rPr>
        <w:tab/>
      </w:r>
      <w:r>
        <w:rPr>
          <w:rStyle w:val="default"/>
          <w:rFonts w:cs="FrankRuehl"/>
          <w:rtl/>
        </w:rPr>
        <w:tab/>
      </w:r>
      <w:r>
        <w:rPr>
          <w:rStyle w:val="default"/>
          <w:rFonts w:cs="FrankRuehl"/>
          <w:rtl/>
        </w:rPr>
        <w:tab/>
      </w:r>
      <w:r>
        <w:rPr>
          <w:rStyle w:val="default"/>
          <w:rFonts w:cs="FrankRuehl"/>
          <w:rtl/>
        </w:rPr>
        <w:tab/>
      </w:r>
      <w:r>
        <w:rPr>
          <w:rStyle w:val="default"/>
          <w:rFonts w:cs="FrankRuehl"/>
          <w:rtl/>
        </w:rPr>
        <w:tab/>
        <w:t>72.59</w:t>
      </w:r>
    </w:p>
    <w:p w14:paraId="4CB248FB" w14:textId="77777777" w:rsidR="002C33CF" w:rsidRDefault="002C33CF">
      <w:pPr>
        <w:pStyle w:val="P00"/>
        <w:spacing w:before="72"/>
        <w:ind w:left="0" w:right="1134" w:firstLine="567"/>
        <w:rPr>
          <w:rStyle w:val="default"/>
          <w:rFonts w:cs="FrankRuehl"/>
          <w:rtl/>
        </w:rPr>
      </w:pPr>
      <w:r>
        <w:rPr>
          <w:rStyle w:val="default"/>
          <w:rFonts w:cs="FrankRuehl" w:hint="cs"/>
          <w:rtl/>
        </w:rPr>
        <w:t xml:space="preserve">12 </w:t>
      </w:r>
      <w:r>
        <w:rPr>
          <w:rStyle w:val="default"/>
          <w:rFonts w:cs="FrankRuehl"/>
          <w:rtl/>
        </w:rPr>
        <w:t>ב</w:t>
      </w:r>
      <w:r>
        <w:rPr>
          <w:rStyle w:val="default"/>
          <w:rFonts w:cs="FrankRuehl" w:hint="cs"/>
          <w:rtl/>
        </w:rPr>
        <w:t>ין אם יש לו בן זוג ובין אם אין לו59.96</w:t>
      </w:r>
    </w:p>
    <w:p w14:paraId="6EA6AEFB" w14:textId="77777777" w:rsidR="002C33CF" w:rsidRDefault="002C33CF">
      <w:pPr>
        <w:pStyle w:val="P00"/>
        <w:spacing w:before="72"/>
        <w:ind w:left="0" w:right="1134" w:firstLine="567"/>
        <w:rPr>
          <w:rStyle w:val="default"/>
          <w:rFonts w:cs="FrankRuehl"/>
          <w:rtl/>
        </w:rPr>
      </w:pPr>
      <w:r>
        <w:rPr>
          <w:rStyle w:val="default"/>
          <w:rFonts w:cs="FrankRuehl" w:hint="cs"/>
          <w:rtl/>
        </w:rPr>
        <w:t>13(1)</w:t>
      </w:r>
      <w:r>
        <w:rPr>
          <w:rStyle w:val="default"/>
          <w:rFonts w:cs="FrankRuehl"/>
          <w:rtl/>
        </w:rPr>
        <w:tab/>
      </w:r>
      <w:r>
        <w:rPr>
          <w:rStyle w:val="default"/>
          <w:rFonts w:cs="FrankRuehl"/>
          <w:rtl/>
        </w:rPr>
        <w:tab/>
      </w:r>
      <w:r>
        <w:rPr>
          <w:rStyle w:val="default"/>
          <w:rFonts w:cs="FrankRuehl"/>
          <w:rtl/>
        </w:rPr>
        <w:tab/>
      </w:r>
      <w:r>
        <w:rPr>
          <w:rStyle w:val="default"/>
          <w:rFonts w:cs="FrankRuehl"/>
          <w:rtl/>
        </w:rPr>
        <w:tab/>
        <w:t>59.96</w:t>
      </w:r>
    </w:p>
    <w:p w14:paraId="0B93BF4F" w14:textId="77777777" w:rsidR="002C33CF" w:rsidRDefault="002C33CF">
      <w:pPr>
        <w:pStyle w:val="P00"/>
        <w:spacing w:before="72"/>
        <w:ind w:left="0" w:right="1134" w:firstLine="567"/>
        <w:rPr>
          <w:rStyle w:val="default"/>
          <w:rFonts w:cs="FrankRuehl"/>
          <w:rtl/>
        </w:rPr>
      </w:pPr>
      <w:r>
        <w:rPr>
          <w:rStyle w:val="default"/>
          <w:rFonts w:cs="FrankRuehl" w:hint="cs"/>
          <w:rtl/>
        </w:rPr>
        <w:t>13(2)</w:t>
      </w:r>
      <w:r>
        <w:rPr>
          <w:rStyle w:val="default"/>
          <w:rFonts w:cs="FrankRuehl"/>
          <w:rtl/>
        </w:rPr>
        <w:tab/>
      </w:r>
      <w:r>
        <w:rPr>
          <w:rStyle w:val="default"/>
          <w:rFonts w:cs="FrankRuehl"/>
          <w:rtl/>
        </w:rPr>
        <w:tab/>
      </w:r>
      <w:r>
        <w:rPr>
          <w:rStyle w:val="default"/>
          <w:rFonts w:cs="FrankRuehl"/>
          <w:rtl/>
        </w:rPr>
        <w:tab/>
      </w:r>
      <w:r>
        <w:rPr>
          <w:rStyle w:val="default"/>
          <w:rFonts w:cs="FrankRuehl"/>
          <w:rtl/>
        </w:rPr>
        <w:tab/>
        <w:t xml:space="preserve">72.59 </w:t>
      </w:r>
    </w:p>
    <w:p w14:paraId="3E1EF15F" w14:textId="77777777" w:rsidR="002C33CF" w:rsidRDefault="002C33CF">
      <w:pPr>
        <w:pStyle w:val="P00"/>
        <w:spacing w:before="72"/>
        <w:ind w:left="0" w:right="1134"/>
        <w:rPr>
          <w:rStyle w:val="default"/>
          <w:rFonts w:cs="FrankRuehl"/>
          <w:rtl/>
        </w:rPr>
      </w:pPr>
      <w:bookmarkStart w:id="1" w:name="Seif1"/>
      <w:bookmarkEnd w:id="1"/>
      <w:r>
        <w:rPr>
          <w:lang w:val="he-IL"/>
        </w:rPr>
        <w:pict w14:anchorId="4367C1A3">
          <v:rect id="_x0000_s1027" style="position:absolute;left:0;text-align:left;margin-left:464.5pt;margin-top:8.05pt;width:75.05pt;height:8pt;z-index:251657728" o:allowincell="f" filled="f" stroked="f" strokecolor="lime" strokeweight=".25pt">
            <v:textbox inset="0,0,0,0">
              <w:txbxContent>
                <w:p w14:paraId="7BD673D3" w14:textId="77777777" w:rsidR="002C33CF" w:rsidRDefault="002C33CF">
                  <w:pPr>
                    <w:spacing w:line="160" w:lineRule="exact"/>
                    <w:jc w:val="left"/>
                    <w:rPr>
                      <w:rFonts w:cs="Miriam"/>
                      <w:noProof/>
                      <w:sz w:val="18"/>
                      <w:szCs w:val="18"/>
                      <w:rtl/>
                    </w:rPr>
                  </w:pPr>
                  <w:r>
                    <w:rPr>
                      <w:rFonts w:cs="Miriam"/>
                      <w:sz w:val="18"/>
                      <w:szCs w:val="18"/>
                      <w:rtl/>
                    </w:rPr>
                    <w:t>בי</w:t>
                  </w:r>
                  <w:r>
                    <w:rPr>
                      <w:rFonts w:cs="Miriam" w:hint="cs"/>
                      <w:sz w:val="18"/>
                      <w:szCs w:val="18"/>
                      <w:rtl/>
                    </w:rPr>
                    <w:t>טול</w:t>
                  </w:r>
                </w:p>
              </w:txbxContent>
            </v:textbox>
            <w10:anchorlock/>
          </v:rect>
        </w:pict>
      </w:r>
      <w:r>
        <w:rPr>
          <w:rStyle w:val="big-number"/>
          <w:rFonts w:cs="Miriam"/>
          <w:rtl/>
        </w:rPr>
        <w:t>2.</w:t>
      </w:r>
      <w:r>
        <w:rPr>
          <w:rStyle w:val="big-number"/>
          <w:rFonts w:cs="Miriam"/>
          <w:rtl/>
        </w:rPr>
        <w:tab/>
      </w:r>
      <w:r>
        <w:rPr>
          <w:rStyle w:val="default"/>
          <w:rFonts w:cs="FrankRuehl"/>
          <w:rtl/>
        </w:rPr>
        <w:t>תק</w:t>
      </w:r>
      <w:r>
        <w:rPr>
          <w:rStyle w:val="default"/>
          <w:rFonts w:cs="FrankRuehl" w:hint="cs"/>
          <w:rtl/>
        </w:rPr>
        <w:t xml:space="preserve">נות משפחות חיילים שנספו במערכה (ביטוח </w:t>
      </w:r>
      <w:r>
        <w:rPr>
          <w:rStyle w:val="default"/>
          <w:rFonts w:cs="FrankRuehl"/>
          <w:rtl/>
        </w:rPr>
        <w:t>מפ</w:t>
      </w:r>
      <w:r>
        <w:rPr>
          <w:rStyle w:val="default"/>
          <w:rFonts w:cs="FrankRuehl" w:hint="cs"/>
          <w:rtl/>
        </w:rPr>
        <w:t>ני מחלה),</w:t>
      </w:r>
      <w:r>
        <w:rPr>
          <w:rFonts w:cs="FrankRuehl"/>
          <w:sz w:val="26"/>
          <w:rtl/>
        </w:rPr>
        <w:t> </w:t>
      </w:r>
      <w:r>
        <w:rPr>
          <w:rStyle w:val="default"/>
          <w:rFonts w:cs="FrankRuehl"/>
          <w:rtl/>
        </w:rPr>
        <w:t xml:space="preserve"> ת</w:t>
      </w:r>
      <w:r>
        <w:rPr>
          <w:rStyle w:val="default"/>
          <w:rFonts w:cs="FrankRuehl" w:hint="cs"/>
          <w:rtl/>
        </w:rPr>
        <w:t>שנ"ד</w:t>
      </w:r>
      <w:r>
        <w:rPr>
          <w:rStyle w:val="default"/>
          <w:rFonts w:cs="FrankRuehl"/>
          <w:rtl/>
        </w:rPr>
        <w:t xml:space="preserve">–1993 — </w:t>
      </w:r>
      <w:r>
        <w:rPr>
          <w:rStyle w:val="default"/>
          <w:rFonts w:cs="FrankRuehl" w:hint="cs"/>
          <w:rtl/>
        </w:rPr>
        <w:t xml:space="preserve">בטלות. </w:t>
      </w:r>
    </w:p>
    <w:p w14:paraId="441EA1C7" w14:textId="77777777" w:rsidR="002C33CF" w:rsidRDefault="002C33CF">
      <w:pPr>
        <w:pStyle w:val="P00"/>
        <w:spacing w:before="72"/>
        <w:ind w:left="0" w:right="1134"/>
        <w:rPr>
          <w:rStyle w:val="default"/>
          <w:rFonts w:cs="FrankRuehl"/>
          <w:rtl/>
        </w:rPr>
      </w:pPr>
      <w:bookmarkStart w:id="2" w:name="Seif2"/>
      <w:bookmarkEnd w:id="2"/>
      <w:r>
        <w:rPr>
          <w:lang w:val="he-IL"/>
        </w:rPr>
        <w:pict w14:anchorId="7E7C6B9E">
          <v:rect id="_x0000_s1028" style="position:absolute;left:0;text-align:left;margin-left:464.5pt;margin-top:8.05pt;width:75.05pt;height:8pt;z-index:251658752" o:allowincell="f" filled="f" stroked="f" strokecolor="lime" strokeweight=".25pt">
            <v:textbox style="mso-next-textbox:#_x0000_s1028" inset="0,0,0,0">
              <w:txbxContent>
                <w:p w14:paraId="76AB0275" w14:textId="77777777" w:rsidR="002C33CF" w:rsidRDefault="002C33CF">
                  <w:pPr>
                    <w:spacing w:line="160" w:lineRule="exact"/>
                    <w:jc w:val="left"/>
                    <w:rPr>
                      <w:rFonts w:cs="Miriam"/>
                      <w:noProof/>
                      <w:sz w:val="18"/>
                      <w:szCs w:val="18"/>
                      <w:rtl/>
                    </w:rPr>
                  </w:pPr>
                  <w:r>
                    <w:rPr>
                      <w:rFonts w:cs="Miriam"/>
                      <w:sz w:val="18"/>
                      <w:szCs w:val="18"/>
                      <w:rtl/>
                    </w:rPr>
                    <w:t>תח</w:t>
                  </w:r>
                  <w:r>
                    <w:rPr>
                      <w:rFonts w:cs="Miriam" w:hint="cs"/>
                      <w:sz w:val="18"/>
                      <w:szCs w:val="18"/>
                      <w:rtl/>
                    </w:rPr>
                    <w:t>ילה</w:t>
                  </w:r>
                </w:p>
              </w:txbxContent>
            </v:textbox>
            <w10:anchorlock/>
          </v:rect>
        </w:pict>
      </w:r>
      <w:r>
        <w:rPr>
          <w:rStyle w:val="big-number"/>
          <w:rFonts w:cs="Miriam"/>
          <w:rtl/>
        </w:rPr>
        <w:t>3.</w:t>
      </w:r>
      <w:r>
        <w:rPr>
          <w:rStyle w:val="big-number"/>
          <w:rFonts w:cs="Miriam"/>
          <w:rtl/>
        </w:rPr>
        <w:tab/>
      </w:r>
      <w:r>
        <w:rPr>
          <w:rStyle w:val="default"/>
          <w:rFonts w:cs="FrankRuehl"/>
          <w:rtl/>
        </w:rPr>
        <w:t>תח</w:t>
      </w:r>
      <w:r>
        <w:rPr>
          <w:rStyle w:val="default"/>
          <w:rFonts w:cs="FrankRuehl" w:hint="cs"/>
          <w:rtl/>
        </w:rPr>
        <w:t xml:space="preserve">ילתן של תקנות אלה ביום ט"ז בתשרי תשנ"ד (1 באוקטובר 1993). </w:t>
      </w:r>
    </w:p>
    <w:p w14:paraId="66312815" w14:textId="77777777" w:rsidR="002C33CF" w:rsidRDefault="002C33CF">
      <w:pPr>
        <w:pStyle w:val="P00"/>
        <w:spacing w:before="72"/>
        <w:ind w:left="0" w:right="1134"/>
        <w:rPr>
          <w:rStyle w:val="default"/>
          <w:rFonts w:cs="FrankRuehl"/>
          <w:rtl/>
        </w:rPr>
      </w:pPr>
    </w:p>
    <w:p w14:paraId="06DB90D6" w14:textId="77777777" w:rsidR="002C33CF" w:rsidRDefault="002C33CF">
      <w:pPr>
        <w:pStyle w:val="sig-0"/>
        <w:ind w:left="0" w:right="1134"/>
        <w:rPr>
          <w:rFonts w:cs="FrankRuehl"/>
          <w:sz w:val="26"/>
          <w:rtl/>
        </w:rPr>
      </w:pPr>
      <w:r>
        <w:rPr>
          <w:rFonts w:cs="FrankRuehl"/>
          <w:sz w:val="26"/>
          <w:rtl/>
        </w:rPr>
        <w:t>י"</w:t>
      </w:r>
      <w:r>
        <w:rPr>
          <w:rFonts w:cs="FrankRuehl" w:hint="cs"/>
          <w:sz w:val="26"/>
          <w:rtl/>
        </w:rPr>
        <w:t>ט בכסלו תשנ"ד (3 בדצמבר 1993)</w:t>
      </w:r>
      <w:r>
        <w:rPr>
          <w:rFonts w:cs="FrankRuehl"/>
          <w:sz w:val="26"/>
          <w:rtl/>
        </w:rPr>
        <w:tab/>
        <w:t>י</w:t>
      </w:r>
      <w:r>
        <w:rPr>
          <w:rFonts w:cs="FrankRuehl" w:hint="cs"/>
          <w:sz w:val="26"/>
          <w:rtl/>
        </w:rPr>
        <w:t>צחק רבין</w:t>
      </w:r>
    </w:p>
    <w:p w14:paraId="3050281A" w14:textId="77777777" w:rsidR="002C33CF" w:rsidRDefault="002C33CF">
      <w:pPr>
        <w:pStyle w:val="sig-1"/>
        <w:widowControl/>
        <w:ind w:left="0" w:right="1134"/>
        <w:rPr>
          <w:rFonts w:cs="FrankRuehl"/>
          <w:sz w:val="22"/>
          <w:rtl/>
        </w:rPr>
      </w:pPr>
      <w:r>
        <w:rPr>
          <w:rFonts w:cs="FrankRuehl"/>
          <w:sz w:val="22"/>
          <w:rtl/>
        </w:rPr>
        <w:tab/>
      </w:r>
      <w:r>
        <w:rPr>
          <w:rFonts w:cs="FrankRuehl"/>
          <w:sz w:val="22"/>
          <w:rtl/>
        </w:rPr>
        <w:tab/>
      </w:r>
      <w:r>
        <w:rPr>
          <w:rFonts w:cs="FrankRuehl"/>
          <w:sz w:val="22"/>
          <w:rtl/>
        </w:rPr>
        <w:tab/>
        <w:t>ש</w:t>
      </w:r>
      <w:r>
        <w:rPr>
          <w:rFonts w:cs="FrankRuehl" w:hint="cs"/>
          <w:sz w:val="22"/>
          <w:rtl/>
        </w:rPr>
        <w:t>ר הביטחון</w:t>
      </w:r>
    </w:p>
    <w:p w14:paraId="0E1F366E" w14:textId="77777777" w:rsidR="002C33CF" w:rsidRDefault="002C33CF">
      <w:pPr>
        <w:pStyle w:val="P00"/>
        <w:spacing w:before="72"/>
        <w:ind w:left="0" w:right="1134"/>
        <w:rPr>
          <w:rFonts w:cs="FrankRuehl"/>
          <w:sz w:val="26"/>
          <w:rtl/>
        </w:rPr>
      </w:pPr>
      <w:r>
        <w:rPr>
          <w:rFonts w:cs="FrankRuehl"/>
          <w:sz w:val="26"/>
          <w:rtl/>
        </w:rPr>
        <w:t>------------</w:t>
      </w:r>
    </w:p>
    <w:p w14:paraId="5E77CA4A" w14:textId="77777777" w:rsidR="002C33CF" w:rsidRDefault="002C33CF">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(31)</w:t>
      </w:r>
      <w:r>
        <w:rPr>
          <w:rFonts w:cs="FrankRuehl"/>
          <w:rtl/>
        </w:rPr>
        <w:t> </w:t>
      </w:r>
      <w:r>
        <w:rPr>
          <w:rFonts w:cs="FrankRuehl"/>
          <w:rtl/>
        </w:rPr>
        <w:t>פו</w:t>
      </w:r>
      <w:r>
        <w:rPr>
          <w:rFonts w:cs="FrankRuehl" w:hint="cs"/>
          <w:rtl/>
        </w:rPr>
        <w:t xml:space="preserve">רסמו </w:t>
      </w:r>
      <w:hyperlink r:id="rId6" w:history="1">
        <w:r w:rsidRPr="00306FC1">
          <w:rPr>
            <w:rStyle w:val="Hyperlink"/>
            <w:rFonts w:cs="FrankRuehl" w:hint="cs"/>
            <w:rtl/>
          </w:rPr>
          <w:t>ק"ת תשנ"ד מס' 5569</w:t>
        </w:r>
      </w:hyperlink>
      <w:r>
        <w:rPr>
          <w:rFonts w:cs="FrankRuehl" w:hint="cs"/>
          <w:rtl/>
        </w:rPr>
        <w:t xml:space="preserve"> מיום 30.12.1993 עמ' 302.</w:t>
      </w:r>
    </w:p>
    <w:p w14:paraId="349858CB" w14:textId="77777777" w:rsidR="002C33CF" w:rsidRDefault="002C33CF">
      <w:pPr>
        <w:ind w:right="1134"/>
        <w:rPr>
          <w:rFonts w:cs="David"/>
          <w:sz w:val="24"/>
          <w:rtl/>
        </w:rPr>
      </w:pPr>
      <w:bookmarkStart w:id="3" w:name="LawPartEnd"/>
    </w:p>
    <w:bookmarkEnd w:id="3"/>
    <w:p w14:paraId="53932A67" w14:textId="77777777" w:rsidR="002C33CF" w:rsidRDefault="002C33CF">
      <w:pPr>
        <w:ind w:right="1134"/>
        <w:rPr>
          <w:rFonts w:cs="David"/>
          <w:sz w:val="24"/>
          <w:rtl/>
        </w:rPr>
      </w:pPr>
    </w:p>
    <w:sectPr w:rsidR="002C33CF">
      <w:headerReference w:type="even" r:id="rId7"/>
      <w:headerReference w:type="default" r:id="rId8"/>
      <w:footerReference w:type="even" r:id="rId9"/>
      <w:footerReference w:type="default" r:id="rId10"/>
      <w:headerReference w:type="first" r:id="rId11"/>
      <w:footerReference w:type="first" r:id="rId12"/>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2793B7" w14:textId="77777777" w:rsidR="00EF575A" w:rsidRDefault="00EF575A">
      <w:r>
        <w:separator/>
      </w:r>
    </w:p>
  </w:endnote>
  <w:endnote w:type="continuationSeparator" w:id="0">
    <w:p w14:paraId="479A30C5" w14:textId="77777777" w:rsidR="00EF575A" w:rsidRDefault="00EF57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EFAA0" w14:textId="77777777" w:rsidR="002C33CF" w:rsidRDefault="002C33C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67616EE4" w14:textId="77777777" w:rsidR="002C33CF" w:rsidRDefault="002C33C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FE80576" w14:textId="77777777" w:rsidR="002C33CF" w:rsidRDefault="002C33C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M:\0a-lishca\law\gideon-03-02-13\law01\151_029.doc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392C65" w14:textId="77777777" w:rsidR="002C33CF" w:rsidRDefault="002C33CF">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E46E2C">
      <w:rPr>
        <w:rFonts w:hAnsi="FrankRuehl" w:cs="FrankRuehl"/>
        <w:noProof/>
        <w:sz w:val="24"/>
        <w:szCs w:val="24"/>
        <w:rtl/>
      </w:rPr>
      <w:t>2</w:t>
    </w:r>
    <w:r>
      <w:rPr>
        <w:rFonts w:hAnsi="FrankRuehl" w:cs="FrankRuehl"/>
        <w:sz w:val="24"/>
        <w:szCs w:val="24"/>
        <w:rtl/>
      </w:rPr>
      <w:fldChar w:fldCharType="end"/>
    </w:r>
  </w:p>
  <w:p w14:paraId="2B68D624" w14:textId="77777777" w:rsidR="002C33CF" w:rsidRDefault="002C33CF">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6FEBE670" w14:textId="77777777" w:rsidR="002C33CF" w:rsidRDefault="002C33CF">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M:\0a-lishca\law\gideon-03-02-13\law01\151_029.doc</w:t>
    </w:r>
    <w:r>
      <w:rPr>
        <w:rFonts w:cs="TopType Jerushalmi"/>
        <w:color w:val="000000"/>
        <w:sz w:val="14"/>
        <w:szCs w:val="14"/>
        <w:rtl/>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0C8CA" w14:textId="77777777" w:rsidR="002C33CF" w:rsidRDefault="002C33CF">
    <w:pPr>
      <w:pStyle w:val="a4"/>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3991B3" w14:textId="77777777" w:rsidR="00EF575A" w:rsidRDefault="00EF575A">
      <w:r>
        <w:separator/>
      </w:r>
    </w:p>
  </w:footnote>
  <w:footnote w:type="continuationSeparator" w:id="0">
    <w:p w14:paraId="696EA439" w14:textId="77777777" w:rsidR="00EF575A" w:rsidRDefault="00EF57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6B4258" w14:textId="77777777" w:rsidR="002C33CF" w:rsidRDefault="002C33C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(ביטוח מפני מחלה) (מס' 2), תשנ"ד–1993</w:t>
    </w:r>
  </w:p>
  <w:p w14:paraId="4DDCF233" w14:textId="77777777" w:rsidR="002C33CF" w:rsidRDefault="002C33C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04477C4" w14:textId="77777777" w:rsidR="002C33CF" w:rsidRDefault="002C33CF">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415524" w14:textId="77777777" w:rsidR="002C33CF" w:rsidRDefault="002C33C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משפחות חיילים שנספו במערכה (ביטוח מפני מחלה) (מס' 2), תשנ"ד–1993</w:t>
    </w:r>
  </w:p>
  <w:p w14:paraId="436C4C0D" w14:textId="77777777" w:rsidR="002C33CF" w:rsidRDefault="002C33CF">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2CAE5FDF" w14:textId="77777777" w:rsidR="002C33CF" w:rsidRDefault="002C33CF">
    <w:pPr>
      <w:pStyle w:val="a3"/>
      <w:pBdr>
        <w:top w:val="single" w:sz="4" w:space="0" w:color="auto"/>
      </w:pBdr>
      <w:spacing w:line="220" w:lineRule="exact"/>
      <w:ind w:right="1134"/>
      <w:jc w:val="center"/>
      <w:rPr>
        <w:rFonts w:hAnsi="FrankRuehl" w:cs="FrankRuehl"/>
        <w:color w:val="000000"/>
        <w:sz w:val="26"/>
        <w:szCs w:val="26"/>
        <w:rtl/>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A88955" w14:textId="77777777" w:rsidR="002C33CF" w:rsidRDefault="002C33CF">
    <w:pPr>
      <w:pStyle w:val="a3"/>
      <w:rPr>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306FC1"/>
    <w:rsid w:val="002C33CF"/>
    <w:rsid w:val="00306FC1"/>
    <w:rsid w:val="006D5730"/>
    <w:rsid w:val="00915D76"/>
    <w:rsid w:val="0097291E"/>
    <w:rsid w:val="00E46E2C"/>
    <w:rsid w:val="00EF575A"/>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71E2B74D"/>
  <w15:chartTrackingRefBased/>
  <w15:docId w15:val="{A30D115D-AD44-4F7C-87AE-F72A7F4223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Law_word/law06/TAK-5569.pdf"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פרק 151</vt:lpstr>
    </vt:vector>
  </TitlesOfParts>
  <Company/>
  <LinksUpToDate>false</LinksUpToDate>
  <CharactersWithSpaces>1419</CharactersWithSpaces>
  <SharedDoc>false</SharedDoc>
  <HLinks>
    <vt:vector size="24" baseType="variant">
      <vt:variant>
        <vt:i4>7995396</vt:i4>
      </vt:variant>
      <vt:variant>
        <vt:i4>18</vt:i4>
      </vt:variant>
      <vt:variant>
        <vt:i4>0</vt:i4>
      </vt:variant>
      <vt:variant>
        <vt:i4>5</vt:i4>
      </vt:variant>
      <vt:variant>
        <vt:lpwstr>http://www.nevo.co.il/Law_word/law06/TAK-5569.pdf</vt:lpwstr>
      </vt:variant>
      <vt:variant>
        <vt:lpwstr/>
      </vt:variant>
      <vt:variant>
        <vt:i4>196634</vt:i4>
      </vt:variant>
      <vt:variant>
        <vt:i4>15</vt:i4>
      </vt:variant>
      <vt:variant>
        <vt:i4>0</vt:i4>
      </vt:variant>
      <vt:variant>
        <vt:i4>5</vt:i4>
      </vt:variant>
      <vt:variant>
        <vt:lpwstr/>
      </vt:variant>
      <vt:variant>
        <vt:lpwstr>Seif2</vt:lpwstr>
      </vt: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151</dc:title>
  <dc:subject/>
  <dc:creator>eli</dc:creator>
  <cp:keywords/>
  <dc:description/>
  <cp:lastModifiedBy>Shimon Doodkin</cp:lastModifiedBy>
  <cp:revision>2</cp:revision>
  <dcterms:created xsi:type="dcterms:W3CDTF">2023-06-05T20:36:00Z</dcterms:created>
  <dcterms:modified xsi:type="dcterms:W3CDTF">2023-06-05T20:36:00Z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0151</vt:lpwstr>
  </property>
  <property fmtid="{D5CDD505-2E9C-101B-9397-08002B2CF9AE}" pid="3" name="CHNAME">
    <vt:lpwstr>חיילים שנספו במערכה</vt:lpwstr>
  </property>
  <property fmtid="{D5CDD505-2E9C-101B-9397-08002B2CF9AE}" pid="4" name="LAWNAME">
    <vt:lpwstr>תקנות משפחות חיילים שנספו במערכה (ביטוח מפני מחלה) (מס' 2), תשנ"ד–1993</vt:lpwstr>
  </property>
  <property fmtid="{D5CDD505-2E9C-101B-9397-08002B2CF9AE}" pid="5" name="LAWNUMBER">
    <vt:lpwstr>0029</vt:lpwstr>
  </property>
  <property fmtid="{D5CDD505-2E9C-101B-9397-08002B2CF9AE}" pid="6" name="TYPE">
    <vt:lpwstr>01</vt:lpwstr>
  </property>
  <property fmtid="{D5CDD505-2E9C-101B-9397-08002B2CF9AE}" pid="7" name="NOSE11">
    <vt:lpwstr>בטחון</vt:lpwstr>
  </property>
  <property fmtid="{D5CDD505-2E9C-101B-9397-08002B2CF9AE}" pid="8" name="NOSE21">
    <vt:lpwstr>צה"ל</vt:lpwstr>
  </property>
  <property fmtid="{D5CDD505-2E9C-101B-9397-08002B2CF9AE}" pid="9" name="NOSE31">
    <vt:lpwstr>חיילים</vt:lpwstr>
  </property>
  <property fmtid="{D5CDD505-2E9C-101B-9397-08002B2CF9AE}" pid="10" name="NOSE41">
    <vt:lpwstr>משפחות חיילים שנספו</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y fmtid="{D5CDD505-2E9C-101B-9397-08002B2CF9AE}" pid="47" name="MEKOR_NAME1">
    <vt:lpwstr>חוק משפחות חיילים שנספו במערכה (תגמולים ושיקום)</vt:lpwstr>
  </property>
  <property fmtid="{D5CDD505-2E9C-101B-9397-08002B2CF9AE}" pid="48" name="MEKOR_SAIF1">
    <vt:lpwstr>15XבX;37X</vt:lpwstr>
  </property>
</Properties>
</file>