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3186" w:rsidRDefault="003F3186">
      <w:pPr>
        <w:pStyle w:val="big-header"/>
        <w:ind w:left="0" w:right="1134"/>
      </w:pPr>
      <w:r>
        <w:rPr>
          <w:rFonts w:hint="cs"/>
          <w:rtl/>
        </w:rPr>
        <w:t xml:space="preserve">תקנות משק החשמל (כללים, תנאים ומקרים להפסקת אספקת חשמל), </w:t>
      </w:r>
      <w:r>
        <w:rPr>
          <w:rtl/>
        </w:rPr>
        <w:br/>
      </w:r>
      <w:r>
        <w:rPr>
          <w:rFonts w:hint="cs"/>
          <w:rtl/>
        </w:rPr>
        <w:t>תשס"ג-2003</w:t>
      </w:r>
    </w:p>
    <w:p w:rsidR="00D346D9" w:rsidRPr="00D346D9" w:rsidRDefault="00D346D9" w:rsidP="00D346D9">
      <w:pPr>
        <w:spacing w:line="320" w:lineRule="auto"/>
        <w:jc w:val="left"/>
        <w:rPr>
          <w:rStyle w:val="default"/>
          <w:rFonts w:cs="FrankRuehl"/>
          <w:sz w:val="22"/>
          <w:rtl/>
        </w:rPr>
      </w:pPr>
    </w:p>
    <w:p w:rsidR="00D346D9" w:rsidRDefault="00D346D9" w:rsidP="00D346D9">
      <w:pPr>
        <w:spacing w:line="320" w:lineRule="auto"/>
        <w:jc w:val="left"/>
        <w:rPr>
          <w:rStyle w:val="default"/>
          <w:sz w:val="22"/>
          <w:szCs w:val="22"/>
          <w:rtl/>
        </w:rPr>
      </w:pPr>
    </w:p>
    <w:p w:rsidR="00D346D9" w:rsidRPr="00D346D9" w:rsidRDefault="00D346D9" w:rsidP="00D346D9">
      <w:pPr>
        <w:spacing w:line="320" w:lineRule="auto"/>
        <w:jc w:val="left"/>
        <w:rPr>
          <w:rStyle w:val="default"/>
          <w:rFonts w:cs="Miriam"/>
          <w:sz w:val="22"/>
          <w:szCs w:val="22"/>
          <w:rtl/>
        </w:rPr>
      </w:pPr>
      <w:r w:rsidRPr="00D346D9">
        <w:rPr>
          <w:rStyle w:val="default"/>
          <w:rFonts w:cs="Miriam"/>
          <w:sz w:val="22"/>
          <w:szCs w:val="22"/>
          <w:rtl/>
        </w:rPr>
        <w:t>רשויות ומשפט מנהלי</w:t>
      </w:r>
      <w:r w:rsidRPr="00D346D9">
        <w:rPr>
          <w:rStyle w:val="default"/>
          <w:rFonts w:cs="FrankRuehl"/>
          <w:sz w:val="22"/>
          <w:rtl/>
        </w:rPr>
        <w:t xml:space="preserve"> – תשתיות – חשמל – משק החשמל וצריכה</w:t>
      </w:r>
    </w:p>
    <w:p w:rsidR="003F3186" w:rsidRDefault="003F3186">
      <w:pPr>
        <w:pStyle w:val="big-header"/>
        <w:ind w:left="0" w:right="1134"/>
        <w:rPr>
          <w:rFonts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F3186">
        <w:tblPrEx>
          <w:tblCellMar>
            <w:top w:w="0" w:type="dxa"/>
            <w:bottom w:w="0" w:type="dxa"/>
          </w:tblCellMar>
        </w:tblPrEx>
        <w:trPr>
          <w:jc w:val="right"/>
        </w:trPr>
        <w:tc>
          <w:tcPr>
            <w:tcW w:w="850" w:type="dxa"/>
          </w:tcPr>
          <w:p w:rsidR="003F3186" w:rsidRDefault="003F3186">
            <w:pPr>
              <w:spacing w:line="240" w:lineRule="auto"/>
              <w:jc w:val="left"/>
              <w:rPr>
                <w:rFonts w:cs="Frankruhel" w:hint="cs"/>
                <w:sz w:val="24"/>
              </w:rPr>
            </w:pPr>
            <w:r>
              <w:rPr>
                <w:rFonts w:cs="Frankruhel"/>
                <w:sz w:val="24"/>
                <w:rtl/>
              </w:rPr>
              <w:t>2</w:t>
            </w:r>
          </w:p>
        </w:tc>
        <w:tc>
          <w:tcPr>
            <w:tcW w:w="567" w:type="dxa"/>
          </w:tcPr>
          <w:p w:rsidR="003F3186" w:rsidRDefault="003F3186">
            <w:pPr>
              <w:spacing w:line="240" w:lineRule="auto"/>
              <w:jc w:val="left"/>
              <w:rPr>
                <w:rFonts w:cs="Frankruhel" w:hint="cs"/>
                <w:sz w:val="24"/>
              </w:rPr>
            </w:pPr>
            <w:hyperlink w:anchor="Seif0" w:tooltip="הגדרות" w:history="1">
              <w:r>
                <w:rPr>
                  <w:rStyle w:val="Hyperlink"/>
                </w:rPr>
                <w:t>Go</w:t>
              </w:r>
            </w:hyperlink>
          </w:p>
        </w:tc>
        <w:tc>
          <w:tcPr>
            <w:tcW w:w="5669" w:type="dxa"/>
          </w:tcPr>
          <w:p w:rsidR="003F3186" w:rsidRDefault="003F3186">
            <w:pPr>
              <w:spacing w:line="240" w:lineRule="auto"/>
              <w:jc w:val="left"/>
              <w:rPr>
                <w:rFonts w:cs="Frankruhel"/>
                <w:sz w:val="24"/>
                <w:rtl/>
              </w:rPr>
            </w:pPr>
            <w:r>
              <w:rPr>
                <w:rFonts w:cs="Frankruhel"/>
                <w:sz w:val="24"/>
                <w:rtl/>
              </w:rPr>
              <w:t>הגדרות</w:t>
            </w:r>
          </w:p>
        </w:tc>
        <w:tc>
          <w:tcPr>
            <w:tcW w:w="1247" w:type="dxa"/>
          </w:tcPr>
          <w:p w:rsidR="003F3186" w:rsidRDefault="003F3186">
            <w:pPr>
              <w:spacing w:line="240" w:lineRule="auto"/>
              <w:jc w:val="left"/>
              <w:rPr>
                <w:rFonts w:cs="Frankruhel" w:hint="cs"/>
                <w:sz w:val="24"/>
              </w:rPr>
            </w:pPr>
            <w:r>
              <w:rPr>
                <w:rFonts w:cs="Frankruhel"/>
                <w:sz w:val="24"/>
                <w:rtl/>
              </w:rPr>
              <w:t xml:space="preserve">סעיף 1 </w:t>
            </w:r>
          </w:p>
        </w:tc>
      </w:tr>
      <w:tr w:rsidR="003F3186">
        <w:tblPrEx>
          <w:tblCellMar>
            <w:top w:w="0" w:type="dxa"/>
            <w:bottom w:w="0" w:type="dxa"/>
          </w:tblCellMar>
        </w:tblPrEx>
        <w:trPr>
          <w:jc w:val="right"/>
        </w:trPr>
        <w:tc>
          <w:tcPr>
            <w:tcW w:w="850" w:type="dxa"/>
          </w:tcPr>
          <w:p w:rsidR="003F3186" w:rsidRDefault="003F3186">
            <w:pPr>
              <w:spacing w:line="240" w:lineRule="auto"/>
              <w:jc w:val="left"/>
              <w:rPr>
                <w:rFonts w:cs="Frankruhel" w:hint="cs"/>
                <w:sz w:val="24"/>
              </w:rPr>
            </w:pPr>
            <w:r>
              <w:rPr>
                <w:rFonts w:cs="Frankruhel"/>
                <w:sz w:val="24"/>
                <w:rtl/>
              </w:rPr>
              <w:t>2</w:t>
            </w:r>
          </w:p>
        </w:tc>
        <w:tc>
          <w:tcPr>
            <w:tcW w:w="567" w:type="dxa"/>
          </w:tcPr>
          <w:p w:rsidR="003F3186" w:rsidRDefault="003F3186">
            <w:pPr>
              <w:spacing w:line="240" w:lineRule="auto"/>
              <w:jc w:val="left"/>
              <w:rPr>
                <w:rFonts w:cs="Frankruhel" w:hint="cs"/>
                <w:sz w:val="24"/>
              </w:rPr>
            </w:pPr>
            <w:hyperlink w:anchor="Seif1" w:tooltip="הפסקת אספקת חשמל מטעמי בטיחות" w:history="1">
              <w:r>
                <w:rPr>
                  <w:rStyle w:val="Hyperlink"/>
                </w:rPr>
                <w:t>Go</w:t>
              </w:r>
            </w:hyperlink>
          </w:p>
        </w:tc>
        <w:tc>
          <w:tcPr>
            <w:tcW w:w="5669" w:type="dxa"/>
          </w:tcPr>
          <w:p w:rsidR="003F3186" w:rsidRDefault="003F3186">
            <w:pPr>
              <w:spacing w:line="240" w:lineRule="auto"/>
              <w:jc w:val="left"/>
              <w:rPr>
                <w:rFonts w:cs="Frankruhel"/>
                <w:sz w:val="24"/>
                <w:rtl/>
              </w:rPr>
            </w:pPr>
            <w:r>
              <w:rPr>
                <w:rFonts w:cs="Frankruhel"/>
                <w:sz w:val="24"/>
                <w:rtl/>
              </w:rPr>
              <w:t>הפסקת אספקת חשמל מטעמי בטיחות</w:t>
            </w:r>
          </w:p>
        </w:tc>
        <w:tc>
          <w:tcPr>
            <w:tcW w:w="1247" w:type="dxa"/>
          </w:tcPr>
          <w:p w:rsidR="003F3186" w:rsidRDefault="003F3186">
            <w:pPr>
              <w:spacing w:line="240" w:lineRule="auto"/>
              <w:jc w:val="left"/>
              <w:rPr>
                <w:rFonts w:cs="Frankruhel" w:hint="cs"/>
                <w:sz w:val="24"/>
              </w:rPr>
            </w:pPr>
            <w:r>
              <w:rPr>
                <w:rFonts w:cs="Frankruhel"/>
                <w:sz w:val="24"/>
                <w:rtl/>
              </w:rPr>
              <w:t xml:space="preserve">סעיף 2 </w:t>
            </w:r>
          </w:p>
        </w:tc>
      </w:tr>
      <w:tr w:rsidR="003F3186">
        <w:tblPrEx>
          <w:tblCellMar>
            <w:top w:w="0" w:type="dxa"/>
            <w:bottom w:w="0" w:type="dxa"/>
          </w:tblCellMar>
        </w:tblPrEx>
        <w:trPr>
          <w:jc w:val="right"/>
        </w:trPr>
        <w:tc>
          <w:tcPr>
            <w:tcW w:w="850" w:type="dxa"/>
          </w:tcPr>
          <w:p w:rsidR="003F3186" w:rsidRDefault="003F3186">
            <w:pPr>
              <w:spacing w:line="240" w:lineRule="auto"/>
              <w:jc w:val="left"/>
              <w:rPr>
                <w:rFonts w:cs="Frankruhel" w:hint="cs"/>
                <w:sz w:val="24"/>
              </w:rPr>
            </w:pPr>
            <w:r>
              <w:rPr>
                <w:rFonts w:cs="Frankruhel"/>
                <w:sz w:val="24"/>
                <w:rtl/>
              </w:rPr>
              <w:t>2</w:t>
            </w:r>
          </w:p>
        </w:tc>
        <w:tc>
          <w:tcPr>
            <w:tcW w:w="567" w:type="dxa"/>
          </w:tcPr>
          <w:p w:rsidR="003F3186" w:rsidRDefault="003F3186">
            <w:pPr>
              <w:spacing w:line="240" w:lineRule="auto"/>
              <w:jc w:val="left"/>
              <w:rPr>
                <w:rFonts w:cs="Frankruhel" w:hint="cs"/>
                <w:sz w:val="24"/>
              </w:rPr>
            </w:pPr>
            <w:hyperlink w:anchor="Seif2" w:tooltip="הפסקת חשמל עקב הפרות של צרכן" w:history="1">
              <w:r>
                <w:rPr>
                  <w:rStyle w:val="Hyperlink"/>
                </w:rPr>
                <w:t>Go</w:t>
              </w:r>
            </w:hyperlink>
          </w:p>
        </w:tc>
        <w:tc>
          <w:tcPr>
            <w:tcW w:w="5669" w:type="dxa"/>
          </w:tcPr>
          <w:p w:rsidR="003F3186" w:rsidRDefault="003F3186">
            <w:pPr>
              <w:spacing w:line="240" w:lineRule="auto"/>
              <w:jc w:val="left"/>
              <w:rPr>
                <w:rFonts w:cs="Frankruhel"/>
                <w:sz w:val="24"/>
                <w:rtl/>
              </w:rPr>
            </w:pPr>
            <w:r>
              <w:rPr>
                <w:rFonts w:cs="Frankruhel"/>
                <w:sz w:val="24"/>
                <w:rtl/>
              </w:rPr>
              <w:t>הפסקת חשמל עקב הפרות של צרכן</w:t>
            </w:r>
          </w:p>
        </w:tc>
        <w:tc>
          <w:tcPr>
            <w:tcW w:w="1247" w:type="dxa"/>
          </w:tcPr>
          <w:p w:rsidR="003F3186" w:rsidRDefault="003F3186">
            <w:pPr>
              <w:spacing w:line="240" w:lineRule="auto"/>
              <w:jc w:val="left"/>
              <w:rPr>
                <w:rFonts w:cs="Frankruhel" w:hint="cs"/>
                <w:sz w:val="24"/>
              </w:rPr>
            </w:pPr>
            <w:r>
              <w:rPr>
                <w:rFonts w:cs="Frankruhel"/>
                <w:sz w:val="24"/>
                <w:rtl/>
              </w:rPr>
              <w:t xml:space="preserve">סעיף 3 </w:t>
            </w:r>
          </w:p>
        </w:tc>
      </w:tr>
      <w:tr w:rsidR="003F3186">
        <w:tblPrEx>
          <w:tblCellMar>
            <w:top w:w="0" w:type="dxa"/>
            <w:bottom w:w="0" w:type="dxa"/>
          </w:tblCellMar>
        </w:tblPrEx>
        <w:trPr>
          <w:jc w:val="right"/>
        </w:trPr>
        <w:tc>
          <w:tcPr>
            <w:tcW w:w="850" w:type="dxa"/>
          </w:tcPr>
          <w:p w:rsidR="003F3186" w:rsidRDefault="003F3186">
            <w:pPr>
              <w:spacing w:line="240" w:lineRule="auto"/>
              <w:jc w:val="left"/>
              <w:rPr>
                <w:rFonts w:cs="Frankruhel" w:hint="cs"/>
                <w:sz w:val="24"/>
              </w:rPr>
            </w:pPr>
            <w:r>
              <w:rPr>
                <w:rFonts w:cs="Frankruhel"/>
                <w:sz w:val="24"/>
                <w:rtl/>
              </w:rPr>
              <w:t>2</w:t>
            </w:r>
          </w:p>
        </w:tc>
        <w:tc>
          <w:tcPr>
            <w:tcW w:w="567" w:type="dxa"/>
          </w:tcPr>
          <w:p w:rsidR="003F3186" w:rsidRDefault="003F3186">
            <w:pPr>
              <w:spacing w:line="240" w:lineRule="auto"/>
              <w:jc w:val="left"/>
              <w:rPr>
                <w:rFonts w:cs="Frankruhel" w:hint="cs"/>
                <w:sz w:val="24"/>
              </w:rPr>
            </w:pPr>
            <w:hyperlink w:anchor="Seif3" w:tooltip="הודעה מוקדמת" w:history="1">
              <w:r>
                <w:rPr>
                  <w:rStyle w:val="Hyperlink"/>
                </w:rPr>
                <w:t>Go</w:t>
              </w:r>
            </w:hyperlink>
          </w:p>
        </w:tc>
        <w:tc>
          <w:tcPr>
            <w:tcW w:w="5669" w:type="dxa"/>
          </w:tcPr>
          <w:p w:rsidR="003F3186" w:rsidRDefault="003F3186">
            <w:pPr>
              <w:spacing w:line="240" w:lineRule="auto"/>
              <w:jc w:val="left"/>
              <w:rPr>
                <w:rFonts w:cs="Frankruhel"/>
                <w:sz w:val="24"/>
                <w:rtl/>
              </w:rPr>
            </w:pPr>
            <w:r>
              <w:rPr>
                <w:rFonts w:cs="Frankruhel"/>
                <w:sz w:val="24"/>
                <w:rtl/>
              </w:rPr>
              <w:t>הודעה מוקדמת</w:t>
            </w:r>
          </w:p>
        </w:tc>
        <w:tc>
          <w:tcPr>
            <w:tcW w:w="1247" w:type="dxa"/>
          </w:tcPr>
          <w:p w:rsidR="003F3186" w:rsidRDefault="003F3186">
            <w:pPr>
              <w:spacing w:line="240" w:lineRule="auto"/>
              <w:jc w:val="left"/>
              <w:rPr>
                <w:rFonts w:cs="Frankruhel" w:hint="cs"/>
                <w:sz w:val="24"/>
              </w:rPr>
            </w:pPr>
            <w:r>
              <w:rPr>
                <w:rFonts w:cs="Frankruhel"/>
                <w:sz w:val="24"/>
                <w:rtl/>
              </w:rPr>
              <w:t xml:space="preserve">סעיף 4 </w:t>
            </w:r>
          </w:p>
        </w:tc>
      </w:tr>
      <w:tr w:rsidR="003F3186">
        <w:tblPrEx>
          <w:tblCellMar>
            <w:top w:w="0" w:type="dxa"/>
            <w:bottom w:w="0" w:type="dxa"/>
          </w:tblCellMar>
        </w:tblPrEx>
        <w:trPr>
          <w:jc w:val="right"/>
        </w:trPr>
        <w:tc>
          <w:tcPr>
            <w:tcW w:w="850" w:type="dxa"/>
          </w:tcPr>
          <w:p w:rsidR="003F3186" w:rsidRDefault="003F3186">
            <w:pPr>
              <w:spacing w:line="240" w:lineRule="auto"/>
              <w:jc w:val="left"/>
              <w:rPr>
                <w:rFonts w:cs="Frankruhel" w:hint="cs"/>
                <w:sz w:val="24"/>
              </w:rPr>
            </w:pPr>
            <w:r>
              <w:rPr>
                <w:rFonts w:cs="Frankruhel"/>
                <w:sz w:val="24"/>
                <w:rtl/>
              </w:rPr>
              <w:t>3</w:t>
            </w:r>
          </w:p>
        </w:tc>
        <w:tc>
          <w:tcPr>
            <w:tcW w:w="567" w:type="dxa"/>
          </w:tcPr>
          <w:p w:rsidR="003F3186" w:rsidRDefault="003F3186">
            <w:pPr>
              <w:spacing w:line="240" w:lineRule="auto"/>
              <w:jc w:val="left"/>
              <w:rPr>
                <w:rFonts w:cs="Frankruhel" w:hint="cs"/>
                <w:sz w:val="24"/>
              </w:rPr>
            </w:pPr>
            <w:hyperlink w:anchor="Seif4" w:tooltip="סיום העילה להפסקת אספקת חשמל" w:history="1">
              <w:r>
                <w:rPr>
                  <w:rStyle w:val="Hyperlink"/>
                </w:rPr>
                <w:t>Go</w:t>
              </w:r>
            </w:hyperlink>
          </w:p>
        </w:tc>
        <w:tc>
          <w:tcPr>
            <w:tcW w:w="5669" w:type="dxa"/>
          </w:tcPr>
          <w:p w:rsidR="003F3186" w:rsidRDefault="003F3186">
            <w:pPr>
              <w:spacing w:line="240" w:lineRule="auto"/>
              <w:jc w:val="left"/>
              <w:rPr>
                <w:rFonts w:cs="Frankruhel"/>
                <w:sz w:val="24"/>
                <w:rtl/>
              </w:rPr>
            </w:pPr>
            <w:r>
              <w:rPr>
                <w:rFonts w:cs="Frankruhel"/>
                <w:sz w:val="24"/>
                <w:rtl/>
              </w:rPr>
              <w:t>סיום העילה להפסקת אספקת חשמל</w:t>
            </w:r>
          </w:p>
        </w:tc>
        <w:tc>
          <w:tcPr>
            <w:tcW w:w="1247" w:type="dxa"/>
          </w:tcPr>
          <w:p w:rsidR="003F3186" w:rsidRDefault="003F3186">
            <w:pPr>
              <w:spacing w:line="240" w:lineRule="auto"/>
              <w:jc w:val="left"/>
              <w:rPr>
                <w:rFonts w:cs="Frankruhel" w:hint="cs"/>
                <w:sz w:val="24"/>
              </w:rPr>
            </w:pPr>
            <w:r>
              <w:rPr>
                <w:rFonts w:cs="Frankruhel"/>
                <w:sz w:val="24"/>
                <w:rtl/>
              </w:rPr>
              <w:t xml:space="preserve">סעיף 5 </w:t>
            </w:r>
          </w:p>
        </w:tc>
      </w:tr>
      <w:tr w:rsidR="003F3186">
        <w:tblPrEx>
          <w:tblCellMar>
            <w:top w:w="0" w:type="dxa"/>
            <w:bottom w:w="0" w:type="dxa"/>
          </w:tblCellMar>
        </w:tblPrEx>
        <w:trPr>
          <w:jc w:val="right"/>
        </w:trPr>
        <w:tc>
          <w:tcPr>
            <w:tcW w:w="850" w:type="dxa"/>
          </w:tcPr>
          <w:p w:rsidR="003F3186" w:rsidRDefault="003F3186">
            <w:pPr>
              <w:spacing w:line="240" w:lineRule="auto"/>
              <w:jc w:val="left"/>
              <w:rPr>
                <w:rFonts w:cs="Frankruhel" w:hint="cs"/>
                <w:sz w:val="24"/>
              </w:rPr>
            </w:pPr>
            <w:r>
              <w:rPr>
                <w:rFonts w:cs="Frankruhel"/>
                <w:sz w:val="24"/>
                <w:rtl/>
              </w:rPr>
              <w:t>3</w:t>
            </w:r>
          </w:p>
        </w:tc>
        <w:tc>
          <w:tcPr>
            <w:tcW w:w="567" w:type="dxa"/>
          </w:tcPr>
          <w:p w:rsidR="003F3186" w:rsidRDefault="003F3186">
            <w:pPr>
              <w:spacing w:line="240" w:lineRule="auto"/>
              <w:jc w:val="left"/>
              <w:rPr>
                <w:rFonts w:cs="Frankruhel" w:hint="cs"/>
                <w:sz w:val="24"/>
              </w:rPr>
            </w:pPr>
            <w:hyperlink w:anchor="Seif5" w:tooltip="ניתוק אספקה מחוץ לחצרים" w:history="1">
              <w:r>
                <w:rPr>
                  <w:rStyle w:val="Hyperlink"/>
                </w:rPr>
                <w:t>Go</w:t>
              </w:r>
            </w:hyperlink>
          </w:p>
        </w:tc>
        <w:tc>
          <w:tcPr>
            <w:tcW w:w="5669" w:type="dxa"/>
          </w:tcPr>
          <w:p w:rsidR="003F3186" w:rsidRDefault="003F3186">
            <w:pPr>
              <w:spacing w:line="240" w:lineRule="auto"/>
              <w:jc w:val="left"/>
              <w:rPr>
                <w:rFonts w:cs="Frankruhel"/>
                <w:sz w:val="24"/>
                <w:rtl/>
              </w:rPr>
            </w:pPr>
            <w:r>
              <w:rPr>
                <w:rFonts w:cs="Frankruhel"/>
                <w:sz w:val="24"/>
                <w:rtl/>
              </w:rPr>
              <w:t>ניתוק אספקה מחוץ לחצרים</w:t>
            </w:r>
          </w:p>
        </w:tc>
        <w:tc>
          <w:tcPr>
            <w:tcW w:w="1247" w:type="dxa"/>
          </w:tcPr>
          <w:p w:rsidR="003F3186" w:rsidRDefault="003F3186">
            <w:pPr>
              <w:spacing w:line="240" w:lineRule="auto"/>
              <w:jc w:val="left"/>
              <w:rPr>
                <w:rFonts w:cs="Frankruhel" w:hint="cs"/>
                <w:sz w:val="24"/>
              </w:rPr>
            </w:pPr>
            <w:r>
              <w:rPr>
                <w:rFonts w:cs="Frankruhel"/>
                <w:sz w:val="24"/>
                <w:rtl/>
              </w:rPr>
              <w:t xml:space="preserve">סעיף 6 </w:t>
            </w:r>
          </w:p>
        </w:tc>
      </w:tr>
      <w:tr w:rsidR="003F3186">
        <w:tblPrEx>
          <w:tblCellMar>
            <w:top w:w="0" w:type="dxa"/>
            <w:bottom w:w="0" w:type="dxa"/>
          </w:tblCellMar>
        </w:tblPrEx>
        <w:trPr>
          <w:jc w:val="right"/>
        </w:trPr>
        <w:tc>
          <w:tcPr>
            <w:tcW w:w="850" w:type="dxa"/>
          </w:tcPr>
          <w:p w:rsidR="003F3186" w:rsidRDefault="003F3186">
            <w:pPr>
              <w:spacing w:line="240" w:lineRule="auto"/>
              <w:jc w:val="left"/>
              <w:rPr>
                <w:rFonts w:cs="Frankruhel" w:hint="cs"/>
                <w:sz w:val="24"/>
              </w:rPr>
            </w:pPr>
            <w:r>
              <w:rPr>
                <w:rFonts w:cs="Frankruhel"/>
                <w:sz w:val="24"/>
                <w:rtl/>
              </w:rPr>
              <w:t>3</w:t>
            </w:r>
          </w:p>
        </w:tc>
        <w:tc>
          <w:tcPr>
            <w:tcW w:w="567" w:type="dxa"/>
          </w:tcPr>
          <w:p w:rsidR="003F3186" w:rsidRDefault="003F3186">
            <w:pPr>
              <w:spacing w:line="240" w:lineRule="auto"/>
              <w:jc w:val="left"/>
              <w:rPr>
                <w:rFonts w:cs="Frankruhel" w:hint="cs"/>
                <w:sz w:val="24"/>
              </w:rPr>
            </w:pPr>
            <w:hyperlink w:anchor="Seif6" w:tooltip="חיבור אספקת החשמל מחדש לאחר ניתוקה" w:history="1">
              <w:r>
                <w:rPr>
                  <w:rStyle w:val="Hyperlink"/>
                </w:rPr>
                <w:t>Go</w:t>
              </w:r>
            </w:hyperlink>
          </w:p>
        </w:tc>
        <w:tc>
          <w:tcPr>
            <w:tcW w:w="5669" w:type="dxa"/>
          </w:tcPr>
          <w:p w:rsidR="003F3186" w:rsidRDefault="003F3186">
            <w:pPr>
              <w:spacing w:line="240" w:lineRule="auto"/>
              <w:jc w:val="left"/>
              <w:rPr>
                <w:rFonts w:cs="Frankruhel"/>
                <w:sz w:val="24"/>
                <w:rtl/>
              </w:rPr>
            </w:pPr>
            <w:r>
              <w:rPr>
                <w:rFonts w:cs="Frankruhel"/>
                <w:sz w:val="24"/>
                <w:rtl/>
              </w:rPr>
              <w:t>חיבור אספקת החשמל מחדש לאחר ניתוקה</w:t>
            </w:r>
          </w:p>
        </w:tc>
        <w:tc>
          <w:tcPr>
            <w:tcW w:w="1247" w:type="dxa"/>
          </w:tcPr>
          <w:p w:rsidR="003F3186" w:rsidRDefault="003F3186">
            <w:pPr>
              <w:spacing w:line="240" w:lineRule="auto"/>
              <w:jc w:val="left"/>
              <w:rPr>
                <w:rFonts w:cs="Frankruhel" w:hint="cs"/>
                <w:sz w:val="24"/>
              </w:rPr>
            </w:pPr>
            <w:r>
              <w:rPr>
                <w:rFonts w:cs="Frankruhel"/>
                <w:sz w:val="24"/>
                <w:rtl/>
              </w:rPr>
              <w:t xml:space="preserve">סעיף 7 </w:t>
            </w:r>
          </w:p>
        </w:tc>
      </w:tr>
      <w:tr w:rsidR="003F3186">
        <w:tblPrEx>
          <w:tblCellMar>
            <w:top w:w="0" w:type="dxa"/>
            <w:bottom w:w="0" w:type="dxa"/>
          </w:tblCellMar>
        </w:tblPrEx>
        <w:trPr>
          <w:jc w:val="right"/>
        </w:trPr>
        <w:tc>
          <w:tcPr>
            <w:tcW w:w="850" w:type="dxa"/>
          </w:tcPr>
          <w:p w:rsidR="003F3186" w:rsidRDefault="003F3186">
            <w:pPr>
              <w:spacing w:line="240" w:lineRule="auto"/>
              <w:jc w:val="left"/>
              <w:rPr>
                <w:rFonts w:cs="Frankruhel" w:hint="cs"/>
                <w:sz w:val="24"/>
              </w:rPr>
            </w:pPr>
            <w:r>
              <w:rPr>
                <w:rFonts w:cs="Frankruhel"/>
                <w:sz w:val="24"/>
                <w:rtl/>
              </w:rPr>
              <w:t>3</w:t>
            </w:r>
          </w:p>
        </w:tc>
        <w:tc>
          <w:tcPr>
            <w:tcW w:w="567" w:type="dxa"/>
          </w:tcPr>
          <w:p w:rsidR="003F3186" w:rsidRDefault="003F3186">
            <w:pPr>
              <w:spacing w:line="240" w:lineRule="auto"/>
              <w:jc w:val="left"/>
              <w:rPr>
                <w:rFonts w:cs="Frankruhel" w:hint="cs"/>
                <w:sz w:val="24"/>
              </w:rPr>
            </w:pPr>
            <w:hyperlink w:anchor="Seif7" w:tooltip="תחילה" w:history="1">
              <w:r>
                <w:rPr>
                  <w:rStyle w:val="Hyperlink"/>
                </w:rPr>
                <w:t>Go</w:t>
              </w:r>
            </w:hyperlink>
          </w:p>
        </w:tc>
        <w:tc>
          <w:tcPr>
            <w:tcW w:w="5669" w:type="dxa"/>
          </w:tcPr>
          <w:p w:rsidR="003F3186" w:rsidRDefault="003F3186">
            <w:pPr>
              <w:spacing w:line="240" w:lineRule="auto"/>
              <w:jc w:val="left"/>
              <w:rPr>
                <w:rFonts w:cs="Frankruhel"/>
                <w:sz w:val="24"/>
                <w:rtl/>
              </w:rPr>
            </w:pPr>
            <w:r>
              <w:rPr>
                <w:rFonts w:cs="Frankruhel"/>
                <w:sz w:val="24"/>
                <w:rtl/>
              </w:rPr>
              <w:t>תחילה</w:t>
            </w:r>
          </w:p>
        </w:tc>
        <w:tc>
          <w:tcPr>
            <w:tcW w:w="1247" w:type="dxa"/>
          </w:tcPr>
          <w:p w:rsidR="003F3186" w:rsidRDefault="003F3186">
            <w:pPr>
              <w:spacing w:line="240" w:lineRule="auto"/>
              <w:jc w:val="left"/>
              <w:rPr>
                <w:rFonts w:cs="Frankruhel" w:hint="cs"/>
                <w:sz w:val="24"/>
              </w:rPr>
            </w:pPr>
            <w:r>
              <w:rPr>
                <w:rFonts w:cs="Frankruhel"/>
                <w:sz w:val="24"/>
                <w:rtl/>
              </w:rPr>
              <w:t xml:space="preserve">סעיף 8 </w:t>
            </w:r>
          </w:p>
        </w:tc>
      </w:tr>
    </w:tbl>
    <w:p w:rsidR="003F3186" w:rsidRDefault="003F3186">
      <w:pPr>
        <w:pStyle w:val="big-header"/>
        <w:ind w:left="0" w:right="1134"/>
        <w:rPr>
          <w:rFonts w:hint="cs"/>
          <w:rtl/>
        </w:rPr>
      </w:pPr>
    </w:p>
    <w:p w:rsidR="003F3186" w:rsidRDefault="003F3186" w:rsidP="00D346D9">
      <w:pPr>
        <w:pStyle w:val="big-header"/>
        <w:ind w:left="0" w:right="1134"/>
        <w:rPr>
          <w:rStyle w:val="default"/>
          <w:rFonts w:cs="FrankRuehl" w:hint="cs"/>
          <w:rtl/>
        </w:rPr>
      </w:pPr>
      <w:r>
        <w:rPr>
          <w:rtl/>
        </w:rPr>
        <w:br w:type="page"/>
      </w:r>
      <w:r>
        <w:rPr>
          <w:rFonts w:hint="cs"/>
          <w:rtl/>
        </w:rPr>
        <w:lastRenderedPageBreak/>
        <w:t xml:space="preserve">תקנות משק החשמל (כללים, תנאים ומקרים להפסקת אספקת חשמל), </w:t>
      </w:r>
      <w:r>
        <w:rPr>
          <w:rtl/>
        </w:rPr>
        <w:br/>
      </w:r>
      <w:r>
        <w:rPr>
          <w:rFonts w:hint="cs"/>
          <w:rtl/>
        </w:rPr>
        <w:t>תשס"ג-2003</w:t>
      </w:r>
      <w:r>
        <w:rPr>
          <w:rStyle w:val="default"/>
          <w:sz w:val="22"/>
          <w:szCs w:val="22"/>
          <w:rtl/>
        </w:rPr>
        <w:footnoteReference w:customMarkFollows="1" w:id="1"/>
        <w:t>*</w:t>
      </w:r>
    </w:p>
    <w:p w:rsidR="003F3186" w:rsidRDefault="003F3186">
      <w:pPr>
        <w:pStyle w:val="P00"/>
        <w:spacing w:before="72"/>
        <w:ind w:left="0" w:right="1134"/>
        <w:rPr>
          <w:rStyle w:val="default"/>
          <w:rFonts w:cs="FrankRuehl" w:hint="cs"/>
          <w:rtl/>
        </w:rPr>
      </w:pPr>
      <w:r>
        <w:rPr>
          <w:rStyle w:val="default"/>
          <w:rFonts w:cs="FrankRuehl" w:hint="cs"/>
          <w:rtl/>
        </w:rPr>
        <w:tab/>
        <w:t xml:space="preserve">בתוקף סמכותי לפי סעיפים 17(ד) ו-63 לחוק משק החשמל, התשנ"ו-1996 (להלן </w:t>
      </w:r>
      <w:r>
        <w:rPr>
          <w:rStyle w:val="default"/>
          <w:rFonts w:cs="FrankRuehl"/>
          <w:rtl/>
        </w:rPr>
        <w:t>–</w:t>
      </w:r>
      <w:r>
        <w:rPr>
          <w:rStyle w:val="default"/>
          <w:rFonts w:cs="FrankRuehl" w:hint="cs"/>
          <w:rtl/>
        </w:rPr>
        <w:t xml:space="preserve"> החוק), ובאישור ועדת העבודה הרווחה והבריאות של הכנסת, לפי סעיף 48(א) לחוק-יסוד: הממשלה, וסעיף 2(ב) לחוק העונשין, התשל"ז-1977, אני מתקין תקנות אלה:</w:t>
      </w:r>
    </w:p>
    <w:p w:rsidR="003F3186" w:rsidRDefault="003F3186">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א': פרשנות</w:t>
      </w:r>
    </w:p>
    <w:p w:rsidR="003F3186" w:rsidRDefault="003F3186">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4pt;z-index:251654144" o:allowincell="f" filled="f" stroked="f" strokecolor="lime" strokeweight=".25pt">
            <v:textbox style="mso-next-textbox:#_x0000_s1026" inset="0,0,0,0">
              <w:txbxContent>
                <w:p w:rsidR="003F3186" w:rsidRDefault="003F3186">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3F3186" w:rsidRDefault="003F3186">
      <w:pPr>
        <w:pStyle w:val="P00"/>
        <w:spacing w:before="72"/>
        <w:ind w:left="0" w:right="1134"/>
        <w:rPr>
          <w:rStyle w:val="default"/>
          <w:rFonts w:cs="FrankRuehl" w:hint="cs"/>
          <w:rtl/>
        </w:rPr>
      </w:pPr>
      <w:r>
        <w:rPr>
          <w:rStyle w:val="default"/>
          <w:rFonts w:cs="FrankRuehl" w:hint="cs"/>
          <w:rtl/>
        </w:rPr>
        <w:tab/>
        <w:t xml:space="preserve">"אמות המידה" </w:t>
      </w:r>
      <w:r>
        <w:rPr>
          <w:rStyle w:val="default"/>
          <w:rFonts w:cs="FrankRuehl"/>
          <w:rtl/>
        </w:rPr>
        <w:t>–</w:t>
      </w:r>
      <w:r>
        <w:rPr>
          <w:rStyle w:val="default"/>
          <w:rFonts w:cs="FrankRuehl" w:hint="cs"/>
          <w:rtl/>
        </w:rPr>
        <w:t xml:space="preserve"> אמות המידה שקבעה הרשות לפי סעיפים 30(2) ו-33 לחוק;</w:t>
      </w:r>
    </w:p>
    <w:p w:rsidR="003F3186" w:rsidRDefault="003F3186">
      <w:pPr>
        <w:pStyle w:val="P00"/>
        <w:spacing w:before="72"/>
        <w:ind w:left="0" w:right="1134"/>
        <w:rPr>
          <w:rStyle w:val="default"/>
          <w:rFonts w:cs="FrankRuehl" w:hint="cs"/>
          <w:rtl/>
        </w:rPr>
      </w:pPr>
      <w:r>
        <w:rPr>
          <w:rStyle w:val="default"/>
          <w:rFonts w:cs="FrankRuehl" w:hint="cs"/>
          <w:rtl/>
        </w:rPr>
        <w:tab/>
        <w:t xml:space="preserve">"בנין" </w:t>
      </w:r>
      <w:r>
        <w:rPr>
          <w:rStyle w:val="default"/>
          <w:rFonts w:cs="FrankRuehl"/>
          <w:rtl/>
        </w:rPr>
        <w:t>–</w:t>
      </w:r>
      <w:r>
        <w:rPr>
          <w:rStyle w:val="default"/>
          <w:rFonts w:cs="FrankRuehl" w:hint="cs"/>
          <w:rtl/>
        </w:rPr>
        <w:t xml:space="preserve"> כהגדרתו בחוק התכנון והבניה, התשכ"ה-1965;</w:t>
      </w:r>
    </w:p>
    <w:p w:rsidR="003F3186" w:rsidRDefault="003F3186">
      <w:pPr>
        <w:pStyle w:val="P00"/>
        <w:spacing w:before="72"/>
        <w:ind w:left="0" w:right="1134"/>
        <w:rPr>
          <w:rStyle w:val="default"/>
          <w:rFonts w:cs="FrankRuehl" w:hint="cs"/>
          <w:rtl/>
        </w:rPr>
      </w:pPr>
      <w:r>
        <w:rPr>
          <w:rStyle w:val="default"/>
          <w:rFonts w:cs="FrankRuehl" w:hint="cs"/>
          <w:rtl/>
        </w:rPr>
        <w:tab/>
        <w:t xml:space="preserve">"גודל חיבור" </w:t>
      </w:r>
      <w:r>
        <w:rPr>
          <w:rStyle w:val="default"/>
          <w:rFonts w:cs="FrankRuehl"/>
          <w:rtl/>
        </w:rPr>
        <w:t>–</w:t>
      </w:r>
      <w:r>
        <w:rPr>
          <w:rStyle w:val="default"/>
          <w:rFonts w:cs="FrankRuehl" w:hint="cs"/>
          <w:rtl/>
        </w:rPr>
        <w:t xml:space="preserve"> גודל מפסק ראשי שמותקן בכניסה למיתקן חשמל;</w:t>
      </w:r>
    </w:p>
    <w:p w:rsidR="003F3186" w:rsidRDefault="003F3186">
      <w:pPr>
        <w:pStyle w:val="P00"/>
        <w:spacing w:before="72"/>
        <w:ind w:left="0" w:right="1134"/>
        <w:rPr>
          <w:rStyle w:val="default"/>
          <w:rFonts w:cs="FrankRuehl" w:hint="cs"/>
          <w:rtl/>
        </w:rPr>
      </w:pPr>
      <w:r>
        <w:rPr>
          <w:rStyle w:val="default"/>
          <w:rFonts w:cs="FrankRuehl" w:hint="cs"/>
          <w:rtl/>
        </w:rPr>
        <w:tab/>
        <w:t xml:space="preserve">"הפסקת אספקת חשמל" </w:t>
      </w:r>
      <w:r>
        <w:rPr>
          <w:rStyle w:val="default"/>
          <w:rFonts w:cs="FrankRuehl"/>
          <w:rtl/>
        </w:rPr>
        <w:t>–</w:t>
      </w:r>
      <w:r>
        <w:rPr>
          <w:rStyle w:val="default"/>
          <w:rFonts w:cs="FrankRuehl" w:hint="cs"/>
          <w:rtl/>
        </w:rPr>
        <w:t xml:space="preserve"> הפסקה, הגבלה, הפחתה או ניתוק מתוכנן של אספקת החשמל לבנין או לחצרים;</w:t>
      </w:r>
    </w:p>
    <w:p w:rsidR="003F3186" w:rsidRDefault="003F3186">
      <w:pPr>
        <w:pStyle w:val="P00"/>
        <w:spacing w:before="72"/>
        <w:ind w:left="0" w:right="1134"/>
        <w:rPr>
          <w:rStyle w:val="default"/>
          <w:rFonts w:cs="FrankRuehl" w:hint="cs"/>
          <w:rtl/>
        </w:rPr>
      </w:pPr>
      <w:r>
        <w:rPr>
          <w:rStyle w:val="default"/>
          <w:rFonts w:cs="FrankRuehl" w:hint="cs"/>
          <w:rtl/>
        </w:rPr>
        <w:tab/>
        <w:t xml:space="preserve">"התאמת חיבור" </w:t>
      </w:r>
      <w:r>
        <w:rPr>
          <w:rStyle w:val="default"/>
          <w:rFonts w:cs="FrankRuehl"/>
          <w:rtl/>
        </w:rPr>
        <w:t>–</w:t>
      </w:r>
      <w:r>
        <w:rPr>
          <w:rStyle w:val="default"/>
          <w:rFonts w:cs="FrankRuehl" w:hint="cs"/>
          <w:rtl/>
        </w:rPr>
        <w:t xml:space="preserve"> לרבות הסרת קו חיבור, התקנתו מחדש באותו מקום או במקום אחר;</w:t>
      </w:r>
    </w:p>
    <w:p w:rsidR="003F3186" w:rsidRDefault="003F3186">
      <w:pPr>
        <w:pStyle w:val="P00"/>
        <w:spacing w:before="72"/>
        <w:ind w:left="0" w:right="1134"/>
        <w:rPr>
          <w:rStyle w:val="default"/>
          <w:rFonts w:cs="FrankRuehl" w:hint="cs"/>
          <w:rtl/>
        </w:rPr>
      </w:pPr>
      <w:r>
        <w:rPr>
          <w:rStyle w:val="default"/>
          <w:rFonts w:cs="FrankRuehl" w:hint="cs"/>
          <w:rtl/>
        </w:rPr>
        <w:tab/>
        <w:t xml:space="preserve">"חיבור" </w:t>
      </w:r>
      <w:r>
        <w:rPr>
          <w:rStyle w:val="default"/>
          <w:rFonts w:cs="FrankRuehl"/>
          <w:rtl/>
        </w:rPr>
        <w:t>–</w:t>
      </w:r>
      <w:r>
        <w:rPr>
          <w:rStyle w:val="default"/>
          <w:rFonts w:cs="FrankRuehl" w:hint="cs"/>
          <w:rtl/>
        </w:rPr>
        <w:t xml:space="preserve"> חיבור בנין או חצרים לרשת החשמל לרבות הגדלתו או התאמת חיבור והכל ברשת עילית או תת-קרקעית ובכל מתח;</w:t>
      </w:r>
    </w:p>
    <w:p w:rsidR="003F3186" w:rsidRDefault="003F3186">
      <w:pPr>
        <w:pStyle w:val="P00"/>
        <w:spacing w:before="72"/>
        <w:ind w:left="0" w:right="1134"/>
        <w:rPr>
          <w:rStyle w:val="default"/>
          <w:rFonts w:cs="FrankRuehl" w:hint="cs"/>
          <w:rtl/>
        </w:rPr>
      </w:pPr>
      <w:r>
        <w:rPr>
          <w:rStyle w:val="default"/>
          <w:rFonts w:cs="FrankRuehl" w:hint="cs"/>
          <w:rtl/>
        </w:rPr>
        <w:tab/>
        <w:t xml:space="preserve">"מיתקן הצרכן" </w:t>
      </w:r>
      <w:r>
        <w:rPr>
          <w:rStyle w:val="default"/>
          <w:rFonts w:cs="FrankRuehl"/>
          <w:rtl/>
        </w:rPr>
        <w:t>–</w:t>
      </w:r>
      <w:r>
        <w:rPr>
          <w:rStyle w:val="default"/>
          <w:rFonts w:cs="FrankRuehl" w:hint="cs"/>
          <w:rtl/>
        </w:rPr>
        <w:t xml:space="preserve"> מיתקן חשמל החל בהדקי המונה לכיוון חצרי הצרכן;</w:t>
      </w:r>
    </w:p>
    <w:p w:rsidR="003F3186" w:rsidRDefault="003F3186">
      <w:pPr>
        <w:pStyle w:val="P00"/>
        <w:spacing w:before="72"/>
        <w:ind w:left="0" w:right="1134"/>
        <w:rPr>
          <w:rStyle w:val="default"/>
          <w:rFonts w:cs="FrankRuehl" w:hint="cs"/>
          <w:rtl/>
        </w:rPr>
      </w:pPr>
      <w:r>
        <w:rPr>
          <w:rStyle w:val="default"/>
          <w:rFonts w:cs="FrankRuehl" w:hint="cs"/>
          <w:rtl/>
        </w:rPr>
        <w:tab/>
        <w:t xml:space="preserve">"מנהל עניני חשמל" </w:t>
      </w:r>
      <w:r>
        <w:rPr>
          <w:rStyle w:val="default"/>
          <w:rFonts w:cs="FrankRuehl"/>
          <w:rtl/>
        </w:rPr>
        <w:t>–</w:t>
      </w:r>
      <w:r>
        <w:rPr>
          <w:rStyle w:val="default"/>
          <w:rFonts w:cs="FrankRuehl" w:hint="cs"/>
          <w:rtl/>
        </w:rPr>
        <w:t xml:space="preserve"> המנהל על פי חוק החשמל, התשי"ד-1954;</w:t>
      </w:r>
    </w:p>
    <w:p w:rsidR="003F3186" w:rsidRDefault="003F3186">
      <w:pPr>
        <w:pStyle w:val="P00"/>
        <w:spacing w:before="72"/>
        <w:ind w:left="0" w:right="1134"/>
        <w:rPr>
          <w:rStyle w:val="default"/>
          <w:rFonts w:cs="FrankRuehl" w:hint="cs"/>
          <w:rtl/>
        </w:rPr>
      </w:pPr>
      <w:r>
        <w:rPr>
          <w:rStyle w:val="default"/>
          <w:rFonts w:cs="FrankRuehl" w:hint="cs"/>
          <w:rtl/>
        </w:rPr>
        <w:tab/>
        <w:t xml:space="preserve">"ספק" </w:t>
      </w:r>
      <w:r>
        <w:rPr>
          <w:rStyle w:val="default"/>
          <w:rFonts w:cs="FrankRuehl"/>
          <w:rtl/>
        </w:rPr>
        <w:t>–</w:t>
      </w:r>
      <w:r>
        <w:rPr>
          <w:rStyle w:val="default"/>
          <w:rFonts w:cs="FrankRuehl" w:hint="cs"/>
          <w:rtl/>
        </w:rPr>
        <w:t xml:space="preserve"> בעל רישיון ספק שירות חיוני;</w:t>
      </w:r>
    </w:p>
    <w:p w:rsidR="003F3186" w:rsidRDefault="003F3186">
      <w:pPr>
        <w:pStyle w:val="P00"/>
        <w:spacing w:before="72"/>
        <w:ind w:left="0" w:right="1134"/>
        <w:rPr>
          <w:rStyle w:val="default"/>
          <w:rFonts w:cs="FrankRuehl" w:hint="cs"/>
          <w:rtl/>
        </w:rPr>
      </w:pPr>
      <w:r>
        <w:rPr>
          <w:rStyle w:val="default"/>
          <w:rFonts w:cs="FrankRuehl" w:hint="cs"/>
          <w:rtl/>
        </w:rPr>
        <w:tab/>
        <w:t xml:space="preserve">"קו חיבור" </w:t>
      </w:r>
      <w:r>
        <w:rPr>
          <w:rStyle w:val="default"/>
          <w:rFonts w:cs="FrankRuehl"/>
          <w:rtl/>
        </w:rPr>
        <w:t>–</w:t>
      </w:r>
      <w:r>
        <w:rPr>
          <w:rStyle w:val="default"/>
          <w:rFonts w:cs="FrankRuehl" w:hint="cs"/>
          <w:rtl/>
        </w:rPr>
        <w:t xml:space="preserve"> קו המשמש להעברת חשמל מרשת החשמל ועד להדרי מיתקן הצרכן.</w:t>
      </w:r>
    </w:p>
    <w:p w:rsidR="003F3186" w:rsidRDefault="003F3186">
      <w:pPr>
        <w:pStyle w:val="P00"/>
        <w:spacing w:before="72"/>
        <w:ind w:left="0" w:right="1134"/>
        <w:rPr>
          <w:rStyle w:val="default"/>
          <w:rFonts w:cs="FrankRuehl" w:hint="cs"/>
          <w:rtl/>
        </w:rPr>
      </w:pPr>
      <w:bookmarkStart w:id="1" w:name="Seif1"/>
      <w:bookmarkEnd w:id="1"/>
      <w:r>
        <w:rPr>
          <w:rFonts w:cs="Miriam"/>
          <w:szCs w:val="32"/>
          <w:rtl/>
          <w:lang w:val="he-IL"/>
        </w:rPr>
        <w:pict>
          <v:shapetype id="_x0000_t202" coordsize="21600,21600" o:spt="202" path="m,l,21600r21600,l21600,xe">
            <v:stroke joinstyle="miter"/>
            <v:path gradientshapeok="t" o:connecttype="rect"/>
          </v:shapetype>
          <v:shape id="_x0000_s1126" type="#_x0000_t202" style="position:absolute;left:0;text-align:left;margin-left:462pt;margin-top:4.95pt;width:80.25pt;height:31.2pt;z-index:251655168" filled="f" stroked="f">
            <v:textbox inset="1mm,,1mm">
              <w:txbxContent>
                <w:p w:rsidR="003F3186" w:rsidRDefault="003F3186">
                  <w:pPr>
                    <w:spacing w:line="160" w:lineRule="exact"/>
                    <w:jc w:val="left"/>
                    <w:rPr>
                      <w:rFonts w:cs="Miriam" w:hint="cs"/>
                      <w:szCs w:val="18"/>
                      <w:rtl/>
                    </w:rPr>
                  </w:pPr>
                  <w:r>
                    <w:rPr>
                      <w:rFonts w:cs="Miriam" w:hint="cs"/>
                      <w:szCs w:val="18"/>
                      <w:rtl/>
                    </w:rPr>
                    <w:t>הפסקת אספקת חשמל מטעמי בטיחות</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ספק רשאי לבצע הפסקת אספקת חשמל בהתקיים אחת מאלה:</w:t>
      </w:r>
    </w:p>
    <w:p w:rsidR="003F3186" w:rsidRDefault="003F318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מיתקן הצרכן או חלק ממנו או שינוי שייעשה בחצרי הצרכן גורם או עלול לגרום לנזקים לרכוש או לנפש;</w:t>
      </w:r>
    </w:p>
    <w:p w:rsidR="003F3186" w:rsidRDefault="003F318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הצרכן הפר הוראת חיקוק או כל הוראת בטיחות, שאישר השר או מנהל עניני חשמל, הנוגעת לאחזקה או לטיפול בציוד חשמלי;</w:t>
      </w:r>
    </w:p>
    <w:p w:rsidR="003F3186" w:rsidRDefault="003F318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הצרכן חרג מגודל החיבור שאושר לחצרים, או צרך חשמל באופן המפריע או העלול להפריע לאספקת חשמל תקינה לצרכנים אחרים;</w:t>
      </w:r>
    </w:p>
    <w:p w:rsidR="003F3186" w:rsidRDefault="003F318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הפסקת החשמל נדרשת לצורך ביצוע פעולות הנחוצות למילוי תנאי רישיון הספק, כמפורט בסעיף 46(א) לחוק;</w:t>
      </w:r>
    </w:p>
    <w:p w:rsidR="003F3186" w:rsidRDefault="003F318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לדעת הספק עולה או עשוי לעלות הביקוש לחשמל על יכולת האספקה של מיתקניו, באופן העלול לפגוע בהם;</w:t>
      </w:r>
    </w:p>
    <w:p w:rsidR="003F3186" w:rsidRDefault="003F3186">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בהתאם להוראת כל דין או רשות מוסמכת, נדרש הספק לבצע הפסקת חשמל.</w:t>
      </w:r>
    </w:p>
    <w:p w:rsidR="003F3186" w:rsidRDefault="003F3186">
      <w:pPr>
        <w:pStyle w:val="P00"/>
        <w:spacing w:before="72"/>
        <w:ind w:left="0" w:right="1134"/>
        <w:rPr>
          <w:rStyle w:val="default"/>
          <w:rFonts w:cs="FrankRuehl" w:hint="cs"/>
          <w:rtl/>
        </w:rPr>
      </w:pPr>
      <w:bookmarkStart w:id="2" w:name="Seif2"/>
      <w:bookmarkEnd w:id="2"/>
      <w:r>
        <w:rPr>
          <w:rFonts w:cs="Miriam"/>
          <w:szCs w:val="32"/>
          <w:rtl/>
          <w:lang w:val="he-IL"/>
        </w:rPr>
        <w:pict>
          <v:shape id="_x0000_s1127" type="#_x0000_t202" style="position:absolute;left:0;text-align:left;margin-left:470.25pt;margin-top:2.6pt;width:1in;height:22.6pt;z-index:251656192" filled="f" stroked="f">
            <v:textbox inset="1mm,,1mm">
              <w:txbxContent>
                <w:p w:rsidR="003F3186" w:rsidRDefault="003F3186">
                  <w:pPr>
                    <w:spacing w:line="160" w:lineRule="exact"/>
                    <w:jc w:val="left"/>
                    <w:rPr>
                      <w:rFonts w:cs="Miriam" w:hint="cs"/>
                      <w:szCs w:val="18"/>
                      <w:rtl/>
                    </w:rPr>
                  </w:pPr>
                  <w:r>
                    <w:rPr>
                      <w:rFonts w:cs="Miriam" w:hint="cs"/>
                      <w:szCs w:val="18"/>
                      <w:rtl/>
                    </w:rPr>
                    <w:t>הפסקת חשמל עקב הפרות של צרכן</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נוסף על האמור בתקנה 2, רשאי ספק לבצע הפסקת אספקת חשמל, בהתקיים אחת מאלה:</w:t>
      </w:r>
    </w:p>
    <w:p w:rsidR="003F3186" w:rsidRDefault="003F318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הצרכן לא פרע במועד חשבון או שלא עובדו שטר, המחאה או התחייבות אחרת שנתן הצרכן לפירעון חשבון כאמור, והכל בהתאם לאמות המידה ובפרט להוראות בדבר חשבונות ותשלומים כפי שנקבעו באמות המידה;</w:t>
      </w:r>
    </w:p>
    <w:p w:rsidR="003F3186" w:rsidRDefault="003F318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שימוש בחשמל שלא כדין.</w:t>
      </w:r>
    </w:p>
    <w:p w:rsidR="003F3186" w:rsidRDefault="003F3186">
      <w:pPr>
        <w:pStyle w:val="P00"/>
        <w:spacing w:before="72"/>
        <w:ind w:left="0" w:right="1134"/>
        <w:rPr>
          <w:rStyle w:val="default"/>
          <w:rFonts w:cs="FrankRuehl" w:hint="cs"/>
          <w:rtl/>
        </w:rPr>
      </w:pPr>
      <w:bookmarkStart w:id="3" w:name="Seif3"/>
      <w:bookmarkEnd w:id="3"/>
      <w:r>
        <w:rPr>
          <w:rFonts w:cs="Miriam"/>
          <w:szCs w:val="32"/>
          <w:rtl/>
          <w:lang w:val="he-IL"/>
        </w:rPr>
        <w:pict>
          <v:shape id="_x0000_s1128" type="#_x0000_t202" style="position:absolute;left:0;text-align:left;margin-left:470.25pt;margin-top:3.7pt;width:1in;height:16.35pt;z-index:251657216" filled="f" stroked="f">
            <v:textbox style="mso-next-textbox:#_x0000_s1128" inset="1mm,,1mm">
              <w:txbxContent>
                <w:p w:rsidR="003F3186" w:rsidRDefault="003F3186">
                  <w:pPr>
                    <w:spacing w:line="160" w:lineRule="exact"/>
                    <w:jc w:val="left"/>
                    <w:rPr>
                      <w:rFonts w:cs="Miriam" w:hint="cs"/>
                      <w:szCs w:val="18"/>
                      <w:rtl/>
                    </w:rPr>
                  </w:pPr>
                  <w:r>
                    <w:rPr>
                      <w:rFonts w:cs="Miriam" w:hint="cs"/>
                      <w:szCs w:val="18"/>
                      <w:rtl/>
                    </w:rPr>
                    <w:t>הודעה מוקדמת</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(א)</w:t>
      </w:r>
      <w:r>
        <w:rPr>
          <w:rStyle w:val="default"/>
          <w:rFonts w:cs="FrankRuehl" w:hint="cs"/>
          <w:rtl/>
        </w:rPr>
        <w:tab/>
        <w:t>הפסקת אספקת חשמל כאמור בתקנות 2 ו-3, תתבצע רק לאחר שהודיע הספק על הפסקת החשמל לכל הצרכנים אשר אספקת החשמל אליהם צפויה להיפסק, במועד, בדרך ובאופן שנקבעו באמות המידה, למעט במקרים שקיימת, או עלול להתקיים, סכנה לנפש או לרכוש.</w:t>
      </w:r>
    </w:p>
    <w:p w:rsidR="003F3186" w:rsidRDefault="003F31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ניתנה לצרכן הודעה מוקדמת כאמור בתקנה משנה (א), לא יבצע הספק הפסקת </w:t>
      </w:r>
      <w:r>
        <w:rPr>
          <w:rStyle w:val="default"/>
          <w:rFonts w:cs="FrankRuehl" w:hint="cs"/>
          <w:rtl/>
        </w:rPr>
        <w:lastRenderedPageBreak/>
        <w:t>אספקת חשמל, אם במהלך תקופת ההודעה חדלה להתקיים העילה לנתינתה או אם קיים הצרכן את הוראת הספק שנשלחה לו.</w:t>
      </w:r>
    </w:p>
    <w:p w:rsidR="003F3186" w:rsidRDefault="003F3186">
      <w:pPr>
        <w:pStyle w:val="P00"/>
        <w:spacing w:before="72"/>
        <w:ind w:left="0" w:right="1134"/>
        <w:rPr>
          <w:rStyle w:val="default"/>
          <w:rFonts w:cs="FrankRuehl" w:hint="cs"/>
          <w:rtl/>
        </w:rPr>
      </w:pPr>
      <w:bookmarkStart w:id="4" w:name="Seif4"/>
      <w:bookmarkEnd w:id="4"/>
      <w:r>
        <w:rPr>
          <w:rFonts w:cs="Miriam"/>
          <w:szCs w:val="32"/>
          <w:rtl/>
          <w:lang w:val="he-IL"/>
        </w:rPr>
        <w:pict>
          <v:shape id="_x0000_s1129" type="#_x0000_t202" style="position:absolute;left:0;text-align:left;margin-left:462pt;margin-top:2.45pt;width:80.25pt;height:22.4pt;z-index:251658240" filled="f" stroked="f">
            <v:textbox inset="1mm,,1mm">
              <w:txbxContent>
                <w:p w:rsidR="003F3186" w:rsidRDefault="003F3186">
                  <w:pPr>
                    <w:spacing w:line="160" w:lineRule="exact"/>
                    <w:jc w:val="left"/>
                    <w:rPr>
                      <w:rFonts w:cs="Miriam" w:hint="cs"/>
                      <w:szCs w:val="18"/>
                      <w:rtl/>
                    </w:rPr>
                  </w:pPr>
                  <w:r>
                    <w:rPr>
                      <w:rFonts w:cs="Miriam" w:hint="cs"/>
                      <w:szCs w:val="18"/>
                      <w:rtl/>
                    </w:rPr>
                    <w:t>סיום העילה להפסקת אספקת חשמל</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(א)</w:t>
      </w:r>
      <w:r>
        <w:rPr>
          <w:rStyle w:val="default"/>
          <w:rFonts w:cs="FrankRuehl" w:hint="cs"/>
          <w:rtl/>
        </w:rPr>
        <w:tab/>
        <w:t>עם סיום העילה להפסקת אספקת החשמל לפי תקנות 2(1) עד (5) ו-3 ינהג הספק בהתאם לאמת מידה בדבר הפסקות חשמל יזומות.</w:t>
      </w:r>
    </w:p>
    <w:p w:rsidR="003F3186" w:rsidRDefault="003F31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הפסקת החשמל לפי תקנה 2(6) לא תימשך מעבר לתקופה המותרת על פי אותו דין או הוראת הרשות המוסמכת.</w:t>
      </w:r>
    </w:p>
    <w:p w:rsidR="003F3186" w:rsidRDefault="003F3186">
      <w:pPr>
        <w:pStyle w:val="P00"/>
        <w:spacing w:before="72"/>
        <w:ind w:left="0" w:right="1134"/>
        <w:rPr>
          <w:rStyle w:val="default"/>
          <w:rFonts w:cs="FrankRuehl" w:hint="cs"/>
          <w:rtl/>
        </w:rPr>
      </w:pPr>
      <w:bookmarkStart w:id="5" w:name="Seif5"/>
      <w:bookmarkEnd w:id="5"/>
      <w:r>
        <w:rPr>
          <w:rFonts w:cs="Miriam"/>
          <w:szCs w:val="32"/>
          <w:rtl/>
          <w:lang w:val="he-IL"/>
        </w:rPr>
        <w:pict>
          <v:shape id="_x0000_s1172" type="#_x0000_t202" style="position:absolute;left:0;text-align:left;margin-left:470.25pt;margin-top:6.4pt;width:1in;height:23.15pt;z-index:251659264" filled="f" stroked="f">
            <v:textbox inset="1mm,,1mm">
              <w:txbxContent>
                <w:p w:rsidR="003F3186" w:rsidRDefault="003F3186">
                  <w:pPr>
                    <w:spacing w:line="160" w:lineRule="exact"/>
                    <w:jc w:val="left"/>
                    <w:rPr>
                      <w:rFonts w:cs="Miriam" w:hint="cs"/>
                      <w:szCs w:val="18"/>
                      <w:rtl/>
                    </w:rPr>
                  </w:pPr>
                  <w:r>
                    <w:rPr>
                      <w:rFonts w:cs="Miriam" w:hint="cs"/>
                      <w:szCs w:val="18"/>
                      <w:rtl/>
                    </w:rPr>
                    <w:t>ניתוק אספקה מחוץ לחצרים</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(א)</w:t>
      </w:r>
      <w:r>
        <w:rPr>
          <w:rStyle w:val="default"/>
          <w:rFonts w:cs="FrankRuehl" w:hint="cs"/>
          <w:rtl/>
        </w:rPr>
        <w:tab/>
        <w:t>לא ניתן לעובדי הספק המוסמכים להיכנס לחצרים לביצוע הפסקת אספקת חשמל וכל הקשור בכך, לאחר מתן הודעה כדין, יהיה הספק רשאי לבצע את הפסקת אספקת החשמל בנקודה הנמצאת מחוץ להם, או ברשת החשמל של הספק.</w:t>
      </w:r>
    </w:p>
    <w:p w:rsidR="003F3186" w:rsidRDefault="003F31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נדרש הספק לנתק אספקת חשמל לצרכן מחוץ לחצרים כאמור בתקנת משנה (א), וכתוצאה מכך נגרמו נזקים לאחר, יישאו בנזקים הצרכן או כל אחד אחר, לרבות הספק, בהתאם לקביעת הרשות ובכפוף לכל דין.</w:t>
      </w:r>
    </w:p>
    <w:p w:rsidR="003F3186" w:rsidRDefault="003F3186">
      <w:pPr>
        <w:pStyle w:val="P00"/>
        <w:spacing w:before="72"/>
        <w:ind w:left="0" w:right="1134"/>
        <w:rPr>
          <w:rStyle w:val="default"/>
          <w:rFonts w:cs="FrankRuehl" w:hint="cs"/>
          <w:rtl/>
        </w:rPr>
      </w:pPr>
      <w:bookmarkStart w:id="6" w:name="Seif6"/>
      <w:bookmarkEnd w:id="6"/>
      <w:r>
        <w:rPr>
          <w:rFonts w:cs="Miriam"/>
          <w:szCs w:val="32"/>
          <w:rtl/>
          <w:lang w:val="he-IL"/>
        </w:rPr>
        <w:pict>
          <v:shape id="_x0000_s1173" type="#_x0000_t202" style="position:absolute;left:0;text-align:left;margin-left:470.25pt;margin-top:2.1pt;width:1in;height:28.5pt;z-index:251660288" filled="f" stroked="f">
            <v:textbox inset="1mm,,1mm">
              <w:txbxContent>
                <w:p w:rsidR="003F3186" w:rsidRDefault="003F3186">
                  <w:pPr>
                    <w:spacing w:line="160" w:lineRule="exact"/>
                    <w:jc w:val="left"/>
                    <w:rPr>
                      <w:rFonts w:cs="Miriam" w:hint="cs"/>
                      <w:szCs w:val="18"/>
                      <w:rtl/>
                    </w:rPr>
                  </w:pPr>
                  <w:r>
                    <w:rPr>
                      <w:rFonts w:cs="Miriam" w:hint="cs"/>
                      <w:szCs w:val="18"/>
                      <w:rtl/>
                    </w:rPr>
                    <w:t>חיבור אספקת החשמל מחדש לאחר ניתוקה</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(א)</w:t>
      </w:r>
      <w:r>
        <w:rPr>
          <w:rStyle w:val="default"/>
          <w:rFonts w:cs="FrankRuehl" w:hint="cs"/>
          <w:rtl/>
        </w:rPr>
        <w:tab/>
        <w:t>המשיכה עילת ניתוק מן המפורטות בתקנות 2 או 3 להתקיים במשך יותר משנתיים מיום הניתוק, רשאי הספק לפרק את הרשת.</w:t>
      </w:r>
    </w:p>
    <w:p w:rsidR="003F3186" w:rsidRDefault="003F31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ביקש צרכן לחבר מחדש את אספקת החשמל שהופסקה, שנתיים או יותר לאחר הניתוק, יגיש הצרכן בקשה לחיבור לחצרים שאינם מחוברים לרשת החשמל, בהתאם להוראות אמות המידה וכל דין.</w:t>
      </w:r>
    </w:p>
    <w:p w:rsidR="003F3186" w:rsidRDefault="003F3186">
      <w:pPr>
        <w:pStyle w:val="P00"/>
        <w:spacing w:before="72"/>
        <w:ind w:left="0" w:right="1134"/>
        <w:rPr>
          <w:rStyle w:val="default"/>
          <w:rFonts w:cs="FrankRuehl" w:hint="cs"/>
          <w:rtl/>
        </w:rPr>
      </w:pPr>
      <w:bookmarkStart w:id="7" w:name="Seif7"/>
      <w:bookmarkEnd w:id="7"/>
      <w:r>
        <w:rPr>
          <w:rFonts w:cs="Miriam"/>
          <w:szCs w:val="32"/>
          <w:rtl/>
          <w:lang w:val="he-IL"/>
        </w:rPr>
        <w:pict>
          <v:shape id="_x0000_s1174" type="#_x0000_t202" style="position:absolute;left:0;text-align:left;margin-left:470.25pt;margin-top:5.5pt;width:1in;height:16.8pt;z-index:251661312" filled="f" stroked="f">
            <v:textbox inset="1mm,,1mm">
              <w:txbxContent>
                <w:p w:rsidR="003F3186" w:rsidRDefault="003F3186">
                  <w:pPr>
                    <w:spacing w:line="160" w:lineRule="exact"/>
                    <w:jc w:val="left"/>
                    <w:rPr>
                      <w:rFonts w:cs="Miriam" w:hint="cs"/>
                      <w:szCs w:val="18"/>
                      <w:rtl/>
                    </w:rPr>
                  </w:pPr>
                  <w:r>
                    <w:rPr>
                      <w:rFonts w:cs="Miriam" w:hint="cs"/>
                      <w:szCs w:val="18"/>
                      <w:rtl/>
                    </w:rPr>
                    <w:t>תחילה</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תחילתן של תקנות אלה 30 ימים מיום פרסומן.</w:t>
      </w:r>
    </w:p>
    <w:p w:rsidR="003F3186" w:rsidRDefault="003F3186">
      <w:pPr>
        <w:pStyle w:val="P00"/>
        <w:spacing w:before="72"/>
        <w:ind w:left="0" w:right="1134"/>
        <w:rPr>
          <w:rStyle w:val="default"/>
          <w:rFonts w:cs="FrankRuehl" w:hint="cs"/>
          <w:rtl/>
        </w:rPr>
      </w:pPr>
    </w:p>
    <w:p w:rsidR="003F3186" w:rsidRDefault="003F3186">
      <w:pPr>
        <w:pStyle w:val="P00"/>
        <w:spacing w:before="72"/>
        <w:ind w:left="0" w:right="1134"/>
        <w:rPr>
          <w:rStyle w:val="default"/>
          <w:rFonts w:cs="FrankRuehl" w:hint="cs"/>
          <w:rtl/>
        </w:rPr>
      </w:pPr>
      <w:r>
        <w:rPr>
          <w:rStyle w:val="default"/>
          <w:rFonts w:cs="FrankRuehl" w:hint="cs"/>
          <w:rtl/>
        </w:rPr>
        <w:t>י"ח בשבט התשס"ג (21 בינואר 2003)</w:t>
      </w:r>
    </w:p>
    <w:p w:rsidR="003F3186" w:rsidRDefault="003F3186">
      <w:pPr>
        <w:pStyle w:val="P00"/>
        <w:tabs>
          <w:tab w:val="clear" w:pos="624"/>
          <w:tab w:val="clear" w:pos="1021"/>
          <w:tab w:val="clear" w:pos="1474"/>
          <w:tab w:val="clear" w:pos="1928"/>
          <w:tab w:val="clear" w:pos="2381"/>
          <w:tab w:val="clear" w:pos="2835"/>
          <w:tab w:val="clear" w:pos="6259"/>
          <w:tab w:val="center" w:pos="1134"/>
          <w:tab w:val="center" w:pos="2977"/>
          <w:tab w:val="center" w:pos="4820"/>
          <w:tab w:val="center" w:pos="6804"/>
        </w:tabs>
        <w:spacing w:before="72"/>
        <w:ind w:left="0" w:right="1134"/>
        <w:rPr>
          <w:rStyle w:val="default"/>
          <w:rFonts w:cs="FrankRuehl" w:hint="cs"/>
          <w:sz w:val="26"/>
          <w:rtl/>
        </w:rPr>
      </w:pPr>
      <w:r>
        <w:rPr>
          <w:rStyle w:val="default"/>
          <w:rFonts w:cs="FrankRuehl" w:hint="cs"/>
          <w:sz w:val="26"/>
          <w:rtl/>
        </w:rPr>
        <w:tab/>
      </w:r>
      <w:r>
        <w:rPr>
          <w:rStyle w:val="default"/>
          <w:rFonts w:cs="FrankRuehl" w:hint="cs"/>
          <w:sz w:val="26"/>
          <w:rtl/>
        </w:rPr>
        <w:tab/>
      </w:r>
      <w:r>
        <w:rPr>
          <w:rStyle w:val="default"/>
          <w:rFonts w:cs="FrankRuehl" w:hint="cs"/>
          <w:sz w:val="26"/>
          <w:rtl/>
        </w:rPr>
        <w:tab/>
        <w:t>אפרים איתם</w:t>
      </w:r>
    </w:p>
    <w:p w:rsidR="003F3186" w:rsidRDefault="003F3186">
      <w:pPr>
        <w:pStyle w:val="P00"/>
        <w:tabs>
          <w:tab w:val="clear" w:pos="624"/>
          <w:tab w:val="clear" w:pos="1021"/>
          <w:tab w:val="clear" w:pos="1474"/>
          <w:tab w:val="clear" w:pos="1928"/>
          <w:tab w:val="clear" w:pos="2381"/>
          <w:tab w:val="clear" w:pos="2835"/>
          <w:tab w:val="clear" w:pos="6259"/>
          <w:tab w:val="center" w:pos="1134"/>
          <w:tab w:val="center" w:pos="2977"/>
          <w:tab w:val="center" w:pos="4820"/>
          <w:tab w:val="center" w:pos="6804"/>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שר התשתיות הלאומיות</w:t>
      </w:r>
    </w:p>
    <w:p w:rsidR="003F3186" w:rsidRDefault="003F3186">
      <w:pPr>
        <w:pStyle w:val="P00"/>
        <w:spacing w:before="72"/>
        <w:ind w:left="0" w:right="1134"/>
        <w:rPr>
          <w:rStyle w:val="default"/>
          <w:rFonts w:cs="FrankRuehl" w:hint="cs"/>
          <w:rtl/>
        </w:rPr>
      </w:pPr>
    </w:p>
    <w:p w:rsidR="003F3186" w:rsidRDefault="003F3186">
      <w:pPr>
        <w:pStyle w:val="P00"/>
        <w:spacing w:before="72"/>
        <w:ind w:left="0" w:right="1134"/>
        <w:rPr>
          <w:rStyle w:val="default"/>
          <w:rFonts w:cs="FrankRuehl" w:hint="cs"/>
          <w:rtl/>
        </w:rPr>
      </w:pPr>
    </w:p>
    <w:sectPr w:rsidR="003F3186">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1BF9" w:rsidRDefault="00801BF9">
      <w:r>
        <w:separator/>
      </w:r>
    </w:p>
  </w:endnote>
  <w:endnote w:type="continuationSeparator" w:id="0">
    <w:p w:rsidR="00801BF9" w:rsidRDefault="00801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3186" w:rsidRDefault="003F318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F3186" w:rsidRDefault="003F318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F3186" w:rsidRDefault="003F318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Z:\000000000000-law\yael\07-09-04\01\999_122.doc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3186" w:rsidRDefault="003F318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346D9">
      <w:rPr>
        <w:rFonts w:hAnsi="FrankRuehl" w:cs="FrankRuehl"/>
        <w:noProof/>
        <w:sz w:val="24"/>
        <w:szCs w:val="24"/>
        <w:rtl/>
      </w:rPr>
      <w:t>1</w:t>
    </w:r>
    <w:r>
      <w:rPr>
        <w:rFonts w:hAnsi="FrankRuehl" w:cs="FrankRuehl"/>
        <w:sz w:val="24"/>
        <w:szCs w:val="24"/>
        <w:rtl/>
      </w:rPr>
      <w:fldChar w:fldCharType="end"/>
    </w:r>
  </w:p>
  <w:p w:rsidR="003F3186" w:rsidRDefault="003F318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F3186" w:rsidRDefault="003F318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Z:\000000000000-law\yael\07-09-04\01\999_122.doc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1BF9" w:rsidRDefault="00801BF9">
      <w:pPr>
        <w:spacing w:before="60" w:line="240" w:lineRule="auto"/>
        <w:ind w:right="1134"/>
      </w:pPr>
      <w:r>
        <w:separator/>
      </w:r>
    </w:p>
  </w:footnote>
  <w:footnote w:type="continuationSeparator" w:id="0">
    <w:p w:rsidR="00801BF9" w:rsidRDefault="00801BF9">
      <w:r>
        <w:continuationSeparator/>
      </w:r>
    </w:p>
  </w:footnote>
  <w:footnote w:id="1">
    <w:p w:rsidR="003F3186" w:rsidRDefault="003F318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ק"ת תשס"ג מס' 6228</w:t>
        </w:r>
      </w:hyperlink>
      <w:r>
        <w:rPr>
          <w:rFonts w:hint="cs"/>
          <w:sz w:val="20"/>
          <w:rtl/>
        </w:rPr>
        <w:t xml:space="preserve"> מיום 20.2.2003 עמ' 546.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3186" w:rsidRDefault="003F318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3F3186" w:rsidRDefault="003F318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F3186" w:rsidRDefault="003F318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3186" w:rsidRDefault="003F318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משק החשמל (כללים, תנאים ומקרים להפסקת אספקת חשמל), תשס"ג-2003</w:t>
    </w:r>
  </w:p>
  <w:p w:rsidR="003F3186" w:rsidRDefault="003F318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F3186" w:rsidRDefault="003F318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3186"/>
    <w:rsid w:val="003F3186"/>
    <w:rsid w:val="00596DD4"/>
    <w:rsid w:val="00801BF9"/>
    <w:rsid w:val="00BB4F3A"/>
    <w:rsid w:val="00D346D9"/>
    <w:rsid w:val="00D55C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737D86D7-2C77-4EC7-AFA2-309C37EA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4171</CharactersWithSpaces>
  <SharedDoc>false</SharedDoc>
  <HLinks>
    <vt:vector size="54" baseType="variant">
      <vt:variant>
        <vt:i4>196634</vt:i4>
      </vt:variant>
      <vt:variant>
        <vt:i4>21</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Seif6</vt:lpwstr>
      </vt:variant>
      <vt:variant>
        <vt:i4>196634</vt:i4>
      </vt:variant>
      <vt:variant>
        <vt:i4>15</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Seif4</vt:lpwstr>
      </vt:variant>
      <vt:variant>
        <vt:i4>196634</vt:i4>
      </vt:variant>
      <vt:variant>
        <vt:i4>9</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Seif0</vt:lpwstr>
      </vt:variant>
      <vt:variant>
        <vt:i4>8192002</vt:i4>
      </vt:variant>
      <vt:variant>
        <vt:i4>0</vt:i4>
      </vt:variant>
      <vt:variant>
        <vt:i4>0</vt:i4>
      </vt:variant>
      <vt:variant>
        <vt:i4>5</vt:i4>
      </vt:variant>
      <vt:variant>
        <vt:lpwstr>http://www.nevo.co.il/Law_word/law06/TAK-6228.pdf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משק החשמל (כללים, תנאים ומקרים להפסקת אספקת חשמל), תשס"ג-2003</vt:lpwstr>
  </property>
  <property fmtid="{D5CDD505-2E9C-101B-9397-08002B2CF9AE}" pid="4" name="LAWNUMBER">
    <vt:lpwstr>0122</vt:lpwstr>
  </property>
  <property fmtid="{D5CDD505-2E9C-101B-9397-08002B2CF9AE}" pid="5" name="TYPE">
    <vt:lpwstr>01</vt:lpwstr>
  </property>
  <property fmtid="{D5CDD505-2E9C-101B-9397-08002B2CF9AE}" pid="6" name="MEKOR_NAME1">
    <vt:lpwstr>חוק משק החשמל</vt:lpwstr>
  </property>
  <property fmtid="{D5CDD505-2E9C-101B-9397-08002B2CF9AE}" pid="7" name="MEKOR_SAIF1">
    <vt:lpwstr>17XדX;63X</vt:lpwstr>
  </property>
  <property fmtid="{D5CDD505-2E9C-101B-9397-08002B2CF9AE}" pid="8" name="MEKOR_NAME2">
    <vt:lpwstr>חוק-יסוד: הממשלה</vt:lpwstr>
  </property>
  <property fmtid="{D5CDD505-2E9C-101B-9397-08002B2CF9AE}" pid="9" name="MEKOR_SAIF2">
    <vt:lpwstr>48XאX</vt:lpwstr>
  </property>
  <property fmtid="{D5CDD505-2E9C-101B-9397-08002B2CF9AE}" pid="10" name="MEKOR_NAME3">
    <vt:lpwstr>חוק העונשין</vt:lpwstr>
  </property>
  <property fmtid="{D5CDD505-2E9C-101B-9397-08002B2CF9AE}" pid="11" name="MEKOR_SAIF3">
    <vt:lpwstr>2XבX</vt:lpwstr>
  </property>
  <property fmtid="{D5CDD505-2E9C-101B-9397-08002B2CF9AE}" pid="12" name="NOSE11">
    <vt:lpwstr>רשויות ומשפט מנהלי</vt:lpwstr>
  </property>
  <property fmtid="{D5CDD505-2E9C-101B-9397-08002B2CF9AE}" pid="13" name="NOSE21">
    <vt:lpwstr>תשתיות</vt:lpwstr>
  </property>
  <property fmtid="{D5CDD505-2E9C-101B-9397-08002B2CF9AE}" pid="14" name="NOSE31">
    <vt:lpwstr>חשמל</vt:lpwstr>
  </property>
  <property fmtid="{D5CDD505-2E9C-101B-9397-08002B2CF9AE}" pid="15" name="NOSE41">
    <vt:lpwstr>משק החשמל וצריכה</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ies>
</file>