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67C3" w14:textId="77777777" w:rsidR="00D25D5C" w:rsidRDefault="004000CF" w:rsidP="003806E6">
      <w:pPr>
        <w:pStyle w:val="big-header"/>
        <w:spacing w:line="240" w:lineRule="auto"/>
        <w:ind w:left="0" w:right="1134"/>
        <w:rPr>
          <w:rFonts w:cs="FrankRuehl" w:hint="cs"/>
          <w:sz w:val="32"/>
          <w:rtl/>
        </w:rPr>
      </w:pPr>
      <w:r>
        <w:rPr>
          <w:rFonts w:cs="FrankRuehl" w:hint="cs"/>
          <w:sz w:val="32"/>
          <w:rtl/>
        </w:rPr>
        <w:t>תקנות ניירות ערך (</w:t>
      </w:r>
      <w:r w:rsidR="003806E6">
        <w:rPr>
          <w:rFonts w:cs="FrankRuehl" w:hint="cs"/>
          <w:sz w:val="32"/>
          <w:rtl/>
        </w:rPr>
        <w:t>דוחות תאגיד שמניותיו כלולות במדד ת"א טק-עילית), תשע"ו-2016</w:t>
      </w:r>
    </w:p>
    <w:p w14:paraId="42CF8B51" w14:textId="77777777" w:rsidR="00655B2A" w:rsidRDefault="00655B2A" w:rsidP="00655B2A">
      <w:pPr>
        <w:spacing w:line="320" w:lineRule="auto"/>
        <w:jc w:val="left"/>
        <w:rPr>
          <w:rFonts w:cs="FrankRuehl" w:hint="cs"/>
          <w:szCs w:val="26"/>
          <w:rtl/>
        </w:rPr>
      </w:pPr>
    </w:p>
    <w:p w14:paraId="2F207659" w14:textId="77777777" w:rsidR="00406881" w:rsidRPr="00655B2A" w:rsidRDefault="00406881" w:rsidP="00655B2A">
      <w:pPr>
        <w:spacing w:line="320" w:lineRule="auto"/>
        <w:jc w:val="left"/>
        <w:rPr>
          <w:rFonts w:cs="FrankRuehl" w:hint="cs"/>
          <w:szCs w:val="26"/>
          <w:rtl/>
        </w:rPr>
      </w:pPr>
    </w:p>
    <w:p w14:paraId="0B68F898" w14:textId="77777777" w:rsidR="00655B2A" w:rsidRDefault="00655B2A" w:rsidP="00655B2A">
      <w:pPr>
        <w:spacing w:line="320" w:lineRule="auto"/>
        <w:jc w:val="left"/>
        <w:rPr>
          <w:rtl/>
        </w:rPr>
      </w:pPr>
    </w:p>
    <w:p w14:paraId="5515A4E7" w14:textId="77777777" w:rsidR="00655B2A" w:rsidRDefault="00655B2A" w:rsidP="00655B2A">
      <w:pPr>
        <w:spacing w:line="320" w:lineRule="auto"/>
        <w:jc w:val="left"/>
        <w:rPr>
          <w:rFonts w:cs="FrankRuehl"/>
          <w:szCs w:val="26"/>
          <w:rtl/>
        </w:rPr>
      </w:pPr>
      <w:r w:rsidRPr="00655B2A">
        <w:rPr>
          <w:rFonts w:cs="Miriam"/>
          <w:szCs w:val="22"/>
          <w:rtl/>
        </w:rPr>
        <w:t>משפט פרטי וכלכלה</w:t>
      </w:r>
      <w:r w:rsidRPr="00655B2A">
        <w:rPr>
          <w:rFonts w:cs="FrankRuehl"/>
          <w:szCs w:val="26"/>
          <w:rtl/>
        </w:rPr>
        <w:t xml:space="preserve"> – תאגידים וניירות ערך – ניירות ערך</w:t>
      </w:r>
    </w:p>
    <w:p w14:paraId="3A6408E9" w14:textId="77777777" w:rsidR="00874201" w:rsidRPr="00655B2A" w:rsidRDefault="00655B2A" w:rsidP="00655B2A">
      <w:pPr>
        <w:spacing w:line="320" w:lineRule="auto"/>
        <w:jc w:val="left"/>
        <w:rPr>
          <w:rFonts w:cs="Miriam"/>
          <w:szCs w:val="22"/>
          <w:rtl/>
        </w:rPr>
      </w:pPr>
      <w:r w:rsidRPr="00655B2A">
        <w:rPr>
          <w:rFonts w:cs="Miriam"/>
          <w:szCs w:val="22"/>
          <w:rtl/>
        </w:rPr>
        <w:t>משפט פרטי וכלכלה</w:t>
      </w:r>
      <w:r w:rsidRPr="00655B2A">
        <w:rPr>
          <w:rFonts w:cs="FrankRuehl"/>
          <w:szCs w:val="26"/>
          <w:rtl/>
        </w:rPr>
        <w:t xml:space="preserve"> – כספים – בנקאות – ניירות ערך</w:t>
      </w:r>
    </w:p>
    <w:p w14:paraId="2AB6A810"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F2C5E" w:rsidRPr="007F2C5E" w14:paraId="17DE2832" w14:textId="77777777" w:rsidTr="007F2C5E">
        <w:tblPrEx>
          <w:tblCellMar>
            <w:top w:w="0" w:type="dxa"/>
            <w:bottom w:w="0" w:type="dxa"/>
          </w:tblCellMar>
        </w:tblPrEx>
        <w:tc>
          <w:tcPr>
            <w:tcW w:w="1247" w:type="dxa"/>
          </w:tcPr>
          <w:p w14:paraId="3C5A4A59" w14:textId="77777777" w:rsidR="007F2C5E" w:rsidRPr="007F2C5E" w:rsidRDefault="007F2C5E" w:rsidP="007F2C5E">
            <w:pPr>
              <w:spacing w:line="240" w:lineRule="auto"/>
              <w:jc w:val="left"/>
              <w:rPr>
                <w:rFonts w:cs="Frankruhel"/>
                <w:sz w:val="24"/>
                <w:rtl/>
              </w:rPr>
            </w:pPr>
            <w:r>
              <w:rPr>
                <w:rFonts w:cs="Times New Roman"/>
                <w:sz w:val="24"/>
                <w:rtl/>
              </w:rPr>
              <w:t xml:space="preserve">סעיף 1 </w:t>
            </w:r>
          </w:p>
        </w:tc>
        <w:tc>
          <w:tcPr>
            <w:tcW w:w="5669" w:type="dxa"/>
          </w:tcPr>
          <w:p w14:paraId="6EE31EAE" w14:textId="77777777" w:rsidR="007F2C5E" w:rsidRPr="007F2C5E" w:rsidRDefault="007F2C5E" w:rsidP="007F2C5E">
            <w:pPr>
              <w:spacing w:line="240" w:lineRule="auto"/>
              <w:jc w:val="left"/>
              <w:rPr>
                <w:rFonts w:cs="Frankruhel"/>
                <w:sz w:val="24"/>
                <w:rtl/>
              </w:rPr>
            </w:pPr>
            <w:r>
              <w:rPr>
                <w:rFonts w:cs="Times New Roman"/>
                <w:sz w:val="24"/>
                <w:rtl/>
              </w:rPr>
              <w:t>הגדרות</w:t>
            </w:r>
          </w:p>
        </w:tc>
        <w:tc>
          <w:tcPr>
            <w:tcW w:w="567" w:type="dxa"/>
          </w:tcPr>
          <w:p w14:paraId="1A1CFE10" w14:textId="77777777" w:rsidR="007F2C5E" w:rsidRPr="007F2C5E" w:rsidRDefault="007F2C5E" w:rsidP="007F2C5E">
            <w:pPr>
              <w:spacing w:line="240" w:lineRule="auto"/>
              <w:jc w:val="left"/>
              <w:rPr>
                <w:rStyle w:val="Hyperlink"/>
                <w:rtl/>
              </w:rPr>
            </w:pPr>
            <w:hyperlink w:anchor="Seif1" w:tooltip="הגדרות" w:history="1">
              <w:r w:rsidRPr="007F2C5E">
                <w:rPr>
                  <w:rStyle w:val="Hyperlink"/>
                </w:rPr>
                <w:t>Go</w:t>
              </w:r>
            </w:hyperlink>
          </w:p>
        </w:tc>
        <w:tc>
          <w:tcPr>
            <w:tcW w:w="850" w:type="dxa"/>
          </w:tcPr>
          <w:p w14:paraId="654B613C" w14:textId="77777777" w:rsidR="007F2C5E" w:rsidRPr="007F2C5E" w:rsidRDefault="007F2C5E" w:rsidP="007F2C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F2C5E" w:rsidRPr="007F2C5E" w14:paraId="4728FA7D" w14:textId="77777777" w:rsidTr="007F2C5E">
        <w:tblPrEx>
          <w:tblCellMar>
            <w:top w:w="0" w:type="dxa"/>
            <w:bottom w:w="0" w:type="dxa"/>
          </w:tblCellMar>
        </w:tblPrEx>
        <w:tc>
          <w:tcPr>
            <w:tcW w:w="1247" w:type="dxa"/>
          </w:tcPr>
          <w:p w14:paraId="40B8C122" w14:textId="77777777" w:rsidR="007F2C5E" w:rsidRPr="007F2C5E" w:rsidRDefault="007F2C5E" w:rsidP="007F2C5E">
            <w:pPr>
              <w:spacing w:line="240" w:lineRule="auto"/>
              <w:jc w:val="left"/>
              <w:rPr>
                <w:rFonts w:cs="Frankruhel"/>
                <w:sz w:val="24"/>
                <w:rtl/>
              </w:rPr>
            </w:pPr>
            <w:r>
              <w:rPr>
                <w:rFonts w:cs="Times New Roman"/>
                <w:sz w:val="24"/>
                <w:rtl/>
              </w:rPr>
              <w:t xml:space="preserve">סעיף 3 </w:t>
            </w:r>
          </w:p>
        </w:tc>
        <w:tc>
          <w:tcPr>
            <w:tcW w:w="5669" w:type="dxa"/>
          </w:tcPr>
          <w:p w14:paraId="0AD60D52" w14:textId="77777777" w:rsidR="007F2C5E" w:rsidRPr="007F2C5E" w:rsidRDefault="007F2C5E" w:rsidP="007F2C5E">
            <w:pPr>
              <w:spacing w:line="240" w:lineRule="auto"/>
              <w:jc w:val="left"/>
              <w:rPr>
                <w:rFonts w:cs="Frankruhel"/>
                <w:sz w:val="24"/>
                <w:rtl/>
              </w:rPr>
            </w:pPr>
            <w:r>
              <w:rPr>
                <w:rFonts w:cs="Times New Roman"/>
                <w:sz w:val="24"/>
                <w:rtl/>
              </w:rPr>
              <w:t>הקלות בפרטים השוואתיים</w:t>
            </w:r>
          </w:p>
        </w:tc>
        <w:tc>
          <w:tcPr>
            <w:tcW w:w="567" w:type="dxa"/>
          </w:tcPr>
          <w:p w14:paraId="50C9BFB4" w14:textId="77777777" w:rsidR="007F2C5E" w:rsidRPr="007F2C5E" w:rsidRDefault="007F2C5E" w:rsidP="007F2C5E">
            <w:pPr>
              <w:spacing w:line="240" w:lineRule="auto"/>
              <w:jc w:val="left"/>
              <w:rPr>
                <w:rStyle w:val="Hyperlink"/>
                <w:rtl/>
              </w:rPr>
            </w:pPr>
            <w:hyperlink w:anchor="Seif3" w:tooltip="הקלות בפרטים השוואתיים" w:history="1">
              <w:r w:rsidRPr="007F2C5E">
                <w:rPr>
                  <w:rStyle w:val="Hyperlink"/>
                </w:rPr>
                <w:t>Go</w:t>
              </w:r>
            </w:hyperlink>
          </w:p>
        </w:tc>
        <w:tc>
          <w:tcPr>
            <w:tcW w:w="850" w:type="dxa"/>
          </w:tcPr>
          <w:p w14:paraId="66CC5014" w14:textId="77777777" w:rsidR="007F2C5E" w:rsidRPr="007F2C5E" w:rsidRDefault="007F2C5E" w:rsidP="007F2C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F2C5E" w:rsidRPr="007F2C5E" w14:paraId="3172394C" w14:textId="77777777" w:rsidTr="007F2C5E">
        <w:tblPrEx>
          <w:tblCellMar>
            <w:top w:w="0" w:type="dxa"/>
            <w:bottom w:w="0" w:type="dxa"/>
          </w:tblCellMar>
        </w:tblPrEx>
        <w:tc>
          <w:tcPr>
            <w:tcW w:w="1247" w:type="dxa"/>
          </w:tcPr>
          <w:p w14:paraId="0A1E647B" w14:textId="77777777" w:rsidR="007F2C5E" w:rsidRPr="007F2C5E" w:rsidRDefault="007F2C5E" w:rsidP="007F2C5E">
            <w:pPr>
              <w:spacing w:line="240" w:lineRule="auto"/>
              <w:jc w:val="left"/>
              <w:rPr>
                <w:rFonts w:cs="Frankruhel"/>
                <w:sz w:val="24"/>
                <w:rtl/>
              </w:rPr>
            </w:pPr>
            <w:r>
              <w:rPr>
                <w:rFonts w:cs="Times New Roman"/>
                <w:sz w:val="24"/>
                <w:rtl/>
              </w:rPr>
              <w:t xml:space="preserve">סעיף 4 </w:t>
            </w:r>
          </w:p>
        </w:tc>
        <w:tc>
          <w:tcPr>
            <w:tcW w:w="5669" w:type="dxa"/>
          </w:tcPr>
          <w:p w14:paraId="4B0178B5" w14:textId="77777777" w:rsidR="007F2C5E" w:rsidRPr="007F2C5E" w:rsidRDefault="007F2C5E" w:rsidP="007F2C5E">
            <w:pPr>
              <w:spacing w:line="240" w:lineRule="auto"/>
              <w:jc w:val="left"/>
              <w:rPr>
                <w:rFonts w:cs="Frankruhel"/>
                <w:sz w:val="24"/>
                <w:rtl/>
              </w:rPr>
            </w:pPr>
            <w:r>
              <w:rPr>
                <w:rFonts w:cs="Times New Roman"/>
                <w:sz w:val="24"/>
                <w:rtl/>
              </w:rPr>
              <w:t>הקלות בדוחות כספיים</w:t>
            </w:r>
          </w:p>
        </w:tc>
        <w:tc>
          <w:tcPr>
            <w:tcW w:w="567" w:type="dxa"/>
          </w:tcPr>
          <w:p w14:paraId="1280902C" w14:textId="77777777" w:rsidR="007F2C5E" w:rsidRPr="007F2C5E" w:rsidRDefault="007F2C5E" w:rsidP="007F2C5E">
            <w:pPr>
              <w:spacing w:line="240" w:lineRule="auto"/>
              <w:jc w:val="left"/>
              <w:rPr>
                <w:rStyle w:val="Hyperlink"/>
                <w:rtl/>
              </w:rPr>
            </w:pPr>
            <w:hyperlink w:anchor="Seif4" w:tooltip="הקלות בדוחות כספיים" w:history="1">
              <w:r w:rsidRPr="007F2C5E">
                <w:rPr>
                  <w:rStyle w:val="Hyperlink"/>
                </w:rPr>
                <w:t>Go</w:t>
              </w:r>
            </w:hyperlink>
          </w:p>
        </w:tc>
        <w:tc>
          <w:tcPr>
            <w:tcW w:w="850" w:type="dxa"/>
          </w:tcPr>
          <w:p w14:paraId="6927A858" w14:textId="77777777" w:rsidR="007F2C5E" w:rsidRPr="007F2C5E" w:rsidRDefault="007F2C5E" w:rsidP="007F2C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F2C5E" w:rsidRPr="007F2C5E" w14:paraId="1D403157" w14:textId="77777777" w:rsidTr="007F2C5E">
        <w:tblPrEx>
          <w:tblCellMar>
            <w:top w:w="0" w:type="dxa"/>
            <w:bottom w:w="0" w:type="dxa"/>
          </w:tblCellMar>
        </w:tblPrEx>
        <w:tc>
          <w:tcPr>
            <w:tcW w:w="1247" w:type="dxa"/>
          </w:tcPr>
          <w:p w14:paraId="060CDFB8" w14:textId="77777777" w:rsidR="007F2C5E" w:rsidRPr="007F2C5E" w:rsidRDefault="007F2C5E" w:rsidP="007F2C5E">
            <w:pPr>
              <w:spacing w:line="240" w:lineRule="auto"/>
              <w:jc w:val="left"/>
              <w:rPr>
                <w:rFonts w:cs="Frankruhel"/>
                <w:sz w:val="24"/>
                <w:rtl/>
              </w:rPr>
            </w:pPr>
            <w:r>
              <w:rPr>
                <w:rFonts w:cs="Times New Roman"/>
                <w:sz w:val="24"/>
                <w:rtl/>
              </w:rPr>
              <w:t xml:space="preserve">סעיף 5 </w:t>
            </w:r>
          </w:p>
        </w:tc>
        <w:tc>
          <w:tcPr>
            <w:tcW w:w="5669" w:type="dxa"/>
          </w:tcPr>
          <w:p w14:paraId="36EF57C8" w14:textId="77777777" w:rsidR="007F2C5E" w:rsidRPr="007F2C5E" w:rsidRDefault="007F2C5E" w:rsidP="007F2C5E">
            <w:pPr>
              <w:spacing w:line="240" w:lineRule="auto"/>
              <w:jc w:val="left"/>
              <w:rPr>
                <w:rFonts w:cs="Frankruhel"/>
                <w:sz w:val="24"/>
                <w:rtl/>
              </w:rPr>
            </w:pPr>
            <w:r>
              <w:rPr>
                <w:rFonts w:cs="Times New Roman"/>
                <w:sz w:val="24"/>
                <w:rtl/>
              </w:rPr>
              <w:t>הקלות בתקופת ההקלות</w:t>
            </w:r>
          </w:p>
        </w:tc>
        <w:tc>
          <w:tcPr>
            <w:tcW w:w="567" w:type="dxa"/>
          </w:tcPr>
          <w:p w14:paraId="17076781" w14:textId="77777777" w:rsidR="007F2C5E" w:rsidRPr="007F2C5E" w:rsidRDefault="007F2C5E" w:rsidP="007F2C5E">
            <w:pPr>
              <w:spacing w:line="240" w:lineRule="auto"/>
              <w:jc w:val="left"/>
              <w:rPr>
                <w:rStyle w:val="Hyperlink"/>
                <w:rtl/>
              </w:rPr>
            </w:pPr>
            <w:hyperlink w:anchor="Seif5" w:tooltip="הקלות בתקופת ההקלות" w:history="1">
              <w:r w:rsidRPr="007F2C5E">
                <w:rPr>
                  <w:rStyle w:val="Hyperlink"/>
                </w:rPr>
                <w:t>Go</w:t>
              </w:r>
            </w:hyperlink>
          </w:p>
        </w:tc>
        <w:tc>
          <w:tcPr>
            <w:tcW w:w="850" w:type="dxa"/>
          </w:tcPr>
          <w:p w14:paraId="121A7D28" w14:textId="77777777" w:rsidR="007F2C5E" w:rsidRPr="007F2C5E" w:rsidRDefault="007F2C5E" w:rsidP="007F2C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2B186DC" w14:textId="77777777" w:rsidR="00D25D5C" w:rsidRDefault="00D25D5C" w:rsidP="003806E6">
      <w:pPr>
        <w:pStyle w:val="big-header"/>
        <w:spacing w:line="240" w:lineRule="auto"/>
        <w:ind w:left="0" w:right="1134"/>
        <w:rPr>
          <w:rStyle w:val="default"/>
          <w:rFonts w:hint="cs"/>
          <w:sz w:val="22"/>
          <w:szCs w:val="22"/>
          <w:rtl/>
        </w:rPr>
      </w:pPr>
      <w:r>
        <w:rPr>
          <w:rFonts w:cs="FrankRuehl"/>
          <w:sz w:val="32"/>
          <w:rtl/>
        </w:rPr>
        <w:br w:type="page"/>
      </w:r>
      <w:r w:rsidR="009B61A8">
        <w:rPr>
          <w:rFonts w:cs="FrankRuehl" w:hint="cs"/>
          <w:sz w:val="32"/>
          <w:rtl/>
        </w:rPr>
        <w:lastRenderedPageBreak/>
        <w:t xml:space="preserve"> </w:t>
      </w:r>
      <w:r w:rsidR="004000CF">
        <w:rPr>
          <w:rFonts w:cs="FrankRuehl" w:hint="cs"/>
          <w:sz w:val="32"/>
          <w:rtl/>
        </w:rPr>
        <w:t>תקנות ניירות ערך (</w:t>
      </w:r>
      <w:r w:rsidR="003806E6">
        <w:rPr>
          <w:rFonts w:cs="FrankRuehl" w:hint="cs"/>
          <w:sz w:val="32"/>
          <w:rtl/>
        </w:rPr>
        <w:t>דוחות תאגיד שמניותיו כלולות במדד ת"א טק-עילית), תשע"ו-2016</w:t>
      </w:r>
      <w:r>
        <w:rPr>
          <w:rStyle w:val="default"/>
          <w:sz w:val="22"/>
          <w:szCs w:val="22"/>
          <w:rtl/>
        </w:rPr>
        <w:footnoteReference w:customMarkFollows="1" w:id="1"/>
        <w:t>*</w:t>
      </w:r>
    </w:p>
    <w:p w14:paraId="2F8F7EDD" w14:textId="77777777" w:rsidR="00BD1625" w:rsidRDefault="00D43D50" w:rsidP="003806E6">
      <w:pPr>
        <w:pStyle w:val="P00"/>
        <w:spacing w:before="72"/>
        <w:ind w:left="0" w:right="1134"/>
        <w:rPr>
          <w:rStyle w:val="default"/>
          <w:rFonts w:cs="FrankRuehl" w:hint="cs"/>
          <w:rtl/>
        </w:rPr>
      </w:pPr>
      <w:r>
        <w:rPr>
          <w:rStyle w:val="default"/>
          <w:rFonts w:cs="FrankRuehl" w:hint="cs"/>
          <w:rtl/>
        </w:rPr>
        <w:tab/>
        <w:t xml:space="preserve">בתוקף </w:t>
      </w:r>
      <w:r w:rsidR="00A67BA5">
        <w:rPr>
          <w:rStyle w:val="default"/>
          <w:rFonts w:cs="FrankRuehl" w:hint="cs"/>
          <w:rtl/>
        </w:rPr>
        <w:t>סמכותי לפי סעיפים 17</w:t>
      </w:r>
      <w:r w:rsidR="003806E6">
        <w:rPr>
          <w:rStyle w:val="default"/>
          <w:rFonts w:cs="FrankRuehl" w:hint="cs"/>
          <w:rtl/>
        </w:rPr>
        <w:t>,</w:t>
      </w:r>
      <w:r w:rsidR="00A67BA5">
        <w:rPr>
          <w:rStyle w:val="default"/>
          <w:rFonts w:cs="FrankRuehl" w:hint="cs"/>
          <w:rtl/>
        </w:rPr>
        <w:t xml:space="preserve"> 36</w:t>
      </w:r>
      <w:r w:rsidR="003806E6">
        <w:rPr>
          <w:rStyle w:val="default"/>
          <w:rFonts w:cs="FrankRuehl" w:hint="cs"/>
          <w:rtl/>
        </w:rPr>
        <w:t>(ב) ו-56(א)</w:t>
      </w:r>
      <w:r w:rsidR="00A67BA5">
        <w:rPr>
          <w:rStyle w:val="default"/>
          <w:rFonts w:cs="FrankRuehl" w:hint="cs"/>
          <w:rtl/>
        </w:rPr>
        <w:t xml:space="preserve"> לחוק ניירות ערך, התשכ"ח-1968, לפי הצעת הרשות ובאישור ועדת הכספים של הכנסת, אני מתקין תקנות אלה</w:t>
      </w:r>
      <w:r>
        <w:rPr>
          <w:rStyle w:val="default"/>
          <w:rFonts w:cs="FrankRuehl" w:hint="cs"/>
          <w:rtl/>
        </w:rPr>
        <w:t>:</w:t>
      </w:r>
    </w:p>
    <w:p w14:paraId="2F02AF11" w14:textId="77777777" w:rsidR="00642120" w:rsidRDefault="00642120" w:rsidP="002E1FC3">
      <w:pPr>
        <w:pStyle w:val="P00"/>
        <w:spacing w:before="72"/>
        <w:ind w:left="0" w:right="1134"/>
        <w:rPr>
          <w:rStyle w:val="default"/>
          <w:rFonts w:cs="FrankRuehl" w:hint="cs"/>
          <w:sz w:val="20"/>
          <w:rtl/>
        </w:rPr>
      </w:pPr>
      <w:bookmarkStart w:id="0" w:name="Seif1"/>
      <w:bookmarkEnd w:id="0"/>
      <w:r>
        <w:rPr>
          <w:lang w:val="he-IL"/>
        </w:rPr>
        <w:pict w14:anchorId="7A7B937E">
          <v:rect id="_x0000_s1107" style="position:absolute;left:0;text-align:left;margin-left:464.5pt;margin-top:8.05pt;width:75.05pt;height:15pt;z-index:251655680" o:allowincell="f" filled="f" stroked="f" strokecolor="lime" strokeweight=".25pt">
            <v:textbox inset="0,0,0,0">
              <w:txbxContent>
                <w:p w14:paraId="0C7EC690" w14:textId="77777777" w:rsidR="00265017" w:rsidRDefault="00265017"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3806E6">
        <w:rPr>
          <w:rStyle w:val="default"/>
          <w:rFonts w:cs="FrankRuehl"/>
          <w:sz w:val="20"/>
          <w:rtl/>
        </w:rPr>
        <w:t>.</w:t>
      </w:r>
      <w:r w:rsidRPr="003806E6">
        <w:rPr>
          <w:rStyle w:val="default"/>
          <w:rFonts w:cs="FrankRuehl"/>
          <w:sz w:val="20"/>
          <w:rtl/>
        </w:rPr>
        <w:tab/>
      </w:r>
      <w:r w:rsidR="002E1FC3">
        <w:rPr>
          <w:rStyle w:val="default"/>
          <w:rFonts w:cs="FrankRuehl" w:hint="cs"/>
          <w:sz w:val="20"/>
          <w:rtl/>
        </w:rPr>
        <w:t xml:space="preserve">בתקנות אלה </w:t>
      </w:r>
      <w:r w:rsidR="002E1FC3">
        <w:rPr>
          <w:rStyle w:val="default"/>
          <w:rFonts w:cs="FrankRuehl"/>
          <w:sz w:val="20"/>
          <w:rtl/>
        </w:rPr>
        <w:t>–</w:t>
      </w:r>
    </w:p>
    <w:p w14:paraId="1502DD4B" w14:textId="77777777" w:rsidR="003806E6" w:rsidRDefault="003806E6" w:rsidP="002E1FC3">
      <w:pPr>
        <w:pStyle w:val="P00"/>
        <w:spacing w:before="72"/>
        <w:ind w:left="0" w:right="1134"/>
        <w:rPr>
          <w:rStyle w:val="default"/>
          <w:rFonts w:cs="FrankRuehl" w:hint="cs"/>
          <w:sz w:val="20"/>
          <w:rtl/>
        </w:rPr>
      </w:pPr>
      <w:r>
        <w:rPr>
          <w:rStyle w:val="default"/>
          <w:rFonts w:cs="FrankRuehl" w:hint="cs"/>
          <w:sz w:val="20"/>
          <w:rtl/>
        </w:rPr>
        <w:tab/>
        <w:t xml:space="preserve">"ביאור התאמה" </w:t>
      </w:r>
      <w:r>
        <w:rPr>
          <w:rStyle w:val="default"/>
          <w:rFonts w:cs="FrankRuehl"/>
          <w:sz w:val="20"/>
          <w:rtl/>
        </w:rPr>
        <w:t>–</w:t>
      </w:r>
      <w:r>
        <w:rPr>
          <w:rStyle w:val="default"/>
          <w:rFonts w:cs="FrankRuehl" w:hint="cs"/>
          <w:sz w:val="20"/>
          <w:rtl/>
        </w:rPr>
        <w:t xml:space="preserve"> כהגדרתו בתקנה 5(ג)(1) לתקנות דוחות כספיים;</w:t>
      </w:r>
    </w:p>
    <w:p w14:paraId="29F04FFA" w14:textId="77777777" w:rsidR="003806E6" w:rsidRDefault="003806E6" w:rsidP="003806E6">
      <w:pPr>
        <w:pStyle w:val="P00"/>
        <w:spacing w:before="72"/>
        <w:ind w:left="0" w:right="1134"/>
        <w:rPr>
          <w:rStyle w:val="default"/>
          <w:rFonts w:cs="FrankRuehl" w:hint="cs"/>
          <w:sz w:val="20"/>
          <w:rtl/>
        </w:rPr>
      </w:pPr>
      <w:r>
        <w:rPr>
          <w:rStyle w:val="default"/>
          <w:rFonts w:cs="FrankRuehl" w:hint="cs"/>
          <w:sz w:val="20"/>
          <w:rtl/>
        </w:rPr>
        <w:tab/>
        <w:t xml:space="preserve">"ביאורים", "כללי החשבונאות המקובלים", "כללי חשבונאות מקובלים בארצות הברית", "רואה חשבון מבקר" ו"תקני ביקורת אמריקניים" </w:t>
      </w:r>
      <w:r>
        <w:rPr>
          <w:rStyle w:val="default"/>
          <w:rFonts w:cs="FrankRuehl"/>
          <w:sz w:val="20"/>
          <w:rtl/>
        </w:rPr>
        <w:t>–</w:t>
      </w:r>
      <w:r>
        <w:rPr>
          <w:rStyle w:val="default"/>
          <w:rFonts w:cs="FrankRuehl" w:hint="cs"/>
          <w:sz w:val="20"/>
          <w:rtl/>
        </w:rPr>
        <w:t xml:space="preserve"> כהגדרתם בתקנות דוחות כספיים;</w:t>
      </w:r>
    </w:p>
    <w:p w14:paraId="0338F979" w14:textId="77777777" w:rsidR="003806E6" w:rsidRDefault="003806E6" w:rsidP="003806E6">
      <w:pPr>
        <w:pStyle w:val="P00"/>
        <w:spacing w:before="72"/>
        <w:ind w:left="0" w:right="1134"/>
        <w:rPr>
          <w:rStyle w:val="default"/>
          <w:rFonts w:cs="FrankRuehl" w:hint="cs"/>
          <w:sz w:val="20"/>
          <w:rtl/>
        </w:rPr>
      </w:pPr>
      <w:r>
        <w:rPr>
          <w:rStyle w:val="default"/>
          <w:rFonts w:cs="FrankRuehl" w:hint="cs"/>
          <w:sz w:val="20"/>
          <w:rtl/>
        </w:rPr>
        <w:tab/>
        <w:t xml:space="preserve">"דוח רבעוני" </w:t>
      </w:r>
      <w:r>
        <w:rPr>
          <w:rStyle w:val="default"/>
          <w:rFonts w:cs="FrankRuehl"/>
          <w:sz w:val="20"/>
          <w:rtl/>
        </w:rPr>
        <w:t>–</w:t>
      </w:r>
      <w:r>
        <w:rPr>
          <w:rStyle w:val="default"/>
          <w:rFonts w:cs="FrankRuehl" w:hint="cs"/>
          <w:sz w:val="20"/>
          <w:rtl/>
        </w:rPr>
        <w:t xml:space="preserve"> כהגדרתו בתקנה 38 לתקנות דוחות תקופתיים ומיידיים;</w:t>
      </w:r>
    </w:p>
    <w:p w14:paraId="3BC74DA8" w14:textId="77777777" w:rsidR="003806E6" w:rsidRDefault="003806E6" w:rsidP="003806E6">
      <w:pPr>
        <w:pStyle w:val="P00"/>
        <w:spacing w:before="72"/>
        <w:ind w:left="0" w:right="1134"/>
        <w:rPr>
          <w:rStyle w:val="default"/>
          <w:rFonts w:cs="FrankRuehl" w:hint="cs"/>
          <w:sz w:val="20"/>
          <w:rtl/>
        </w:rPr>
      </w:pPr>
      <w:r>
        <w:rPr>
          <w:rStyle w:val="default"/>
          <w:rFonts w:cs="FrankRuehl" w:hint="cs"/>
          <w:sz w:val="20"/>
          <w:rtl/>
        </w:rPr>
        <w:tab/>
        <w:t xml:space="preserve">"דוחות כספיים ביניים" </w:t>
      </w:r>
      <w:r>
        <w:rPr>
          <w:rStyle w:val="default"/>
          <w:rFonts w:cs="FrankRuehl"/>
          <w:sz w:val="20"/>
          <w:rtl/>
        </w:rPr>
        <w:t>–</w:t>
      </w:r>
      <w:r>
        <w:rPr>
          <w:rStyle w:val="default"/>
          <w:rFonts w:cs="FrankRuehl" w:hint="cs"/>
          <w:sz w:val="20"/>
          <w:rtl/>
        </w:rPr>
        <w:t xml:space="preserve"> כהגדרתם בתקנות דוחות תקופתיים ומיידיים;</w:t>
      </w:r>
    </w:p>
    <w:p w14:paraId="67FAF06F" w14:textId="77777777" w:rsidR="003806E6" w:rsidRDefault="003806E6" w:rsidP="003806E6">
      <w:pPr>
        <w:pStyle w:val="P00"/>
        <w:spacing w:before="72"/>
        <w:ind w:left="0" w:right="1134"/>
        <w:rPr>
          <w:rStyle w:val="default"/>
          <w:rFonts w:cs="FrankRuehl" w:hint="cs"/>
          <w:sz w:val="20"/>
          <w:rtl/>
        </w:rPr>
      </w:pPr>
      <w:r>
        <w:rPr>
          <w:rStyle w:val="default"/>
          <w:rFonts w:cs="FrankRuehl" w:hint="cs"/>
          <w:sz w:val="20"/>
          <w:rtl/>
        </w:rPr>
        <w:tab/>
        <w:t xml:space="preserve">"דוחות כספיים שנתיים" </w:t>
      </w:r>
      <w:r>
        <w:rPr>
          <w:rStyle w:val="default"/>
          <w:rFonts w:cs="FrankRuehl"/>
          <w:sz w:val="20"/>
          <w:rtl/>
        </w:rPr>
        <w:t>–</w:t>
      </w:r>
      <w:r>
        <w:rPr>
          <w:rStyle w:val="default"/>
          <w:rFonts w:cs="FrankRuehl" w:hint="cs"/>
          <w:sz w:val="20"/>
          <w:rtl/>
        </w:rPr>
        <w:t xml:space="preserve"> כמשמעותם בתקנה 9 לתקנות דוחות תקופתיים ומיידיים;</w:t>
      </w:r>
    </w:p>
    <w:p w14:paraId="20E6D154" w14:textId="77777777" w:rsidR="003806E6" w:rsidRDefault="003806E6" w:rsidP="003806E6">
      <w:pPr>
        <w:pStyle w:val="P00"/>
        <w:spacing w:before="72"/>
        <w:ind w:left="0" w:right="1134"/>
        <w:rPr>
          <w:rStyle w:val="default"/>
          <w:rFonts w:cs="FrankRuehl" w:hint="cs"/>
          <w:sz w:val="20"/>
          <w:rtl/>
        </w:rPr>
      </w:pPr>
      <w:r>
        <w:rPr>
          <w:rStyle w:val="default"/>
          <w:rFonts w:cs="FrankRuehl" w:hint="cs"/>
          <w:sz w:val="20"/>
          <w:rtl/>
        </w:rPr>
        <w:tab/>
        <w:t xml:space="preserve">"מדד ת"א טק-עילית" </w:t>
      </w:r>
      <w:r>
        <w:rPr>
          <w:rStyle w:val="default"/>
          <w:rFonts w:cs="FrankRuehl"/>
          <w:sz w:val="20"/>
          <w:rtl/>
        </w:rPr>
        <w:t>–</w:t>
      </w:r>
      <w:r>
        <w:rPr>
          <w:rStyle w:val="default"/>
          <w:rFonts w:cs="FrankRuehl" w:hint="cs"/>
          <w:sz w:val="20"/>
          <w:rtl/>
        </w:rPr>
        <w:t xml:space="preserve"> כמשמעותו בהחלטות דירקטוריון הבורסה בנושא "מדדי מניות" שבמדריך המעו"ף לפי תקנון הבורסה, או מדד דומה לעניין זה שקבע דירקטוריון הבורסה באישור הרשות, והכול בכפוף לאישור הרשות;</w:t>
      </w:r>
    </w:p>
    <w:p w14:paraId="51F958C9" w14:textId="77777777" w:rsidR="003806E6" w:rsidRDefault="003806E6" w:rsidP="003806E6">
      <w:pPr>
        <w:pStyle w:val="P00"/>
        <w:spacing w:before="72"/>
        <w:ind w:left="0" w:right="1134"/>
        <w:rPr>
          <w:rStyle w:val="default"/>
          <w:rFonts w:cs="FrankRuehl" w:hint="cs"/>
          <w:sz w:val="20"/>
          <w:rtl/>
        </w:rPr>
      </w:pPr>
      <w:r>
        <w:rPr>
          <w:rStyle w:val="default"/>
          <w:rFonts w:cs="FrankRuehl" w:hint="cs"/>
          <w:sz w:val="20"/>
          <w:rtl/>
        </w:rPr>
        <w:tab/>
        <w:t xml:space="preserve">"תאגיד טק-עילית" </w:t>
      </w:r>
      <w:r>
        <w:rPr>
          <w:rStyle w:val="default"/>
          <w:rFonts w:cs="FrankRuehl"/>
          <w:sz w:val="20"/>
          <w:rtl/>
        </w:rPr>
        <w:t>–</w:t>
      </w:r>
      <w:r>
        <w:rPr>
          <w:rStyle w:val="default"/>
          <w:rFonts w:cs="FrankRuehl" w:hint="cs"/>
          <w:sz w:val="20"/>
          <w:rtl/>
        </w:rPr>
        <w:t xml:space="preserve"> כל אחד מאלה:</w:t>
      </w:r>
    </w:p>
    <w:p w14:paraId="65CFE59E" w14:textId="77777777" w:rsidR="003806E6" w:rsidRDefault="003806E6" w:rsidP="003806E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תאגיד טק-עילית חדש;</w:t>
      </w:r>
    </w:p>
    <w:p w14:paraId="73A8CCFD" w14:textId="77777777" w:rsidR="003806E6" w:rsidRDefault="003806E6" w:rsidP="003806E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תאגיד שמניותיו כלולות במדד ת"א טק-עילית;</w:t>
      </w:r>
    </w:p>
    <w:p w14:paraId="2DCD0A03" w14:textId="77777777" w:rsidR="003806E6" w:rsidRDefault="003806E6" w:rsidP="003806E6">
      <w:pPr>
        <w:pStyle w:val="P00"/>
        <w:spacing w:before="72"/>
        <w:ind w:left="0" w:right="1134"/>
        <w:rPr>
          <w:rStyle w:val="default"/>
          <w:rFonts w:cs="FrankRuehl" w:hint="cs"/>
          <w:sz w:val="20"/>
          <w:rtl/>
        </w:rPr>
      </w:pPr>
      <w:r>
        <w:rPr>
          <w:rStyle w:val="default"/>
          <w:rFonts w:cs="FrankRuehl" w:hint="cs"/>
          <w:sz w:val="20"/>
          <w:rtl/>
        </w:rPr>
        <w:tab/>
        <w:t xml:space="preserve">"תאגיד טק-עילית חדש" </w:t>
      </w:r>
      <w:r>
        <w:rPr>
          <w:rStyle w:val="default"/>
          <w:rFonts w:cs="FrankRuehl"/>
          <w:sz w:val="20"/>
          <w:rtl/>
        </w:rPr>
        <w:t>–</w:t>
      </w:r>
      <w:r>
        <w:rPr>
          <w:rStyle w:val="default"/>
          <w:rFonts w:cs="FrankRuehl" w:hint="cs"/>
          <w:sz w:val="20"/>
          <w:rtl/>
        </w:rPr>
        <w:t xml:space="preserve"> תאגיד שקיבל אישור עקרוני מהבורסה ולפיו הוא ייכלל במדד ת"א טק-עילית לאחר רישומו למסחר;</w:t>
      </w:r>
    </w:p>
    <w:p w14:paraId="2E05D18F" w14:textId="77777777" w:rsidR="003806E6" w:rsidRDefault="003806E6" w:rsidP="003806E6">
      <w:pPr>
        <w:pStyle w:val="P00"/>
        <w:spacing w:before="72"/>
        <w:ind w:left="0" w:right="1134"/>
        <w:rPr>
          <w:rStyle w:val="default"/>
          <w:rFonts w:cs="FrankRuehl" w:hint="cs"/>
          <w:sz w:val="20"/>
          <w:rtl/>
        </w:rPr>
      </w:pPr>
      <w:r>
        <w:rPr>
          <w:rStyle w:val="default"/>
          <w:rFonts w:cs="FrankRuehl" w:hint="cs"/>
          <w:sz w:val="20"/>
          <w:rtl/>
        </w:rPr>
        <w:tab/>
        <w:t xml:space="preserve">"תקופת ההקלות" </w:t>
      </w:r>
      <w:r>
        <w:rPr>
          <w:rStyle w:val="default"/>
          <w:rFonts w:cs="FrankRuehl"/>
          <w:sz w:val="20"/>
          <w:rtl/>
        </w:rPr>
        <w:t>–</w:t>
      </w:r>
      <w:r>
        <w:rPr>
          <w:rStyle w:val="default"/>
          <w:rFonts w:cs="FrankRuehl" w:hint="cs"/>
          <w:sz w:val="20"/>
          <w:rtl/>
        </w:rPr>
        <w:t xml:space="preserve"> התקופה ממועד ההנפקה לראשונה לציבור עד קרות אחד מאלה, לפי המוקדם:</w:t>
      </w:r>
    </w:p>
    <w:p w14:paraId="304524D4" w14:textId="77777777" w:rsidR="003806E6" w:rsidRDefault="003806E6" w:rsidP="003806E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תום השנה שבמהלכה יחלפו חמש שנים ממועד ההנפקה הראשונה לציבור;</w:t>
      </w:r>
    </w:p>
    <w:p w14:paraId="67A2B699" w14:textId="77777777" w:rsidR="003806E6" w:rsidRDefault="003806E6" w:rsidP="003806E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תום השנה שבמהלכה שווי השוק הממוצע של התאגיד בתשעים הימים שקדמו לתום אותה שנה, עלה על מילירד שקלים חדשים;</w:t>
      </w:r>
    </w:p>
    <w:p w14:paraId="684406C3" w14:textId="77777777" w:rsidR="003806E6" w:rsidRDefault="003806E6" w:rsidP="003806E6">
      <w:pPr>
        <w:pStyle w:val="P00"/>
        <w:spacing w:before="72"/>
        <w:ind w:left="0" w:right="1134"/>
        <w:rPr>
          <w:rStyle w:val="default"/>
          <w:rFonts w:cs="FrankRuehl" w:hint="cs"/>
          <w:sz w:val="20"/>
          <w:rtl/>
        </w:rPr>
      </w:pPr>
      <w:r>
        <w:rPr>
          <w:rStyle w:val="default"/>
          <w:rFonts w:cs="FrankRuehl" w:hint="cs"/>
          <w:sz w:val="20"/>
          <w:rtl/>
        </w:rPr>
        <w:tab/>
        <w:t>"תקנות</w:t>
      </w:r>
      <w:r w:rsidR="00CF535A">
        <w:rPr>
          <w:rStyle w:val="default"/>
          <w:rFonts w:cs="FrankRuehl" w:hint="cs"/>
          <w:sz w:val="20"/>
          <w:rtl/>
        </w:rPr>
        <w:t xml:space="preserve"> דוחות כספיים" </w:t>
      </w:r>
      <w:r w:rsidR="00CF535A">
        <w:rPr>
          <w:rStyle w:val="default"/>
          <w:rFonts w:cs="FrankRuehl"/>
          <w:sz w:val="20"/>
          <w:rtl/>
        </w:rPr>
        <w:t>–</w:t>
      </w:r>
      <w:r w:rsidR="00CF535A">
        <w:rPr>
          <w:rStyle w:val="default"/>
          <w:rFonts w:cs="FrankRuehl" w:hint="cs"/>
          <w:sz w:val="20"/>
          <w:rtl/>
        </w:rPr>
        <w:t xml:space="preserve"> תקנות ניירות ערך (דוחות כספיים שנתיים), התש"ע-2010;</w:t>
      </w:r>
    </w:p>
    <w:p w14:paraId="14C4585C" w14:textId="77777777" w:rsidR="00CF535A" w:rsidRDefault="00CF535A" w:rsidP="003806E6">
      <w:pPr>
        <w:pStyle w:val="P00"/>
        <w:spacing w:before="72"/>
        <w:ind w:left="0" w:right="1134"/>
        <w:rPr>
          <w:rStyle w:val="default"/>
          <w:rFonts w:cs="FrankRuehl" w:hint="cs"/>
          <w:sz w:val="20"/>
          <w:rtl/>
        </w:rPr>
      </w:pPr>
      <w:r>
        <w:rPr>
          <w:rStyle w:val="default"/>
          <w:rFonts w:cs="FrankRuehl" w:hint="cs"/>
          <w:sz w:val="20"/>
          <w:rtl/>
        </w:rPr>
        <w:tab/>
        <w:t xml:space="preserve">"תקנות דוחות תקופתיים ומיידיים" </w:t>
      </w:r>
      <w:r>
        <w:rPr>
          <w:rStyle w:val="default"/>
          <w:rFonts w:cs="FrankRuehl"/>
          <w:sz w:val="20"/>
          <w:rtl/>
        </w:rPr>
        <w:t>–</w:t>
      </w:r>
      <w:r>
        <w:rPr>
          <w:rStyle w:val="default"/>
          <w:rFonts w:cs="FrankRuehl" w:hint="cs"/>
          <w:sz w:val="20"/>
          <w:rtl/>
        </w:rPr>
        <w:t xml:space="preserve"> תקנות ניירות ערך (דוחות תקופתיים ומיידיים), התש"ל-1970;</w:t>
      </w:r>
    </w:p>
    <w:p w14:paraId="4B7E7C04" w14:textId="77777777" w:rsidR="00CF535A" w:rsidRDefault="00CF535A" w:rsidP="003806E6">
      <w:pPr>
        <w:pStyle w:val="P00"/>
        <w:spacing w:before="72"/>
        <w:ind w:left="0" w:right="1134"/>
        <w:rPr>
          <w:rStyle w:val="default"/>
          <w:rFonts w:cs="FrankRuehl" w:hint="cs"/>
          <w:sz w:val="20"/>
          <w:rtl/>
        </w:rPr>
      </w:pPr>
      <w:r>
        <w:rPr>
          <w:rStyle w:val="default"/>
          <w:rFonts w:cs="FrankRuehl" w:hint="cs"/>
          <w:sz w:val="20"/>
          <w:rtl/>
        </w:rPr>
        <w:tab/>
        <w:t xml:space="preserve">"תקנות פרטי תשקיף" </w:t>
      </w:r>
      <w:r>
        <w:rPr>
          <w:rStyle w:val="default"/>
          <w:rFonts w:cs="FrankRuehl"/>
          <w:sz w:val="20"/>
          <w:rtl/>
        </w:rPr>
        <w:t>–</w:t>
      </w:r>
      <w:r>
        <w:rPr>
          <w:rStyle w:val="default"/>
          <w:rFonts w:cs="FrankRuehl" w:hint="cs"/>
          <w:sz w:val="20"/>
          <w:rtl/>
        </w:rPr>
        <w:t xml:space="preserve"> תקנות ניירות ערך (פרטי התשקיף וטיוטת התשקיף </w:t>
      </w:r>
      <w:r>
        <w:rPr>
          <w:rStyle w:val="default"/>
          <w:rFonts w:cs="FrankRuehl"/>
          <w:sz w:val="20"/>
          <w:rtl/>
        </w:rPr>
        <w:t>–</w:t>
      </w:r>
      <w:r>
        <w:rPr>
          <w:rStyle w:val="default"/>
          <w:rFonts w:cs="FrankRuehl" w:hint="cs"/>
          <w:sz w:val="20"/>
          <w:rtl/>
        </w:rPr>
        <w:t xml:space="preserve"> מבנה וצורה), התשכ"ט-1969.</w:t>
      </w:r>
    </w:p>
    <w:p w14:paraId="4E6880F1" w14:textId="77777777" w:rsidR="00F23055" w:rsidRDefault="00F23055" w:rsidP="00CF535A">
      <w:pPr>
        <w:pStyle w:val="P00"/>
        <w:spacing w:before="72"/>
        <w:ind w:left="0" w:right="1134"/>
        <w:rPr>
          <w:rStyle w:val="default"/>
          <w:rFonts w:cs="FrankRuehl" w:hint="cs"/>
          <w:sz w:val="20"/>
          <w:rtl/>
        </w:rPr>
      </w:pPr>
      <w:r>
        <w:rPr>
          <w:lang w:val="he-IL"/>
        </w:rPr>
        <w:pict w14:anchorId="71D64C92">
          <v:rect id="_x0000_s1332" style="position:absolute;left:0;text-align:left;margin-left:464.5pt;margin-top:8.05pt;width:75.05pt;height:11.35pt;z-index:251656704" o:allowincell="f" filled="f" stroked="f" strokecolor="lime" strokeweight=".25pt">
            <v:textbox inset="0,0,0,0">
              <w:txbxContent>
                <w:p w14:paraId="2D7BE818" w14:textId="77777777" w:rsidR="00B40E34" w:rsidRDefault="00B40E34" w:rsidP="00746DE0">
                  <w:pPr>
                    <w:spacing w:line="160" w:lineRule="exact"/>
                    <w:jc w:val="left"/>
                    <w:rPr>
                      <w:rFonts w:cs="Miriam" w:hint="cs"/>
                      <w:noProof/>
                      <w:sz w:val="18"/>
                      <w:szCs w:val="18"/>
                      <w:rtl/>
                    </w:rPr>
                  </w:pPr>
                  <w:r>
                    <w:rPr>
                      <w:rFonts w:cs="Miriam" w:hint="cs"/>
                      <w:sz w:val="18"/>
                      <w:szCs w:val="18"/>
                      <w:rtl/>
                    </w:rPr>
                    <w:t>תק' תשפ"א-2020</w:t>
                  </w:r>
                </w:p>
              </w:txbxContent>
            </v:textbox>
            <w10:anchorlock/>
          </v:rect>
        </w:pict>
      </w:r>
      <w:r w:rsidR="000D3E1A">
        <w:rPr>
          <w:rStyle w:val="big-number"/>
          <w:rFonts w:cs="Miriam" w:hint="cs"/>
          <w:rtl/>
        </w:rPr>
        <w:t>2</w:t>
      </w:r>
      <w:r w:rsidRPr="00CF535A">
        <w:rPr>
          <w:rStyle w:val="default"/>
          <w:rFonts w:cs="FrankRuehl"/>
          <w:sz w:val="20"/>
          <w:rtl/>
        </w:rPr>
        <w:t>.</w:t>
      </w:r>
      <w:r w:rsidRPr="00CF535A">
        <w:rPr>
          <w:rStyle w:val="default"/>
          <w:rFonts w:cs="FrankRuehl"/>
          <w:sz w:val="20"/>
          <w:rtl/>
        </w:rPr>
        <w:tab/>
      </w:r>
      <w:r w:rsidR="00CF535A">
        <w:rPr>
          <w:rStyle w:val="default"/>
          <w:rFonts w:cs="FrankRuehl" w:hint="cs"/>
          <w:sz w:val="20"/>
          <w:rtl/>
        </w:rPr>
        <w:t>(</w:t>
      </w:r>
      <w:r w:rsidR="003B595D">
        <w:rPr>
          <w:rStyle w:val="default"/>
          <w:rFonts w:cs="FrankRuehl" w:hint="cs"/>
          <w:sz w:val="20"/>
          <w:rtl/>
        </w:rPr>
        <w:t>בוטלה)</w:t>
      </w:r>
      <w:r w:rsidR="00CF535A">
        <w:rPr>
          <w:rStyle w:val="default"/>
          <w:rFonts w:cs="FrankRuehl" w:hint="cs"/>
          <w:sz w:val="20"/>
          <w:rtl/>
        </w:rPr>
        <w:t>.</w:t>
      </w:r>
    </w:p>
    <w:p w14:paraId="1A276F13" w14:textId="77777777" w:rsidR="00E15FFA" w:rsidRPr="003B595D" w:rsidRDefault="00E15FFA" w:rsidP="00E15FFA">
      <w:pPr>
        <w:pStyle w:val="P00"/>
        <w:spacing w:before="0"/>
        <w:ind w:left="0" w:right="1134"/>
        <w:rPr>
          <w:rStyle w:val="default"/>
          <w:rFonts w:cs="FrankRuehl"/>
          <w:vanish/>
          <w:color w:val="FF0000"/>
          <w:sz w:val="20"/>
          <w:szCs w:val="20"/>
          <w:shd w:val="clear" w:color="auto" w:fill="FFFF99"/>
          <w:rtl/>
        </w:rPr>
      </w:pPr>
      <w:bookmarkStart w:id="1" w:name="Rov6"/>
      <w:r w:rsidRPr="003B595D">
        <w:rPr>
          <w:rStyle w:val="default"/>
          <w:rFonts w:cs="FrankRuehl" w:hint="cs"/>
          <w:vanish/>
          <w:color w:val="FF0000"/>
          <w:sz w:val="20"/>
          <w:szCs w:val="20"/>
          <w:shd w:val="clear" w:color="auto" w:fill="FFFF99"/>
          <w:rtl/>
        </w:rPr>
        <w:t>מיום 17.2.2021</w:t>
      </w:r>
    </w:p>
    <w:p w14:paraId="75DCF75A" w14:textId="77777777" w:rsidR="00E15FFA" w:rsidRPr="003B595D" w:rsidRDefault="00E15FFA" w:rsidP="00E15FFA">
      <w:pPr>
        <w:pStyle w:val="P00"/>
        <w:spacing w:before="0"/>
        <w:ind w:left="0" w:right="1134"/>
        <w:rPr>
          <w:rStyle w:val="default"/>
          <w:rFonts w:cs="FrankRuehl"/>
          <w:vanish/>
          <w:sz w:val="20"/>
          <w:szCs w:val="20"/>
          <w:shd w:val="clear" w:color="auto" w:fill="FFFF99"/>
          <w:rtl/>
        </w:rPr>
      </w:pPr>
      <w:r w:rsidRPr="003B595D">
        <w:rPr>
          <w:rStyle w:val="default"/>
          <w:rFonts w:cs="FrankRuehl" w:hint="cs"/>
          <w:b/>
          <w:bCs/>
          <w:vanish/>
          <w:sz w:val="20"/>
          <w:szCs w:val="20"/>
          <w:shd w:val="clear" w:color="auto" w:fill="FFFF99"/>
          <w:rtl/>
        </w:rPr>
        <w:t>תק' תשפ"א-2020</w:t>
      </w:r>
    </w:p>
    <w:p w14:paraId="390A3487" w14:textId="77777777" w:rsidR="00E15FFA" w:rsidRPr="003B595D" w:rsidRDefault="00E15FFA" w:rsidP="00E15FFA">
      <w:pPr>
        <w:pStyle w:val="P00"/>
        <w:spacing w:before="0"/>
        <w:ind w:left="0" w:right="1134"/>
        <w:rPr>
          <w:rStyle w:val="default"/>
          <w:rFonts w:cs="FrankRuehl"/>
          <w:vanish/>
          <w:sz w:val="20"/>
          <w:szCs w:val="20"/>
          <w:shd w:val="clear" w:color="auto" w:fill="FFFF99"/>
          <w:rtl/>
        </w:rPr>
      </w:pPr>
      <w:hyperlink r:id="rId7" w:history="1">
        <w:r w:rsidRPr="003B595D">
          <w:rPr>
            <w:rStyle w:val="Hyperlink"/>
            <w:rFonts w:cs="FrankRuehl" w:hint="cs"/>
            <w:vanish/>
            <w:szCs w:val="20"/>
            <w:shd w:val="clear" w:color="auto" w:fill="FFFF99"/>
            <w:rtl/>
          </w:rPr>
          <w:t>ק"ת תשפ"א מס' 8904</w:t>
        </w:r>
      </w:hyperlink>
      <w:r w:rsidRPr="003B595D">
        <w:rPr>
          <w:rStyle w:val="default"/>
          <w:rFonts w:cs="FrankRuehl" w:hint="cs"/>
          <w:vanish/>
          <w:sz w:val="20"/>
          <w:szCs w:val="20"/>
          <w:shd w:val="clear" w:color="auto" w:fill="FFFF99"/>
          <w:rtl/>
        </w:rPr>
        <w:t xml:space="preserve"> מיום 17.11.2020 עמ' 483</w:t>
      </w:r>
    </w:p>
    <w:p w14:paraId="578DEA32" w14:textId="77777777" w:rsidR="00E15FFA" w:rsidRPr="003B595D" w:rsidRDefault="00E15FFA" w:rsidP="00E15FFA">
      <w:pPr>
        <w:pStyle w:val="P00"/>
        <w:spacing w:before="0"/>
        <w:ind w:left="0" w:right="1134"/>
        <w:rPr>
          <w:rStyle w:val="default"/>
          <w:rFonts w:cs="FrankRuehl"/>
          <w:vanish/>
          <w:sz w:val="20"/>
          <w:szCs w:val="20"/>
          <w:shd w:val="clear" w:color="auto" w:fill="FFFF99"/>
          <w:rtl/>
        </w:rPr>
      </w:pPr>
      <w:r w:rsidRPr="003B595D">
        <w:rPr>
          <w:rStyle w:val="default"/>
          <w:rFonts w:cs="FrankRuehl" w:hint="cs"/>
          <w:b/>
          <w:bCs/>
          <w:vanish/>
          <w:sz w:val="20"/>
          <w:szCs w:val="20"/>
          <w:shd w:val="clear" w:color="auto" w:fill="FFFF99"/>
          <w:rtl/>
        </w:rPr>
        <w:t>ביטול תקנה 2</w:t>
      </w:r>
    </w:p>
    <w:p w14:paraId="7A5E611E" w14:textId="77777777" w:rsidR="00E15FFA" w:rsidRPr="003B595D" w:rsidRDefault="00E15FFA" w:rsidP="00E15FFA">
      <w:pPr>
        <w:pStyle w:val="P00"/>
        <w:ind w:left="0" w:right="1134"/>
        <w:rPr>
          <w:rStyle w:val="default"/>
          <w:rFonts w:cs="FrankRuehl"/>
          <w:vanish/>
          <w:sz w:val="20"/>
          <w:szCs w:val="20"/>
          <w:shd w:val="clear" w:color="auto" w:fill="FFFF99"/>
          <w:rtl/>
        </w:rPr>
      </w:pPr>
      <w:r w:rsidRPr="003B595D">
        <w:rPr>
          <w:rStyle w:val="default"/>
          <w:rFonts w:cs="FrankRuehl" w:hint="cs"/>
          <w:vanish/>
          <w:sz w:val="20"/>
          <w:szCs w:val="20"/>
          <w:shd w:val="clear" w:color="auto" w:fill="FFFF99"/>
          <w:rtl/>
        </w:rPr>
        <w:t>הנוסח הקודם:</w:t>
      </w:r>
    </w:p>
    <w:p w14:paraId="11C0BDC1" w14:textId="77777777" w:rsidR="00E15FFA" w:rsidRPr="003B595D" w:rsidRDefault="00E15FFA" w:rsidP="00B40E34">
      <w:pPr>
        <w:pStyle w:val="P00"/>
        <w:spacing w:before="20"/>
        <w:ind w:left="0" w:right="1134"/>
        <w:rPr>
          <w:rStyle w:val="default"/>
          <w:rFonts w:ascii="Miriam" w:hAnsi="Miriam" w:cs="Miriam"/>
          <w:strike/>
          <w:vanish/>
          <w:sz w:val="16"/>
          <w:szCs w:val="16"/>
          <w:shd w:val="clear" w:color="auto" w:fill="FFFF99"/>
          <w:rtl/>
        </w:rPr>
      </w:pPr>
      <w:r w:rsidRPr="003B595D">
        <w:rPr>
          <w:rStyle w:val="default"/>
          <w:rFonts w:ascii="Miriam" w:hAnsi="Miriam" w:cs="Miriam"/>
          <w:strike/>
          <w:vanish/>
          <w:sz w:val="16"/>
          <w:szCs w:val="16"/>
          <w:shd w:val="clear" w:color="auto" w:fill="FFFF99"/>
          <w:rtl/>
        </w:rPr>
        <w:t>דיווח בשפה האנגלית</w:t>
      </w:r>
    </w:p>
    <w:p w14:paraId="2A3C4059" w14:textId="77777777" w:rsidR="00E15FFA" w:rsidRPr="003B595D" w:rsidRDefault="00E15FFA" w:rsidP="00E15FFA">
      <w:pPr>
        <w:pStyle w:val="P00"/>
        <w:spacing w:before="0"/>
        <w:ind w:left="0" w:right="1134"/>
        <w:rPr>
          <w:rStyle w:val="default"/>
          <w:rFonts w:cs="FrankRuehl" w:hint="cs"/>
          <w:strike/>
          <w:vanish/>
          <w:sz w:val="16"/>
          <w:szCs w:val="22"/>
          <w:shd w:val="clear" w:color="auto" w:fill="FFFF99"/>
          <w:rtl/>
        </w:rPr>
      </w:pPr>
      <w:r w:rsidRPr="003B595D">
        <w:rPr>
          <w:rStyle w:val="default"/>
          <w:rFonts w:cs="FrankRuehl" w:hint="cs"/>
          <w:strike/>
          <w:vanish/>
          <w:sz w:val="16"/>
          <w:szCs w:val="22"/>
          <w:shd w:val="clear" w:color="auto" w:fill="FFFF99"/>
          <w:rtl/>
        </w:rPr>
        <w:t>2</w:t>
      </w:r>
      <w:r w:rsidRPr="003B595D">
        <w:rPr>
          <w:rStyle w:val="default"/>
          <w:rFonts w:cs="FrankRuehl"/>
          <w:strike/>
          <w:vanish/>
          <w:sz w:val="16"/>
          <w:szCs w:val="22"/>
          <w:shd w:val="clear" w:color="auto" w:fill="FFFF99"/>
          <w:rtl/>
        </w:rPr>
        <w:t>.</w:t>
      </w:r>
      <w:r w:rsidRPr="003B595D">
        <w:rPr>
          <w:rStyle w:val="default"/>
          <w:rFonts w:cs="FrankRuehl"/>
          <w:strike/>
          <w:vanish/>
          <w:sz w:val="16"/>
          <w:szCs w:val="22"/>
          <w:shd w:val="clear" w:color="auto" w:fill="FFFF99"/>
          <w:rtl/>
        </w:rPr>
        <w:tab/>
      </w:r>
      <w:r w:rsidRPr="003B595D">
        <w:rPr>
          <w:rStyle w:val="default"/>
          <w:rFonts w:cs="FrankRuehl" w:hint="cs"/>
          <w:strike/>
          <w:vanish/>
          <w:sz w:val="16"/>
          <w:szCs w:val="22"/>
          <w:shd w:val="clear" w:color="auto" w:fill="FFFF99"/>
          <w:rtl/>
        </w:rPr>
        <w:t>(א)</w:t>
      </w:r>
      <w:r w:rsidRPr="003B595D">
        <w:rPr>
          <w:rStyle w:val="default"/>
          <w:rFonts w:cs="FrankRuehl" w:hint="cs"/>
          <w:strike/>
          <w:vanish/>
          <w:sz w:val="16"/>
          <w:szCs w:val="22"/>
          <w:shd w:val="clear" w:color="auto" w:fill="FFFF99"/>
          <w:rtl/>
        </w:rPr>
        <w:tab/>
        <w:t>תאגיד טק-עילית חדש רשאי לערוך תשקיפים ודוחות רק בשפה האנגלית, ובלבד שהתאגיד קבע זאת בתשקיף ההצעה הראשונה לציבור.</w:t>
      </w:r>
    </w:p>
    <w:p w14:paraId="647D68C0" w14:textId="77777777" w:rsidR="00E15FFA" w:rsidRPr="003B595D" w:rsidRDefault="00E15FFA" w:rsidP="00E15FFA">
      <w:pPr>
        <w:pStyle w:val="P00"/>
        <w:spacing w:before="0"/>
        <w:ind w:left="0" w:right="1134"/>
        <w:rPr>
          <w:rStyle w:val="default"/>
          <w:rFonts w:cs="FrankRuehl" w:hint="cs"/>
          <w:strike/>
          <w:vanish/>
          <w:sz w:val="16"/>
          <w:szCs w:val="22"/>
          <w:shd w:val="clear" w:color="auto" w:fill="FFFF99"/>
          <w:rtl/>
        </w:rPr>
      </w:pPr>
      <w:r w:rsidRPr="003B595D">
        <w:rPr>
          <w:rStyle w:val="default"/>
          <w:rFonts w:cs="FrankRuehl" w:hint="cs"/>
          <w:vanish/>
          <w:sz w:val="16"/>
          <w:szCs w:val="22"/>
          <w:shd w:val="clear" w:color="auto" w:fill="FFFF99"/>
          <w:rtl/>
        </w:rPr>
        <w:tab/>
      </w:r>
      <w:r w:rsidRPr="003B595D">
        <w:rPr>
          <w:rStyle w:val="default"/>
          <w:rFonts w:cs="FrankRuehl" w:hint="cs"/>
          <w:strike/>
          <w:vanish/>
          <w:sz w:val="16"/>
          <w:szCs w:val="22"/>
          <w:shd w:val="clear" w:color="auto" w:fill="FFFF99"/>
          <w:rtl/>
        </w:rPr>
        <w:t>(ב)</w:t>
      </w:r>
      <w:r w:rsidRPr="003B595D">
        <w:rPr>
          <w:rStyle w:val="default"/>
          <w:rFonts w:cs="FrankRuehl" w:hint="cs"/>
          <w:strike/>
          <w:vanish/>
          <w:sz w:val="16"/>
          <w:szCs w:val="22"/>
          <w:shd w:val="clear" w:color="auto" w:fill="FFFF99"/>
          <w:rtl/>
        </w:rPr>
        <w:tab/>
        <w:t>תאגיד שמניותיו כלולות במדד ת"א טק-עילית, רשאי לערוך תשקיפים ודוחות רק בשפה האנגלית, ובלבד שקיבל הסכמה ברוב קולותיהם של מחזיקי ניירות הערך, למעט בעלי השליטה בתאגיד, המשתתפים בהצבעה, באסיפות מחזיקי ניירות הערך לסוגיהם שכינס התאגיד לעניין זה.</w:t>
      </w:r>
    </w:p>
    <w:p w14:paraId="3A288676" w14:textId="77777777" w:rsidR="00E15FFA" w:rsidRPr="00B40E34" w:rsidRDefault="00E15FFA" w:rsidP="00B40E34">
      <w:pPr>
        <w:pStyle w:val="P00"/>
        <w:spacing w:before="0"/>
        <w:ind w:left="0" w:right="1134"/>
        <w:rPr>
          <w:rStyle w:val="default"/>
          <w:rFonts w:cs="FrankRuehl"/>
          <w:strike/>
          <w:sz w:val="2"/>
          <w:szCs w:val="2"/>
          <w:rtl/>
        </w:rPr>
      </w:pPr>
      <w:r w:rsidRPr="003B595D">
        <w:rPr>
          <w:rStyle w:val="default"/>
          <w:rFonts w:cs="FrankRuehl" w:hint="cs"/>
          <w:vanish/>
          <w:sz w:val="16"/>
          <w:szCs w:val="22"/>
          <w:shd w:val="clear" w:color="auto" w:fill="FFFF99"/>
          <w:rtl/>
        </w:rPr>
        <w:tab/>
      </w:r>
      <w:r w:rsidRPr="003B595D">
        <w:rPr>
          <w:rStyle w:val="default"/>
          <w:rFonts w:cs="FrankRuehl" w:hint="cs"/>
          <w:strike/>
          <w:vanish/>
          <w:sz w:val="16"/>
          <w:szCs w:val="22"/>
          <w:shd w:val="clear" w:color="auto" w:fill="FFFF99"/>
          <w:rtl/>
        </w:rPr>
        <w:t>(ג)</w:t>
      </w:r>
      <w:r w:rsidRPr="003B595D">
        <w:rPr>
          <w:rStyle w:val="default"/>
          <w:rFonts w:cs="FrankRuehl" w:hint="cs"/>
          <w:strike/>
          <w:vanish/>
          <w:sz w:val="16"/>
          <w:szCs w:val="22"/>
          <w:shd w:val="clear" w:color="auto" w:fill="FFFF99"/>
          <w:rtl/>
        </w:rPr>
        <w:tab/>
        <w:t>ערך תאגיד טק-עילית תשקיפים ודוחות בשפה האנגלית לפי תקנת משנה (א) או (ב), רשאי הוא להמשיך לעשות כן אף אם מניותיו אינן נכללות עוד במדד ת"א טק-עילית, כל עוד מניותיו מסווגות לענפי הביומד או הטכנולוגיה של הבורסה, לפי תקנון הבורסה כמשמעותו בסעיף 46 לחוק, ובכפוף לאישור הרשות.</w:t>
      </w:r>
      <w:bookmarkEnd w:id="1"/>
    </w:p>
    <w:p w14:paraId="3FBB283F" w14:textId="77777777" w:rsidR="004000CF" w:rsidRDefault="004000CF" w:rsidP="00CF535A">
      <w:pPr>
        <w:pStyle w:val="P00"/>
        <w:spacing w:before="72"/>
        <w:ind w:left="0" w:right="1134"/>
        <w:rPr>
          <w:rStyle w:val="default"/>
          <w:rFonts w:cs="FrankRuehl" w:hint="cs"/>
          <w:sz w:val="20"/>
          <w:rtl/>
        </w:rPr>
      </w:pPr>
      <w:bookmarkStart w:id="2" w:name="Seif3"/>
      <w:bookmarkEnd w:id="2"/>
      <w:r>
        <w:rPr>
          <w:lang w:val="he-IL"/>
        </w:rPr>
        <w:pict w14:anchorId="45446A5C">
          <v:rect id="_x0000_s1351" style="position:absolute;left:0;text-align:left;margin-left:464.5pt;margin-top:8.05pt;width:75.05pt;height:21.35pt;z-index:251657728" o:allowincell="f" filled="f" stroked="f" strokecolor="lime" strokeweight=".25pt">
            <v:textbox inset="0,0,0,0">
              <w:txbxContent>
                <w:p w14:paraId="25A4FF25" w14:textId="77777777" w:rsidR="00265017" w:rsidRDefault="00CF535A" w:rsidP="004000CF">
                  <w:pPr>
                    <w:spacing w:line="160" w:lineRule="exact"/>
                    <w:jc w:val="left"/>
                    <w:rPr>
                      <w:rFonts w:cs="Miriam" w:hint="cs"/>
                      <w:noProof/>
                      <w:sz w:val="18"/>
                      <w:szCs w:val="18"/>
                      <w:rtl/>
                    </w:rPr>
                  </w:pPr>
                  <w:r>
                    <w:rPr>
                      <w:rFonts w:cs="Miriam" w:hint="cs"/>
                      <w:sz w:val="18"/>
                      <w:szCs w:val="18"/>
                      <w:rtl/>
                    </w:rPr>
                    <w:t>הקלות בפרטים השוואתיים</w:t>
                  </w:r>
                </w:p>
              </w:txbxContent>
            </v:textbox>
            <w10:anchorlock/>
          </v:rect>
        </w:pict>
      </w:r>
      <w:r w:rsidR="0069743A">
        <w:rPr>
          <w:rStyle w:val="big-number"/>
          <w:rFonts w:cs="Miriam" w:hint="cs"/>
          <w:rtl/>
        </w:rPr>
        <w:t>3</w:t>
      </w:r>
      <w:r w:rsidRPr="00CF535A">
        <w:rPr>
          <w:rStyle w:val="default"/>
          <w:rFonts w:cs="FrankRuehl"/>
          <w:sz w:val="20"/>
          <w:rtl/>
        </w:rPr>
        <w:t>.</w:t>
      </w:r>
      <w:r w:rsidRPr="00CF535A">
        <w:rPr>
          <w:rStyle w:val="default"/>
          <w:rFonts w:cs="FrankRuehl"/>
          <w:sz w:val="20"/>
          <w:rtl/>
        </w:rPr>
        <w:tab/>
      </w:r>
      <w:r w:rsidR="00CF535A">
        <w:rPr>
          <w:rStyle w:val="default"/>
          <w:rFonts w:cs="FrankRuehl" w:hint="cs"/>
          <w:sz w:val="20"/>
          <w:rtl/>
        </w:rPr>
        <w:t>על תאגיד טק-עילית יחולו הוראות אלה:</w:t>
      </w:r>
    </w:p>
    <w:p w14:paraId="0A03C864" w14:textId="77777777" w:rsidR="00CF535A" w:rsidRDefault="00CF535A" w:rsidP="00CF535A">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בתוספת הראשונה לתקנות פרטי תשקיף, בסעיף 1(א), במקום "שתחילתה שלוש שנים" יקראו "שתחילתה שתיים";</w:t>
      </w:r>
    </w:p>
    <w:p w14:paraId="4E2B4D17" w14:textId="77777777" w:rsidR="00CF535A" w:rsidRDefault="00CF535A" w:rsidP="00CF535A">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בתקנה 7(ב) לתקנות דוחות כספיים, במקום "בכל אחת משתי שנות הכספים הקודמות" יקראו "בשנת הכספים הקודמת".</w:t>
      </w:r>
    </w:p>
    <w:p w14:paraId="6E393E00" w14:textId="77777777" w:rsidR="004000CF" w:rsidRDefault="004000CF" w:rsidP="00CF535A">
      <w:pPr>
        <w:pStyle w:val="P00"/>
        <w:spacing w:before="72"/>
        <w:ind w:left="0" w:right="1134"/>
        <w:rPr>
          <w:rStyle w:val="default"/>
          <w:rFonts w:cs="FrankRuehl" w:hint="cs"/>
          <w:sz w:val="20"/>
          <w:rtl/>
        </w:rPr>
      </w:pPr>
      <w:bookmarkStart w:id="3" w:name="Seif4"/>
      <w:bookmarkEnd w:id="3"/>
      <w:r>
        <w:rPr>
          <w:lang w:val="he-IL"/>
        </w:rPr>
        <w:pict w14:anchorId="6CB125DC">
          <v:rect id="_x0000_s1352" style="position:absolute;left:0;text-align:left;margin-left:464.5pt;margin-top:8.05pt;width:75.05pt;height:17.85pt;z-index:251658752" o:allowincell="f" filled="f" stroked="f" strokecolor="lime" strokeweight=".25pt">
            <v:textbox inset="0,0,0,0">
              <w:txbxContent>
                <w:p w14:paraId="4A6E5105" w14:textId="77777777" w:rsidR="00265017" w:rsidRDefault="00CF535A" w:rsidP="0069743A">
                  <w:pPr>
                    <w:spacing w:line="160" w:lineRule="exact"/>
                    <w:jc w:val="left"/>
                    <w:rPr>
                      <w:rFonts w:cs="Miriam" w:hint="cs"/>
                      <w:noProof/>
                      <w:sz w:val="18"/>
                      <w:szCs w:val="18"/>
                      <w:rtl/>
                    </w:rPr>
                  </w:pPr>
                  <w:r>
                    <w:rPr>
                      <w:rFonts w:cs="Miriam" w:hint="cs"/>
                      <w:sz w:val="18"/>
                      <w:szCs w:val="18"/>
                      <w:rtl/>
                    </w:rPr>
                    <w:t>הקלות בדוחות כספיים</w:t>
                  </w:r>
                </w:p>
              </w:txbxContent>
            </v:textbox>
            <w10:anchorlock/>
          </v:rect>
        </w:pict>
      </w:r>
      <w:r w:rsidR="0069743A">
        <w:rPr>
          <w:rStyle w:val="big-number"/>
          <w:rFonts w:cs="Miriam" w:hint="cs"/>
          <w:rtl/>
        </w:rPr>
        <w:t>4</w:t>
      </w:r>
      <w:r w:rsidRPr="00CF535A">
        <w:rPr>
          <w:rStyle w:val="default"/>
          <w:rFonts w:cs="FrankRuehl"/>
          <w:sz w:val="20"/>
          <w:rtl/>
        </w:rPr>
        <w:t>.</w:t>
      </w:r>
      <w:r w:rsidRPr="00CF535A">
        <w:rPr>
          <w:rStyle w:val="default"/>
          <w:rFonts w:cs="FrankRuehl"/>
          <w:sz w:val="20"/>
          <w:rtl/>
        </w:rPr>
        <w:tab/>
      </w:r>
      <w:r w:rsidR="00CF535A">
        <w:rPr>
          <w:rStyle w:val="default"/>
          <w:rFonts w:cs="FrankRuehl" w:hint="cs"/>
          <w:sz w:val="20"/>
          <w:rtl/>
        </w:rPr>
        <w:t>(א)</w:t>
      </w:r>
      <w:r w:rsidR="00CF535A">
        <w:rPr>
          <w:rStyle w:val="default"/>
          <w:rFonts w:cs="FrankRuehl" w:hint="cs"/>
          <w:sz w:val="20"/>
          <w:rtl/>
        </w:rPr>
        <w:tab/>
        <w:t xml:space="preserve">על אף האמור בתקנות דוחות כספיים יחולו על תאגיד טק-עילית חדש שעובר למועד תשקיף ההנפקה הראשונה לציבור, מתקיימים לגביו התנאים האמורים בפסקאות (1) עד (3), </w:t>
      </w:r>
      <w:r w:rsidR="00CF535A">
        <w:rPr>
          <w:rStyle w:val="default"/>
          <w:rFonts w:cs="FrankRuehl" w:hint="cs"/>
          <w:sz w:val="20"/>
          <w:rtl/>
        </w:rPr>
        <w:lastRenderedPageBreak/>
        <w:t xml:space="preserve">הוראות תקנות משנה (ב) עד (ה) ובלבד שהתאגיד קבע זאת בתשקיף כאמור </w:t>
      </w:r>
      <w:r w:rsidR="00CF535A">
        <w:rPr>
          <w:rStyle w:val="default"/>
          <w:rFonts w:cs="FrankRuehl"/>
          <w:sz w:val="20"/>
          <w:rtl/>
        </w:rPr>
        <w:t>–</w:t>
      </w:r>
    </w:p>
    <w:p w14:paraId="250C6D41"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התאגיד התאגד בישראל;</w:t>
      </w:r>
    </w:p>
    <w:p w14:paraId="68C815C7"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בכל אחת מתקופות הדיווח הכלולות בתשקיף שבהן היו הכנסות </w:t>
      </w:r>
      <w:r>
        <w:rPr>
          <w:rStyle w:val="default"/>
          <w:rFonts w:cs="FrankRuehl"/>
          <w:sz w:val="20"/>
          <w:rtl/>
        </w:rPr>
        <w:t>–</w:t>
      </w:r>
      <w:r>
        <w:rPr>
          <w:rStyle w:val="default"/>
          <w:rFonts w:cs="FrankRuehl" w:hint="cs"/>
          <w:sz w:val="20"/>
          <w:rtl/>
        </w:rPr>
        <w:t xml:space="preserve"> למעלה ממחצית הכנסות התאגיד התקבלו מחוץ לישראל;</w:t>
      </w:r>
    </w:p>
    <w:p w14:paraId="5EF851DA"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אחד מאלה:</w:t>
      </w:r>
    </w:p>
    <w:p w14:paraId="7768FADF" w14:textId="77777777" w:rsidR="00CF535A" w:rsidRDefault="00CF535A" w:rsidP="00CF535A">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בעל השליטה בתאגיד אינו תושב ישראל;</w:t>
      </w:r>
    </w:p>
    <w:p w14:paraId="116D45AF" w14:textId="77777777" w:rsidR="00CF535A" w:rsidRDefault="00CF535A" w:rsidP="00CF535A">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למעלה ממחצית ממניות החברה הן בבעלות מי שאינם תושבי ישראל; לעניין זה, יראו במחזיקים בקרן הון סיכון פרטית, בעלי המניות בחברה לפי חלקם היחסי.</w:t>
      </w:r>
    </w:p>
    <w:p w14:paraId="28170A0A" w14:textId="77777777" w:rsidR="00CF535A" w:rsidRDefault="00CF535A" w:rsidP="00CF535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 הדוחות הכספיים השנתיים </w:t>
      </w:r>
      <w:r>
        <w:rPr>
          <w:rStyle w:val="default"/>
          <w:rFonts w:cs="FrankRuehl"/>
          <w:sz w:val="20"/>
          <w:rtl/>
        </w:rPr>
        <w:t>–</w:t>
      </w:r>
    </w:p>
    <w:p w14:paraId="16E8F5B5"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יכול שייערכו לפי כללי חשבונאות מקובלים בארצות הברית, לרבות הגילוי הנדרש מכוחם;</w:t>
      </w:r>
    </w:p>
    <w:p w14:paraId="0226CC97"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יכול שיבוקרו לפי תקני ביקורת אמריקניים לפי סוג הכללים או התקנים שלפיהם נערכו, ובלבד שרואה החשבון המבקר יציין בחוות דעתו את תקני הביקורת שלפיהם בוקרו.</w:t>
      </w:r>
    </w:p>
    <w:p w14:paraId="25837A4C" w14:textId="77777777" w:rsidR="00CF535A" w:rsidRDefault="00CF535A" w:rsidP="00CF535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דוחות כספיים ביניים יכול שייערכו לפי כללי חשבונאות מקובלים בארצות הברית, לרבות הגילוי הנדרש מכוחם.</w:t>
      </w:r>
    </w:p>
    <w:p w14:paraId="3FF78D5A" w14:textId="77777777" w:rsidR="00CF535A" w:rsidRDefault="00CF535A" w:rsidP="00CF535A">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בדוחות שהוגשו כאמור בתקנות משנה (ב) ו-(ג) ייכלל ביאור התאמה לכללי החשבונאות המקובלים.</w:t>
      </w:r>
    </w:p>
    <w:p w14:paraId="16F69B13" w14:textId="77777777" w:rsidR="00CF535A" w:rsidRDefault="00CF535A" w:rsidP="00CF535A">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בחר תאגיד טק-עילית לדווח לפי כללי חשבונאות מקובלים בארצות הברית כאמור בתקנות משנה (ב) ו-(ג), לא יחולו עליו תקנות דוחות כספיים, למעט תקנות אלה בשינויים האלה:</w:t>
      </w:r>
    </w:p>
    <w:p w14:paraId="0DA7F887"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תקנה 3(ג), במקום "לתקני הדיווח הכספי הבין-לאומיים" יקראו "לכללי חשבונאות מקובלים בארצות הברית" ובלא הסיפה;</w:t>
      </w:r>
    </w:p>
    <w:p w14:paraId="7FF61799"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תקנה 6, במקום "כללי החשבונאות המקובלים" יקראו "כללי חשבונאות מקובלים בארצות הברית";</w:t>
      </w:r>
    </w:p>
    <w:p w14:paraId="1EF45081"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תקנות 8 ו-9;</w:t>
      </w:r>
    </w:p>
    <w:p w14:paraId="1DC12B86"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תקנה 10, במקום "כללי החשבונאות המקובלים ולפי תקנות אלה" יקראו "כללי חשבונאות מקובלים בארצות הברית";</w:t>
      </w:r>
    </w:p>
    <w:p w14:paraId="16AF722C"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תקנה 11.</w:t>
      </w:r>
    </w:p>
    <w:p w14:paraId="63BBC831" w14:textId="77777777" w:rsidR="004000CF" w:rsidRDefault="004000CF" w:rsidP="00CF535A">
      <w:pPr>
        <w:pStyle w:val="P00"/>
        <w:spacing w:before="72"/>
        <w:ind w:left="0" w:right="1134"/>
        <w:rPr>
          <w:rStyle w:val="default"/>
          <w:rFonts w:cs="FrankRuehl" w:hint="cs"/>
          <w:sz w:val="20"/>
          <w:rtl/>
        </w:rPr>
      </w:pPr>
      <w:bookmarkStart w:id="4" w:name="Seif5"/>
      <w:bookmarkEnd w:id="4"/>
      <w:r>
        <w:rPr>
          <w:lang w:val="he-IL"/>
        </w:rPr>
        <w:pict w14:anchorId="63064BFA">
          <v:rect id="_x0000_s1353" style="position:absolute;left:0;text-align:left;margin-left:464.5pt;margin-top:8.05pt;width:75.05pt;height:18.3pt;z-index:251659776" o:allowincell="f" filled="f" stroked="f" strokecolor="lime" strokeweight=".25pt">
            <v:textbox inset="0,0,0,0">
              <w:txbxContent>
                <w:p w14:paraId="44E6B053" w14:textId="77777777" w:rsidR="00265017" w:rsidRDefault="00CF535A" w:rsidP="004000CF">
                  <w:pPr>
                    <w:spacing w:line="160" w:lineRule="exact"/>
                    <w:jc w:val="left"/>
                    <w:rPr>
                      <w:rFonts w:cs="Miriam" w:hint="cs"/>
                      <w:noProof/>
                      <w:sz w:val="18"/>
                      <w:szCs w:val="18"/>
                      <w:rtl/>
                    </w:rPr>
                  </w:pPr>
                  <w:r>
                    <w:rPr>
                      <w:rFonts w:cs="Miriam" w:hint="cs"/>
                      <w:sz w:val="18"/>
                      <w:szCs w:val="18"/>
                      <w:rtl/>
                    </w:rPr>
                    <w:t>הקלות בתקופת ההקלות</w:t>
                  </w:r>
                </w:p>
              </w:txbxContent>
            </v:textbox>
            <w10:anchorlock/>
          </v:rect>
        </w:pict>
      </w:r>
      <w:r w:rsidR="0069743A">
        <w:rPr>
          <w:rStyle w:val="big-number"/>
          <w:rFonts w:cs="Miriam" w:hint="cs"/>
          <w:rtl/>
        </w:rPr>
        <w:t>5</w:t>
      </w:r>
      <w:r w:rsidRPr="00CF535A">
        <w:rPr>
          <w:rStyle w:val="default"/>
          <w:rFonts w:cs="FrankRuehl"/>
          <w:sz w:val="20"/>
          <w:rtl/>
        </w:rPr>
        <w:t>.</w:t>
      </w:r>
      <w:r w:rsidRPr="00CF535A">
        <w:rPr>
          <w:rStyle w:val="default"/>
          <w:rFonts w:cs="FrankRuehl"/>
          <w:sz w:val="20"/>
          <w:rtl/>
        </w:rPr>
        <w:tab/>
      </w:r>
      <w:r w:rsidR="00CF535A">
        <w:rPr>
          <w:rStyle w:val="default"/>
          <w:rFonts w:cs="FrankRuehl" w:hint="cs"/>
          <w:sz w:val="20"/>
          <w:rtl/>
        </w:rPr>
        <w:t>בתקופת ההקלות יחולו הוראות אלה על תאגיד טק-עילית:</w:t>
      </w:r>
    </w:p>
    <w:p w14:paraId="35FBE135" w14:textId="77777777" w:rsidR="00CF535A" w:rsidRDefault="00CF535A" w:rsidP="00CF535A">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תקנה 5ד לתקנות דוחות תקופתיים ומיידיים, אף אם התאגיד אינו תאגיד קטן כמשמעותו בתקנה 5ג לתקנות האמורות;</w:t>
      </w:r>
    </w:p>
    <w:p w14:paraId="1AFB8D31" w14:textId="77777777" w:rsidR="00CF535A" w:rsidRDefault="00CF535A" w:rsidP="00CF535A">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לא תחול תקנה 9ב(ד) לתקנות דוחות תקופתיים ומיידיים;</w:t>
      </w:r>
    </w:p>
    <w:p w14:paraId="3F644999" w14:textId="77777777" w:rsidR="00CF535A" w:rsidRDefault="00CF535A" w:rsidP="00CF535A">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לעניין דוחות רבעוניים </w:t>
      </w:r>
      <w:r>
        <w:rPr>
          <w:rStyle w:val="default"/>
          <w:rFonts w:cs="FrankRuehl"/>
          <w:sz w:val="20"/>
          <w:rtl/>
        </w:rPr>
        <w:t>–</w:t>
      </w:r>
    </w:p>
    <w:p w14:paraId="05684049"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לא יחולו תקנות 39א, 44, 44א ו-48 לתקנות דוחות תקופתיים ומיידיים;</w:t>
      </w:r>
    </w:p>
    <w:p w14:paraId="0B76F1DC" w14:textId="77777777" w:rsidR="00CF535A" w:rsidRDefault="00CF535A" w:rsidP="00CF535A">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יצורף דוח שבו יפורטו ההתפתחויות העיקריות במצב ענייני התאגיד בתקופת הביניים ובתקופה המצטברת מתום שנת הדיווח האחרונה עד יום הדוח; על דוח כאמור יחתמו יושב ראש הדירקטוריון והמנהל הכללי של התאגיד; הסמיך הדירקטוריון דירקטור לחתום בשם יושב ראש הדירקטוריון והמנהל הכללי, כאמור בתקנה 9(ה) לתקנות דוחות תקופתיים ומיידיים, יצוין בביאורים דבר ההסמכה והסיבות לה.</w:t>
      </w:r>
    </w:p>
    <w:p w14:paraId="6D294761" w14:textId="77777777" w:rsidR="00A67BA5" w:rsidRDefault="00A67BA5" w:rsidP="00431CAA">
      <w:pPr>
        <w:pStyle w:val="P00"/>
        <w:spacing w:before="72"/>
        <w:ind w:left="0" w:right="1134"/>
        <w:rPr>
          <w:rStyle w:val="default"/>
          <w:rFonts w:cs="FrankRuehl" w:hint="cs"/>
          <w:rtl/>
        </w:rPr>
      </w:pPr>
    </w:p>
    <w:p w14:paraId="63A458DC" w14:textId="77777777" w:rsidR="00D25D5C" w:rsidRDefault="00D25D5C" w:rsidP="00431CAA">
      <w:pPr>
        <w:pStyle w:val="P00"/>
        <w:spacing w:before="72"/>
        <w:ind w:left="0" w:right="1134"/>
        <w:rPr>
          <w:rStyle w:val="default"/>
          <w:rFonts w:cs="FrankRuehl" w:hint="cs"/>
          <w:rtl/>
        </w:rPr>
      </w:pPr>
    </w:p>
    <w:p w14:paraId="32F1DD3E" w14:textId="77777777" w:rsidR="00CB494E" w:rsidRDefault="00CF535A" w:rsidP="00CF535A">
      <w:pPr>
        <w:pStyle w:val="sig-0"/>
        <w:tabs>
          <w:tab w:val="clear" w:pos="4820"/>
          <w:tab w:val="left" w:pos="5670"/>
        </w:tabs>
        <w:spacing w:before="72"/>
        <w:ind w:left="0" w:right="1134"/>
        <w:rPr>
          <w:rFonts w:cs="FrankRuehl" w:hint="cs"/>
          <w:sz w:val="26"/>
          <w:rtl/>
        </w:rPr>
      </w:pPr>
      <w:r>
        <w:rPr>
          <w:rFonts w:cs="FrankRuehl" w:hint="cs"/>
          <w:sz w:val="26"/>
          <w:rtl/>
        </w:rPr>
        <w:t>ו' באדר ב' התשע"ו (16 במרס 2016</w:t>
      </w:r>
      <w:r w:rsidR="00D11E24">
        <w:rPr>
          <w:rFonts w:cs="FrankRuehl" w:hint="cs"/>
          <w:sz w:val="26"/>
          <w:rtl/>
        </w:rPr>
        <w:t>)</w:t>
      </w:r>
      <w:r w:rsidR="00CB494E">
        <w:rPr>
          <w:rFonts w:cs="FrankRuehl" w:hint="cs"/>
          <w:sz w:val="26"/>
          <w:rtl/>
        </w:rPr>
        <w:tab/>
      </w:r>
      <w:r>
        <w:rPr>
          <w:rFonts w:cs="FrankRuehl" w:hint="cs"/>
          <w:sz w:val="26"/>
          <w:rtl/>
        </w:rPr>
        <w:t>משה כחלון</w:t>
      </w:r>
    </w:p>
    <w:p w14:paraId="03C16DE4" w14:textId="77777777" w:rsidR="0013416F" w:rsidRDefault="00D11E24" w:rsidP="00CF535A">
      <w:pPr>
        <w:pStyle w:val="sig-1"/>
        <w:widowControl/>
        <w:tabs>
          <w:tab w:val="clear" w:pos="851"/>
          <w:tab w:val="clear" w:pos="2835"/>
          <w:tab w:val="clear" w:pos="4820"/>
          <w:tab w:val="left" w:pos="5670"/>
        </w:tabs>
        <w:ind w:left="0" w:right="1134"/>
        <w:rPr>
          <w:rFonts w:cs="FrankRuehl" w:hint="cs"/>
          <w:sz w:val="22"/>
          <w:rtl/>
        </w:rPr>
      </w:pPr>
      <w:r>
        <w:rPr>
          <w:rFonts w:cs="FrankRuehl" w:hint="cs"/>
          <w:sz w:val="22"/>
          <w:rtl/>
        </w:rPr>
        <w:tab/>
      </w:r>
      <w:r w:rsidR="001931BA">
        <w:rPr>
          <w:rFonts w:cs="FrankRuehl" w:hint="cs"/>
          <w:sz w:val="22"/>
          <w:rtl/>
        </w:rPr>
        <w:t xml:space="preserve">שר </w:t>
      </w:r>
      <w:r w:rsidR="0035091B">
        <w:rPr>
          <w:rFonts w:cs="FrankRuehl" w:hint="cs"/>
          <w:sz w:val="22"/>
          <w:rtl/>
        </w:rPr>
        <w:t>האוצר</w:t>
      </w:r>
    </w:p>
    <w:p w14:paraId="2EA1798E" w14:textId="77777777" w:rsidR="003806E6" w:rsidRDefault="003806E6" w:rsidP="00927A15">
      <w:pPr>
        <w:pStyle w:val="P00"/>
        <w:spacing w:before="72"/>
        <w:ind w:left="0" w:right="1134"/>
        <w:rPr>
          <w:rStyle w:val="default"/>
          <w:rFonts w:cs="FrankRuehl" w:hint="cs"/>
          <w:rtl/>
        </w:rPr>
      </w:pPr>
    </w:p>
    <w:p w14:paraId="03C0F922" w14:textId="77777777" w:rsidR="00927A15" w:rsidRDefault="00927A15" w:rsidP="00927A15">
      <w:pPr>
        <w:pStyle w:val="P00"/>
        <w:spacing w:before="72"/>
        <w:ind w:left="0" w:right="1134"/>
        <w:rPr>
          <w:rStyle w:val="default"/>
          <w:rFonts w:cs="FrankRuehl" w:hint="cs"/>
          <w:rtl/>
        </w:rPr>
      </w:pPr>
    </w:p>
    <w:p w14:paraId="1D2237D7" w14:textId="77777777" w:rsidR="007F2C5E" w:rsidRDefault="007F2C5E" w:rsidP="00927A15">
      <w:pPr>
        <w:pStyle w:val="P00"/>
        <w:spacing w:before="72"/>
        <w:ind w:left="0" w:right="1134"/>
        <w:rPr>
          <w:rStyle w:val="default"/>
          <w:rFonts w:cs="FrankRuehl"/>
          <w:rtl/>
        </w:rPr>
      </w:pPr>
    </w:p>
    <w:p w14:paraId="44C4E635" w14:textId="77777777" w:rsidR="007F2C5E" w:rsidRDefault="007F2C5E" w:rsidP="00927A15">
      <w:pPr>
        <w:pStyle w:val="P00"/>
        <w:spacing w:before="72"/>
        <w:ind w:left="0" w:right="1134"/>
        <w:rPr>
          <w:rStyle w:val="default"/>
          <w:rFonts w:cs="FrankRuehl"/>
          <w:rtl/>
        </w:rPr>
      </w:pPr>
    </w:p>
    <w:p w14:paraId="50C05472" w14:textId="77777777" w:rsidR="007F2C5E" w:rsidRDefault="007F2C5E" w:rsidP="007F2C5E">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7D748768" w14:textId="77777777" w:rsidR="00F768F9" w:rsidRPr="007F2C5E" w:rsidRDefault="00F768F9" w:rsidP="007F2C5E">
      <w:pPr>
        <w:pStyle w:val="P00"/>
        <w:spacing w:before="72"/>
        <w:ind w:left="0" w:right="1134"/>
        <w:jc w:val="center"/>
        <w:rPr>
          <w:rStyle w:val="default"/>
          <w:rFonts w:cs="David"/>
          <w:color w:val="0000FF"/>
          <w:szCs w:val="24"/>
          <w:u w:val="single"/>
          <w:rtl/>
        </w:rPr>
      </w:pPr>
    </w:p>
    <w:sectPr w:rsidR="00F768F9" w:rsidRPr="007F2C5E" w:rsidSect="00A227D9">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CCBC3" w14:textId="77777777" w:rsidR="00FC4EDD" w:rsidRDefault="00FC4EDD">
      <w:r>
        <w:separator/>
      </w:r>
    </w:p>
  </w:endnote>
  <w:endnote w:type="continuationSeparator" w:id="0">
    <w:p w14:paraId="0B3F6A42" w14:textId="77777777" w:rsidR="00FC4EDD" w:rsidRDefault="00FC4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7D00" w14:textId="77777777" w:rsidR="00265017" w:rsidRDefault="0026501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3A43BB8" w14:textId="77777777" w:rsidR="00265017" w:rsidRDefault="0026501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93F00F" w14:textId="77777777" w:rsidR="00265017" w:rsidRDefault="0026501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Z:\00000000000000000000000=2014------------------------\05-May\2014-05-28\LawsForHofit\05\500_271.doc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9E7B" w14:textId="77777777" w:rsidR="00265017" w:rsidRDefault="0026501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B13CF">
      <w:rPr>
        <w:rFonts w:hAnsi="FrankRuehl" w:cs="FrankRuehl"/>
        <w:noProof/>
        <w:sz w:val="24"/>
        <w:szCs w:val="24"/>
        <w:rtl/>
      </w:rPr>
      <w:t>2</w:t>
    </w:r>
    <w:r>
      <w:rPr>
        <w:rFonts w:hAnsi="FrankRuehl" w:cs="FrankRuehl"/>
        <w:sz w:val="24"/>
        <w:szCs w:val="24"/>
        <w:rtl/>
      </w:rPr>
      <w:fldChar w:fldCharType="end"/>
    </w:r>
  </w:p>
  <w:p w14:paraId="074CBEF0" w14:textId="77777777" w:rsidR="00265017" w:rsidRDefault="0026501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45A008" w14:textId="77777777" w:rsidR="00265017" w:rsidRDefault="0026501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Z:\00000000000000000000000=2014------------------------\05-May\2014-05-28\LawsForHofit\05\500_271.doc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D94C2" w14:textId="77777777" w:rsidR="00FC4EDD" w:rsidRDefault="00FC4EDD" w:rsidP="007C57AA">
      <w:pPr>
        <w:spacing w:before="60" w:line="240" w:lineRule="auto"/>
        <w:ind w:right="1134"/>
      </w:pPr>
      <w:r>
        <w:separator/>
      </w:r>
    </w:p>
  </w:footnote>
  <w:footnote w:type="continuationSeparator" w:id="0">
    <w:p w14:paraId="46653E21" w14:textId="77777777" w:rsidR="00FC4EDD" w:rsidRDefault="00FC4EDD">
      <w:pPr>
        <w:spacing w:before="60"/>
        <w:ind w:right="1134"/>
      </w:pPr>
      <w:r>
        <w:separator/>
      </w:r>
    </w:p>
  </w:footnote>
  <w:footnote w:id="1">
    <w:p w14:paraId="3F7EF1E8" w14:textId="77777777" w:rsidR="00AE2F39" w:rsidRDefault="00265017" w:rsidP="00AE2F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AE2F39">
          <w:rPr>
            <w:rStyle w:val="Hyperlink"/>
            <w:rFonts w:cs="FrankRuehl" w:hint="cs"/>
            <w:rtl/>
          </w:rPr>
          <w:t>ק"ת תשע</w:t>
        </w:r>
        <w:r w:rsidR="003806E6" w:rsidRPr="00AE2F39">
          <w:rPr>
            <w:rStyle w:val="Hyperlink"/>
            <w:rFonts w:cs="FrankRuehl" w:hint="cs"/>
            <w:rtl/>
          </w:rPr>
          <w:t>"ו</w:t>
        </w:r>
        <w:r w:rsidRPr="00AE2F39">
          <w:rPr>
            <w:rStyle w:val="Hyperlink"/>
            <w:rFonts w:cs="FrankRuehl" w:hint="cs"/>
            <w:rtl/>
          </w:rPr>
          <w:t xml:space="preserve"> מס' </w:t>
        </w:r>
        <w:r w:rsidR="003806E6" w:rsidRPr="00AE2F39">
          <w:rPr>
            <w:rStyle w:val="Hyperlink"/>
            <w:rFonts w:cs="FrankRuehl" w:hint="cs"/>
            <w:rtl/>
          </w:rPr>
          <w:t>7644</w:t>
        </w:r>
      </w:hyperlink>
      <w:r>
        <w:rPr>
          <w:rFonts w:cs="FrankRuehl" w:hint="cs"/>
          <w:rtl/>
        </w:rPr>
        <w:t xml:space="preserve"> מיום </w:t>
      </w:r>
      <w:r w:rsidR="003806E6">
        <w:rPr>
          <w:rFonts w:cs="FrankRuehl" w:hint="cs"/>
          <w:rtl/>
        </w:rPr>
        <w:t>10.4.2016</w:t>
      </w:r>
      <w:r>
        <w:rPr>
          <w:rFonts w:cs="FrankRuehl" w:hint="cs"/>
          <w:rtl/>
        </w:rPr>
        <w:t xml:space="preserve"> עמ' </w:t>
      </w:r>
      <w:r w:rsidR="003806E6">
        <w:rPr>
          <w:rFonts w:cs="FrankRuehl" w:hint="cs"/>
          <w:rtl/>
        </w:rPr>
        <w:t>982</w:t>
      </w:r>
      <w:r>
        <w:rPr>
          <w:rFonts w:cs="FrankRuehl" w:hint="cs"/>
          <w:rtl/>
        </w:rPr>
        <w:t>.</w:t>
      </w:r>
    </w:p>
    <w:p w14:paraId="04132B93" w14:textId="77777777" w:rsidR="00DB13CF" w:rsidRDefault="00E15FFA" w:rsidP="00DB13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DB13CF">
          <w:rPr>
            <w:rStyle w:val="Hyperlink"/>
            <w:rFonts w:cs="FrankRuehl" w:hint="cs"/>
            <w:rtl/>
          </w:rPr>
          <w:t>ק"ת תשפ"א מס' 8904</w:t>
        </w:r>
      </w:hyperlink>
      <w:r>
        <w:rPr>
          <w:rFonts w:cs="FrankRuehl" w:hint="cs"/>
          <w:rtl/>
        </w:rPr>
        <w:t xml:space="preserve"> מיום 17.11.2020 עמ' 483 </w:t>
      </w:r>
      <w:r>
        <w:rPr>
          <w:rFonts w:cs="FrankRuehl"/>
          <w:rtl/>
        </w:rPr>
        <w:t>–</w:t>
      </w:r>
      <w:r>
        <w:rPr>
          <w:rFonts w:cs="FrankRuehl" w:hint="cs"/>
          <w:rtl/>
        </w:rPr>
        <w:t xml:space="preserve"> תק' תשפ"א-2020; תחילתן ביום 17.2.2021.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6BFF7" w14:textId="77777777" w:rsidR="00265017" w:rsidRDefault="0026501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1BF2287" w14:textId="77777777" w:rsidR="00265017" w:rsidRDefault="0026501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9C4691" w14:textId="77777777" w:rsidR="00265017" w:rsidRDefault="0026501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ED24" w14:textId="77777777" w:rsidR="00265017" w:rsidRDefault="00265017" w:rsidP="003806E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w:t>
    </w:r>
    <w:r w:rsidR="003806E6">
      <w:rPr>
        <w:rFonts w:hAnsi="FrankRuehl" w:cs="FrankRuehl" w:hint="cs"/>
        <w:color w:val="000000"/>
        <w:sz w:val="28"/>
        <w:szCs w:val="28"/>
        <w:rtl/>
      </w:rPr>
      <w:t>דוחות תאגיד שמניותיו כלולות במדד ת"א טק-עילית), תשע"ו-2016</w:t>
    </w:r>
  </w:p>
  <w:p w14:paraId="39C168ED" w14:textId="77777777" w:rsidR="00265017" w:rsidRDefault="0026501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E326D6" w14:textId="77777777" w:rsidR="00265017" w:rsidRDefault="0026501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0236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3921"/>
    <w:rsid w:val="00005864"/>
    <w:rsid w:val="000100B8"/>
    <w:rsid w:val="000146A6"/>
    <w:rsid w:val="000200C1"/>
    <w:rsid w:val="000201C8"/>
    <w:rsid w:val="000268C3"/>
    <w:rsid w:val="00033964"/>
    <w:rsid w:val="000366D4"/>
    <w:rsid w:val="000377F5"/>
    <w:rsid w:val="00046B7F"/>
    <w:rsid w:val="000602A7"/>
    <w:rsid w:val="000619D9"/>
    <w:rsid w:val="00062C31"/>
    <w:rsid w:val="00064468"/>
    <w:rsid w:val="00064B0F"/>
    <w:rsid w:val="00064C9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7AA4"/>
    <w:rsid w:val="000D1348"/>
    <w:rsid w:val="000D3E1A"/>
    <w:rsid w:val="000D7097"/>
    <w:rsid w:val="000D7FBE"/>
    <w:rsid w:val="000E1F7F"/>
    <w:rsid w:val="000E25AA"/>
    <w:rsid w:val="000E2939"/>
    <w:rsid w:val="000E3FCB"/>
    <w:rsid w:val="000E4FDD"/>
    <w:rsid w:val="000E54C3"/>
    <w:rsid w:val="000E6E54"/>
    <w:rsid w:val="000E7C2E"/>
    <w:rsid w:val="000F30BD"/>
    <w:rsid w:val="001001D1"/>
    <w:rsid w:val="00102B63"/>
    <w:rsid w:val="0010753D"/>
    <w:rsid w:val="00112119"/>
    <w:rsid w:val="00122C2E"/>
    <w:rsid w:val="0012508E"/>
    <w:rsid w:val="0012665B"/>
    <w:rsid w:val="001275F0"/>
    <w:rsid w:val="00131FDC"/>
    <w:rsid w:val="00133E83"/>
    <w:rsid w:val="0013416F"/>
    <w:rsid w:val="001347C9"/>
    <w:rsid w:val="001370C7"/>
    <w:rsid w:val="00140051"/>
    <w:rsid w:val="00142298"/>
    <w:rsid w:val="00152E1F"/>
    <w:rsid w:val="001615C2"/>
    <w:rsid w:val="00170251"/>
    <w:rsid w:val="00181980"/>
    <w:rsid w:val="00186445"/>
    <w:rsid w:val="001931BA"/>
    <w:rsid w:val="001970D7"/>
    <w:rsid w:val="001A1487"/>
    <w:rsid w:val="001A156D"/>
    <w:rsid w:val="001A2EA1"/>
    <w:rsid w:val="001A6665"/>
    <w:rsid w:val="001B05AB"/>
    <w:rsid w:val="001C40C8"/>
    <w:rsid w:val="001C4AB6"/>
    <w:rsid w:val="001C5FC3"/>
    <w:rsid w:val="001C6C13"/>
    <w:rsid w:val="001C7316"/>
    <w:rsid w:val="001D2C4A"/>
    <w:rsid w:val="001D6CC8"/>
    <w:rsid w:val="001D758F"/>
    <w:rsid w:val="001E0FA8"/>
    <w:rsid w:val="001E196A"/>
    <w:rsid w:val="00201476"/>
    <w:rsid w:val="002216B6"/>
    <w:rsid w:val="0022178D"/>
    <w:rsid w:val="00224535"/>
    <w:rsid w:val="00226268"/>
    <w:rsid w:val="0024214E"/>
    <w:rsid w:val="00245832"/>
    <w:rsid w:val="00251F8A"/>
    <w:rsid w:val="002538D4"/>
    <w:rsid w:val="0025390B"/>
    <w:rsid w:val="00254C7E"/>
    <w:rsid w:val="002611C1"/>
    <w:rsid w:val="00265017"/>
    <w:rsid w:val="0026683A"/>
    <w:rsid w:val="00273A1A"/>
    <w:rsid w:val="00273C7A"/>
    <w:rsid w:val="002754DA"/>
    <w:rsid w:val="00275506"/>
    <w:rsid w:val="002824D6"/>
    <w:rsid w:val="00286415"/>
    <w:rsid w:val="002A1E13"/>
    <w:rsid w:val="002A38D8"/>
    <w:rsid w:val="002B62C1"/>
    <w:rsid w:val="002C4262"/>
    <w:rsid w:val="002C7187"/>
    <w:rsid w:val="002D20F5"/>
    <w:rsid w:val="002E1FC3"/>
    <w:rsid w:val="002E3E60"/>
    <w:rsid w:val="002E473B"/>
    <w:rsid w:val="002E78DC"/>
    <w:rsid w:val="002F76E8"/>
    <w:rsid w:val="0030618C"/>
    <w:rsid w:val="00307457"/>
    <w:rsid w:val="0031188A"/>
    <w:rsid w:val="00316B3A"/>
    <w:rsid w:val="00320BA8"/>
    <w:rsid w:val="0032212B"/>
    <w:rsid w:val="003222D9"/>
    <w:rsid w:val="00322B03"/>
    <w:rsid w:val="003304A8"/>
    <w:rsid w:val="0033109A"/>
    <w:rsid w:val="00333313"/>
    <w:rsid w:val="0033559B"/>
    <w:rsid w:val="00342C78"/>
    <w:rsid w:val="00343C9A"/>
    <w:rsid w:val="0034499C"/>
    <w:rsid w:val="0034709F"/>
    <w:rsid w:val="0035091B"/>
    <w:rsid w:val="003528CA"/>
    <w:rsid w:val="0035557A"/>
    <w:rsid w:val="0036193A"/>
    <w:rsid w:val="00371ACE"/>
    <w:rsid w:val="00373ACB"/>
    <w:rsid w:val="0037705A"/>
    <w:rsid w:val="003806E6"/>
    <w:rsid w:val="00395CE1"/>
    <w:rsid w:val="003A23D8"/>
    <w:rsid w:val="003A46B0"/>
    <w:rsid w:val="003B4C6D"/>
    <w:rsid w:val="003B595D"/>
    <w:rsid w:val="003C08EF"/>
    <w:rsid w:val="003C6DF3"/>
    <w:rsid w:val="003D3755"/>
    <w:rsid w:val="003D5BB0"/>
    <w:rsid w:val="003D600F"/>
    <w:rsid w:val="003E10E3"/>
    <w:rsid w:val="003E17A4"/>
    <w:rsid w:val="003E41DA"/>
    <w:rsid w:val="003E74D6"/>
    <w:rsid w:val="003E7AA0"/>
    <w:rsid w:val="003F43BD"/>
    <w:rsid w:val="003F5C71"/>
    <w:rsid w:val="004000CF"/>
    <w:rsid w:val="004000EC"/>
    <w:rsid w:val="0040021A"/>
    <w:rsid w:val="0040591F"/>
    <w:rsid w:val="00406881"/>
    <w:rsid w:val="004112F3"/>
    <w:rsid w:val="004120DC"/>
    <w:rsid w:val="00413F14"/>
    <w:rsid w:val="00415244"/>
    <w:rsid w:val="00415EE9"/>
    <w:rsid w:val="0041737A"/>
    <w:rsid w:val="00417E45"/>
    <w:rsid w:val="004204BE"/>
    <w:rsid w:val="004211E7"/>
    <w:rsid w:val="00421409"/>
    <w:rsid w:val="00423811"/>
    <w:rsid w:val="0042625F"/>
    <w:rsid w:val="00431CAA"/>
    <w:rsid w:val="00432406"/>
    <w:rsid w:val="004340B4"/>
    <w:rsid w:val="004355B4"/>
    <w:rsid w:val="0044105C"/>
    <w:rsid w:val="0044263A"/>
    <w:rsid w:val="00445514"/>
    <w:rsid w:val="00446CD9"/>
    <w:rsid w:val="0045078F"/>
    <w:rsid w:val="00452446"/>
    <w:rsid w:val="00454064"/>
    <w:rsid w:val="00454F98"/>
    <w:rsid w:val="004555FD"/>
    <w:rsid w:val="00460066"/>
    <w:rsid w:val="00460500"/>
    <w:rsid w:val="0047103A"/>
    <w:rsid w:val="00471679"/>
    <w:rsid w:val="004743FA"/>
    <w:rsid w:val="00475BF0"/>
    <w:rsid w:val="00484974"/>
    <w:rsid w:val="00487519"/>
    <w:rsid w:val="00490D4B"/>
    <w:rsid w:val="0049129C"/>
    <w:rsid w:val="00496121"/>
    <w:rsid w:val="0049687C"/>
    <w:rsid w:val="004A16C0"/>
    <w:rsid w:val="004A29C6"/>
    <w:rsid w:val="004A2A23"/>
    <w:rsid w:val="004A2FF7"/>
    <w:rsid w:val="004A5BA6"/>
    <w:rsid w:val="004A64CC"/>
    <w:rsid w:val="004A7635"/>
    <w:rsid w:val="004B615C"/>
    <w:rsid w:val="004B6CBF"/>
    <w:rsid w:val="004C1D5F"/>
    <w:rsid w:val="004C3A96"/>
    <w:rsid w:val="004C3C1F"/>
    <w:rsid w:val="004C3D34"/>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049C1"/>
    <w:rsid w:val="0052178D"/>
    <w:rsid w:val="00521DE5"/>
    <w:rsid w:val="005250CD"/>
    <w:rsid w:val="0053081B"/>
    <w:rsid w:val="0053472E"/>
    <w:rsid w:val="005416A0"/>
    <w:rsid w:val="005453FC"/>
    <w:rsid w:val="00553571"/>
    <w:rsid w:val="00557BB8"/>
    <w:rsid w:val="005607E7"/>
    <w:rsid w:val="00562D3A"/>
    <w:rsid w:val="005631F9"/>
    <w:rsid w:val="005636AB"/>
    <w:rsid w:val="00574BC7"/>
    <w:rsid w:val="00576752"/>
    <w:rsid w:val="00581F51"/>
    <w:rsid w:val="00583639"/>
    <w:rsid w:val="00593F5E"/>
    <w:rsid w:val="005A4835"/>
    <w:rsid w:val="005A6724"/>
    <w:rsid w:val="005B0D90"/>
    <w:rsid w:val="005B30BE"/>
    <w:rsid w:val="005B4218"/>
    <w:rsid w:val="005C13E4"/>
    <w:rsid w:val="005C17DB"/>
    <w:rsid w:val="005C2F28"/>
    <w:rsid w:val="005C6342"/>
    <w:rsid w:val="005C7459"/>
    <w:rsid w:val="005D72E7"/>
    <w:rsid w:val="005E00B5"/>
    <w:rsid w:val="005E3B35"/>
    <w:rsid w:val="005E616B"/>
    <w:rsid w:val="005E67B1"/>
    <w:rsid w:val="005E7167"/>
    <w:rsid w:val="005F18E0"/>
    <w:rsid w:val="006054F3"/>
    <w:rsid w:val="00605671"/>
    <w:rsid w:val="00614CD9"/>
    <w:rsid w:val="0061568A"/>
    <w:rsid w:val="00617252"/>
    <w:rsid w:val="0061779C"/>
    <w:rsid w:val="0062009E"/>
    <w:rsid w:val="006224BF"/>
    <w:rsid w:val="006232B4"/>
    <w:rsid w:val="00630F20"/>
    <w:rsid w:val="00631ED2"/>
    <w:rsid w:val="00634371"/>
    <w:rsid w:val="00635CB5"/>
    <w:rsid w:val="00636D11"/>
    <w:rsid w:val="00640B97"/>
    <w:rsid w:val="00642120"/>
    <w:rsid w:val="00650A46"/>
    <w:rsid w:val="0065191D"/>
    <w:rsid w:val="00655B2A"/>
    <w:rsid w:val="006618EF"/>
    <w:rsid w:val="00663E07"/>
    <w:rsid w:val="00664C7C"/>
    <w:rsid w:val="00672071"/>
    <w:rsid w:val="006741BB"/>
    <w:rsid w:val="00675948"/>
    <w:rsid w:val="00677514"/>
    <w:rsid w:val="00677926"/>
    <w:rsid w:val="00680706"/>
    <w:rsid w:val="00683FEC"/>
    <w:rsid w:val="00684080"/>
    <w:rsid w:val="006849D8"/>
    <w:rsid w:val="00687666"/>
    <w:rsid w:val="0069743A"/>
    <w:rsid w:val="00697EB2"/>
    <w:rsid w:val="006A0AF5"/>
    <w:rsid w:val="006A4259"/>
    <w:rsid w:val="006A45E8"/>
    <w:rsid w:val="006A6733"/>
    <w:rsid w:val="006A75B5"/>
    <w:rsid w:val="006A7DDF"/>
    <w:rsid w:val="006B0BB4"/>
    <w:rsid w:val="006B37C4"/>
    <w:rsid w:val="006B4180"/>
    <w:rsid w:val="006B4A95"/>
    <w:rsid w:val="006B4FC9"/>
    <w:rsid w:val="006B5390"/>
    <w:rsid w:val="006C17D8"/>
    <w:rsid w:val="006C3F12"/>
    <w:rsid w:val="006C6CD2"/>
    <w:rsid w:val="006C7167"/>
    <w:rsid w:val="006C7C6F"/>
    <w:rsid w:val="006D2D36"/>
    <w:rsid w:val="006E1EDA"/>
    <w:rsid w:val="006E2FDE"/>
    <w:rsid w:val="006E4808"/>
    <w:rsid w:val="006E7627"/>
    <w:rsid w:val="006F2A68"/>
    <w:rsid w:val="006F54E1"/>
    <w:rsid w:val="006F787A"/>
    <w:rsid w:val="006F7A08"/>
    <w:rsid w:val="00700FF2"/>
    <w:rsid w:val="007035D6"/>
    <w:rsid w:val="0070545A"/>
    <w:rsid w:val="00715FE6"/>
    <w:rsid w:val="00716074"/>
    <w:rsid w:val="00716DEE"/>
    <w:rsid w:val="00720039"/>
    <w:rsid w:val="00722104"/>
    <w:rsid w:val="00722F74"/>
    <w:rsid w:val="00726659"/>
    <w:rsid w:val="007270FE"/>
    <w:rsid w:val="0073144C"/>
    <w:rsid w:val="007373EA"/>
    <w:rsid w:val="00742B64"/>
    <w:rsid w:val="00743F56"/>
    <w:rsid w:val="00746DE0"/>
    <w:rsid w:val="00751097"/>
    <w:rsid w:val="00752BF0"/>
    <w:rsid w:val="007550E1"/>
    <w:rsid w:val="00757461"/>
    <w:rsid w:val="00757602"/>
    <w:rsid w:val="0076254E"/>
    <w:rsid w:val="00765B73"/>
    <w:rsid w:val="0076748E"/>
    <w:rsid w:val="00772CD8"/>
    <w:rsid w:val="0078071F"/>
    <w:rsid w:val="00782DC3"/>
    <w:rsid w:val="00785BE6"/>
    <w:rsid w:val="00790C75"/>
    <w:rsid w:val="00790D9E"/>
    <w:rsid w:val="0079279C"/>
    <w:rsid w:val="0079677A"/>
    <w:rsid w:val="007A1FF2"/>
    <w:rsid w:val="007A3993"/>
    <w:rsid w:val="007A412F"/>
    <w:rsid w:val="007A422E"/>
    <w:rsid w:val="007A74CA"/>
    <w:rsid w:val="007B6045"/>
    <w:rsid w:val="007B6E20"/>
    <w:rsid w:val="007B7B5B"/>
    <w:rsid w:val="007C0430"/>
    <w:rsid w:val="007C0B21"/>
    <w:rsid w:val="007C1804"/>
    <w:rsid w:val="007C57AA"/>
    <w:rsid w:val="007D32F5"/>
    <w:rsid w:val="007D4EE6"/>
    <w:rsid w:val="007D726F"/>
    <w:rsid w:val="007D73DF"/>
    <w:rsid w:val="007F0616"/>
    <w:rsid w:val="007F2C5E"/>
    <w:rsid w:val="007F78B5"/>
    <w:rsid w:val="008035CC"/>
    <w:rsid w:val="00810454"/>
    <w:rsid w:val="00810700"/>
    <w:rsid w:val="00810C8E"/>
    <w:rsid w:val="008159FF"/>
    <w:rsid w:val="008162C9"/>
    <w:rsid w:val="008301CC"/>
    <w:rsid w:val="008314E8"/>
    <w:rsid w:val="0083592B"/>
    <w:rsid w:val="0083794C"/>
    <w:rsid w:val="0084017A"/>
    <w:rsid w:val="00841A08"/>
    <w:rsid w:val="008502EE"/>
    <w:rsid w:val="00852A6C"/>
    <w:rsid w:val="00855A13"/>
    <w:rsid w:val="0085655A"/>
    <w:rsid w:val="0086107A"/>
    <w:rsid w:val="00865BFB"/>
    <w:rsid w:val="00874201"/>
    <w:rsid w:val="0087771D"/>
    <w:rsid w:val="00882967"/>
    <w:rsid w:val="008850E3"/>
    <w:rsid w:val="00894C01"/>
    <w:rsid w:val="008958F0"/>
    <w:rsid w:val="0089789F"/>
    <w:rsid w:val="0089792E"/>
    <w:rsid w:val="008A2722"/>
    <w:rsid w:val="008A28E9"/>
    <w:rsid w:val="008A638E"/>
    <w:rsid w:val="008B2BAF"/>
    <w:rsid w:val="008C0451"/>
    <w:rsid w:val="008C2526"/>
    <w:rsid w:val="008C5B96"/>
    <w:rsid w:val="008C7D26"/>
    <w:rsid w:val="008D03EF"/>
    <w:rsid w:val="008E0EC9"/>
    <w:rsid w:val="008E3201"/>
    <w:rsid w:val="008E367E"/>
    <w:rsid w:val="008E36CB"/>
    <w:rsid w:val="008E73A8"/>
    <w:rsid w:val="00902390"/>
    <w:rsid w:val="00904CD2"/>
    <w:rsid w:val="00904EEA"/>
    <w:rsid w:val="00906581"/>
    <w:rsid w:val="00911822"/>
    <w:rsid w:val="00921766"/>
    <w:rsid w:val="00923E55"/>
    <w:rsid w:val="0092503F"/>
    <w:rsid w:val="00927A15"/>
    <w:rsid w:val="00930066"/>
    <w:rsid w:val="00934563"/>
    <w:rsid w:val="00937C57"/>
    <w:rsid w:val="00940601"/>
    <w:rsid w:val="009422A0"/>
    <w:rsid w:val="00943E80"/>
    <w:rsid w:val="00947DE7"/>
    <w:rsid w:val="00954A48"/>
    <w:rsid w:val="00955412"/>
    <w:rsid w:val="00955564"/>
    <w:rsid w:val="00955AC8"/>
    <w:rsid w:val="009572D1"/>
    <w:rsid w:val="00961D71"/>
    <w:rsid w:val="0096403F"/>
    <w:rsid w:val="00974306"/>
    <w:rsid w:val="0099490C"/>
    <w:rsid w:val="009B32ED"/>
    <w:rsid w:val="009B61A8"/>
    <w:rsid w:val="009C2916"/>
    <w:rsid w:val="009C2B9E"/>
    <w:rsid w:val="009C4589"/>
    <w:rsid w:val="009C519A"/>
    <w:rsid w:val="009C5B73"/>
    <w:rsid w:val="009D50CE"/>
    <w:rsid w:val="009E2AAC"/>
    <w:rsid w:val="009E7FC2"/>
    <w:rsid w:val="009F01BD"/>
    <w:rsid w:val="009F2FC1"/>
    <w:rsid w:val="009F35FF"/>
    <w:rsid w:val="009F61AB"/>
    <w:rsid w:val="009F6A72"/>
    <w:rsid w:val="00A0666F"/>
    <w:rsid w:val="00A07425"/>
    <w:rsid w:val="00A10AE2"/>
    <w:rsid w:val="00A10FBC"/>
    <w:rsid w:val="00A11C70"/>
    <w:rsid w:val="00A141C3"/>
    <w:rsid w:val="00A14F70"/>
    <w:rsid w:val="00A17F89"/>
    <w:rsid w:val="00A22051"/>
    <w:rsid w:val="00A227D9"/>
    <w:rsid w:val="00A308E0"/>
    <w:rsid w:val="00A37976"/>
    <w:rsid w:val="00A42C95"/>
    <w:rsid w:val="00A53F3B"/>
    <w:rsid w:val="00A658E8"/>
    <w:rsid w:val="00A6616F"/>
    <w:rsid w:val="00A66F20"/>
    <w:rsid w:val="00A67BA5"/>
    <w:rsid w:val="00A701D9"/>
    <w:rsid w:val="00A71DAC"/>
    <w:rsid w:val="00A71F31"/>
    <w:rsid w:val="00A730D6"/>
    <w:rsid w:val="00A77084"/>
    <w:rsid w:val="00A8012E"/>
    <w:rsid w:val="00A82368"/>
    <w:rsid w:val="00A87C1B"/>
    <w:rsid w:val="00A9239A"/>
    <w:rsid w:val="00A93848"/>
    <w:rsid w:val="00AA06AC"/>
    <w:rsid w:val="00AA604D"/>
    <w:rsid w:val="00AB116A"/>
    <w:rsid w:val="00AB3458"/>
    <w:rsid w:val="00AB7FCA"/>
    <w:rsid w:val="00AC24C7"/>
    <w:rsid w:val="00AC447F"/>
    <w:rsid w:val="00AC5875"/>
    <w:rsid w:val="00AC6EF5"/>
    <w:rsid w:val="00AC7B1B"/>
    <w:rsid w:val="00AD5076"/>
    <w:rsid w:val="00AE2F39"/>
    <w:rsid w:val="00AE4A4F"/>
    <w:rsid w:val="00AF36BF"/>
    <w:rsid w:val="00B005C1"/>
    <w:rsid w:val="00B0106C"/>
    <w:rsid w:val="00B12F53"/>
    <w:rsid w:val="00B173CC"/>
    <w:rsid w:val="00B17AF7"/>
    <w:rsid w:val="00B218F8"/>
    <w:rsid w:val="00B255CC"/>
    <w:rsid w:val="00B273CF"/>
    <w:rsid w:val="00B36314"/>
    <w:rsid w:val="00B40E34"/>
    <w:rsid w:val="00B459E4"/>
    <w:rsid w:val="00B620DE"/>
    <w:rsid w:val="00B62BCF"/>
    <w:rsid w:val="00B73BAE"/>
    <w:rsid w:val="00B770FF"/>
    <w:rsid w:val="00B8400A"/>
    <w:rsid w:val="00B84C6D"/>
    <w:rsid w:val="00B870A0"/>
    <w:rsid w:val="00B87DA4"/>
    <w:rsid w:val="00B92282"/>
    <w:rsid w:val="00BA62F1"/>
    <w:rsid w:val="00BB2A40"/>
    <w:rsid w:val="00BB6FFF"/>
    <w:rsid w:val="00BB7FEE"/>
    <w:rsid w:val="00BC2E38"/>
    <w:rsid w:val="00BC52F1"/>
    <w:rsid w:val="00BC636B"/>
    <w:rsid w:val="00BC76FB"/>
    <w:rsid w:val="00BD0B5B"/>
    <w:rsid w:val="00BD1625"/>
    <w:rsid w:val="00BD3450"/>
    <w:rsid w:val="00BD51F7"/>
    <w:rsid w:val="00BD57BF"/>
    <w:rsid w:val="00BD767A"/>
    <w:rsid w:val="00BE03B7"/>
    <w:rsid w:val="00BE37D5"/>
    <w:rsid w:val="00BF0887"/>
    <w:rsid w:val="00BF1507"/>
    <w:rsid w:val="00BF233D"/>
    <w:rsid w:val="00BF580C"/>
    <w:rsid w:val="00BF6122"/>
    <w:rsid w:val="00BF78AB"/>
    <w:rsid w:val="00BF7CD7"/>
    <w:rsid w:val="00C04093"/>
    <w:rsid w:val="00C04B09"/>
    <w:rsid w:val="00C0712A"/>
    <w:rsid w:val="00C07231"/>
    <w:rsid w:val="00C12200"/>
    <w:rsid w:val="00C14B1A"/>
    <w:rsid w:val="00C14DD4"/>
    <w:rsid w:val="00C17A30"/>
    <w:rsid w:val="00C3141F"/>
    <w:rsid w:val="00C3406E"/>
    <w:rsid w:val="00C34AA6"/>
    <w:rsid w:val="00C47162"/>
    <w:rsid w:val="00C507B6"/>
    <w:rsid w:val="00C53230"/>
    <w:rsid w:val="00C54AB4"/>
    <w:rsid w:val="00C55FF6"/>
    <w:rsid w:val="00C6067A"/>
    <w:rsid w:val="00C62685"/>
    <w:rsid w:val="00C62865"/>
    <w:rsid w:val="00C64D02"/>
    <w:rsid w:val="00C65C15"/>
    <w:rsid w:val="00C71044"/>
    <w:rsid w:val="00C71F87"/>
    <w:rsid w:val="00C85F20"/>
    <w:rsid w:val="00C90BBE"/>
    <w:rsid w:val="00C918F0"/>
    <w:rsid w:val="00C9259B"/>
    <w:rsid w:val="00C92AFF"/>
    <w:rsid w:val="00C96BD2"/>
    <w:rsid w:val="00CA174A"/>
    <w:rsid w:val="00CA212F"/>
    <w:rsid w:val="00CA223C"/>
    <w:rsid w:val="00CA4292"/>
    <w:rsid w:val="00CA5A90"/>
    <w:rsid w:val="00CB0CE1"/>
    <w:rsid w:val="00CB494E"/>
    <w:rsid w:val="00CC0B84"/>
    <w:rsid w:val="00CC2D58"/>
    <w:rsid w:val="00CC2E3C"/>
    <w:rsid w:val="00CC4453"/>
    <w:rsid w:val="00CC51BE"/>
    <w:rsid w:val="00CC7FEC"/>
    <w:rsid w:val="00CD1C6B"/>
    <w:rsid w:val="00CD6719"/>
    <w:rsid w:val="00CD6F99"/>
    <w:rsid w:val="00CE1D30"/>
    <w:rsid w:val="00CE1F5F"/>
    <w:rsid w:val="00CE64CC"/>
    <w:rsid w:val="00CF2093"/>
    <w:rsid w:val="00CF4B69"/>
    <w:rsid w:val="00CF535A"/>
    <w:rsid w:val="00D10BBD"/>
    <w:rsid w:val="00D11E24"/>
    <w:rsid w:val="00D16977"/>
    <w:rsid w:val="00D21193"/>
    <w:rsid w:val="00D22FCB"/>
    <w:rsid w:val="00D2317F"/>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337B"/>
    <w:rsid w:val="00D63B12"/>
    <w:rsid w:val="00D65098"/>
    <w:rsid w:val="00D674E0"/>
    <w:rsid w:val="00D714B8"/>
    <w:rsid w:val="00D7540C"/>
    <w:rsid w:val="00D909F6"/>
    <w:rsid w:val="00D91151"/>
    <w:rsid w:val="00D95F22"/>
    <w:rsid w:val="00DA1151"/>
    <w:rsid w:val="00DA1B2B"/>
    <w:rsid w:val="00DB13CF"/>
    <w:rsid w:val="00DB2F3B"/>
    <w:rsid w:val="00DB7031"/>
    <w:rsid w:val="00DC4F86"/>
    <w:rsid w:val="00DC5139"/>
    <w:rsid w:val="00DD4EE1"/>
    <w:rsid w:val="00DD6D56"/>
    <w:rsid w:val="00DF0302"/>
    <w:rsid w:val="00DF1462"/>
    <w:rsid w:val="00DF2216"/>
    <w:rsid w:val="00DF70B1"/>
    <w:rsid w:val="00DF712A"/>
    <w:rsid w:val="00E06B57"/>
    <w:rsid w:val="00E14861"/>
    <w:rsid w:val="00E15FFA"/>
    <w:rsid w:val="00E2758D"/>
    <w:rsid w:val="00E42B5A"/>
    <w:rsid w:val="00E4409A"/>
    <w:rsid w:val="00E44F20"/>
    <w:rsid w:val="00E52872"/>
    <w:rsid w:val="00E5473A"/>
    <w:rsid w:val="00E61DBD"/>
    <w:rsid w:val="00E64D00"/>
    <w:rsid w:val="00E65288"/>
    <w:rsid w:val="00E6593F"/>
    <w:rsid w:val="00E703DD"/>
    <w:rsid w:val="00E71BEA"/>
    <w:rsid w:val="00E726F2"/>
    <w:rsid w:val="00E72D0F"/>
    <w:rsid w:val="00E73874"/>
    <w:rsid w:val="00E7431C"/>
    <w:rsid w:val="00E80852"/>
    <w:rsid w:val="00E81B00"/>
    <w:rsid w:val="00E93617"/>
    <w:rsid w:val="00E9389D"/>
    <w:rsid w:val="00E967BF"/>
    <w:rsid w:val="00EB059B"/>
    <w:rsid w:val="00EB1A5D"/>
    <w:rsid w:val="00EB2FD0"/>
    <w:rsid w:val="00EB4F2E"/>
    <w:rsid w:val="00EB5C4C"/>
    <w:rsid w:val="00EC16B8"/>
    <w:rsid w:val="00EC18C0"/>
    <w:rsid w:val="00EC1EE7"/>
    <w:rsid w:val="00ED1044"/>
    <w:rsid w:val="00ED143F"/>
    <w:rsid w:val="00ED2D71"/>
    <w:rsid w:val="00ED50FD"/>
    <w:rsid w:val="00ED57D8"/>
    <w:rsid w:val="00EE3056"/>
    <w:rsid w:val="00EE528E"/>
    <w:rsid w:val="00EE70B6"/>
    <w:rsid w:val="00EF1C64"/>
    <w:rsid w:val="00EF2407"/>
    <w:rsid w:val="00EF62F1"/>
    <w:rsid w:val="00F01A87"/>
    <w:rsid w:val="00F053B0"/>
    <w:rsid w:val="00F1281D"/>
    <w:rsid w:val="00F1368B"/>
    <w:rsid w:val="00F1482B"/>
    <w:rsid w:val="00F22ACA"/>
    <w:rsid w:val="00F23055"/>
    <w:rsid w:val="00F23AB6"/>
    <w:rsid w:val="00F26D66"/>
    <w:rsid w:val="00F3309B"/>
    <w:rsid w:val="00F34B86"/>
    <w:rsid w:val="00F3616C"/>
    <w:rsid w:val="00F45347"/>
    <w:rsid w:val="00F6069E"/>
    <w:rsid w:val="00F6207C"/>
    <w:rsid w:val="00F6318D"/>
    <w:rsid w:val="00F67F6D"/>
    <w:rsid w:val="00F72FE7"/>
    <w:rsid w:val="00F732C8"/>
    <w:rsid w:val="00F74BB7"/>
    <w:rsid w:val="00F768F9"/>
    <w:rsid w:val="00F80BB9"/>
    <w:rsid w:val="00F810E4"/>
    <w:rsid w:val="00F8576B"/>
    <w:rsid w:val="00F85A27"/>
    <w:rsid w:val="00F87401"/>
    <w:rsid w:val="00F87D85"/>
    <w:rsid w:val="00F952EE"/>
    <w:rsid w:val="00F97209"/>
    <w:rsid w:val="00F97644"/>
    <w:rsid w:val="00F978B2"/>
    <w:rsid w:val="00FA1FFE"/>
    <w:rsid w:val="00FA7979"/>
    <w:rsid w:val="00FA7F55"/>
    <w:rsid w:val="00FB27A7"/>
    <w:rsid w:val="00FC0A70"/>
    <w:rsid w:val="00FC4D18"/>
    <w:rsid w:val="00FC4EDD"/>
    <w:rsid w:val="00FC7F75"/>
    <w:rsid w:val="00FD0E6D"/>
    <w:rsid w:val="00FD3CF5"/>
    <w:rsid w:val="00FD516D"/>
    <w:rsid w:val="00FE1699"/>
    <w:rsid w:val="00FE3053"/>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E612D3C"/>
  <w15:chartTrackingRefBased/>
  <w15:docId w15:val="{E58D4C75-BA10-4FE3-90C6-845EBAA9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2754DA"/>
    <w:rPr>
      <w:color w:val="800080"/>
      <w:u w:val="single"/>
    </w:rPr>
  </w:style>
  <w:style w:type="character" w:styleId="a9">
    <w:name w:val="Unresolved Mention"/>
    <w:uiPriority w:val="99"/>
    <w:semiHidden/>
    <w:unhideWhenUsed/>
    <w:rsid w:val="00E15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vo.co.il/Law_word/law06/tak-8904.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8904.pdf" TargetMode="External"/><Relationship Id="rId1" Type="http://schemas.openxmlformats.org/officeDocument/2006/relationships/hyperlink" Target="http://www.nevo.co.il/Law_word/law06/tak-76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5614</CharactersWithSpaces>
  <SharedDoc>false</SharedDoc>
  <HLinks>
    <vt:vector size="48" baseType="variant">
      <vt:variant>
        <vt:i4>393283</vt:i4>
      </vt:variant>
      <vt:variant>
        <vt:i4>27</vt:i4>
      </vt:variant>
      <vt:variant>
        <vt:i4>0</vt:i4>
      </vt:variant>
      <vt:variant>
        <vt:i4>5</vt:i4>
      </vt:variant>
      <vt:variant>
        <vt:lpwstr>http://www.nevo.co.il/advertisements/nevo-100.doc</vt:lpwstr>
      </vt:variant>
      <vt:variant>
        <vt:lpwstr/>
      </vt:variant>
      <vt:variant>
        <vt:i4>8060954</vt:i4>
      </vt:variant>
      <vt:variant>
        <vt:i4>24</vt:i4>
      </vt:variant>
      <vt:variant>
        <vt:i4>0</vt:i4>
      </vt:variant>
      <vt:variant>
        <vt:i4>5</vt:i4>
      </vt:variant>
      <vt:variant>
        <vt:lpwstr>https://www.nevo.co.il/Law_word/law06/tak-8904.pdf</vt:lpwstr>
      </vt:variant>
      <vt:variant>
        <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8060954</vt:i4>
      </vt:variant>
      <vt:variant>
        <vt:i4>3</vt:i4>
      </vt:variant>
      <vt:variant>
        <vt:i4>0</vt:i4>
      </vt:variant>
      <vt:variant>
        <vt:i4>5</vt:i4>
      </vt:variant>
      <vt:variant>
        <vt:lpwstr>https://www.nevo.co.il/law_word/law06/tak-8904.pdf</vt:lpwstr>
      </vt:variant>
      <vt:variant>
        <vt:lpwstr/>
      </vt:variant>
      <vt:variant>
        <vt:i4>7995402</vt:i4>
      </vt:variant>
      <vt:variant>
        <vt:i4>0</vt:i4>
      </vt:variant>
      <vt:variant>
        <vt:i4>0</vt:i4>
      </vt:variant>
      <vt:variant>
        <vt:i4>5</vt:i4>
      </vt:variant>
      <vt:variant>
        <vt:lpwstr>http://www.nevo.co.il/Law_word/law06/tak-7644.pdf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ניירות ערך (דוחות תאגיד שמניותיו כלולות במדד ת"א טק-עילית), תשע"ו-2016</vt:lpwstr>
  </property>
  <property fmtid="{D5CDD505-2E9C-101B-9397-08002B2CF9AE}" pid="4" name="LAWNUMBER">
    <vt:lpwstr>0385</vt:lpwstr>
  </property>
  <property fmtid="{D5CDD505-2E9C-101B-9397-08002B2CF9AE}" pid="5" name="TYPE">
    <vt:lpwstr>01</vt:lpwstr>
  </property>
  <property fmtid="{D5CDD505-2E9C-101B-9397-08002B2CF9AE}" pid="6" name="LINKK4">
    <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_samchut">
    <vt:lpwstr/>
  </property>
  <property fmtid="{D5CDD505-2E9C-101B-9397-08002B2CF9AE}" pid="19" name="MEKORSAMCHUT">
    <vt:lpwstr/>
  </property>
  <property fmtid="{D5CDD505-2E9C-101B-9397-08002B2CF9AE}" pid="20" name="CHNAME">
    <vt:lpwstr>ניירות ערך</vt:lpwstr>
  </property>
  <property fmtid="{D5CDD505-2E9C-101B-9397-08002B2CF9AE}" pid="21" name="MEKOR_NAME1">
    <vt:lpwstr>חוק ניירות ערך</vt:lpwstr>
  </property>
  <property fmtid="{D5CDD505-2E9C-101B-9397-08002B2CF9AE}" pid="22" name="MEKOR_SAIF1">
    <vt:lpwstr>17X;36X</vt:lpwstr>
  </property>
  <property fmtid="{D5CDD505-2E9C-101B-9397-08002B2CF9AE}" pid="23" name="NOSE11">
    <vt:lpwstr>משפט פרטי וכלכלה</vt:lpwstr>
  </property>
  <property fmtid="{D5CDD505-2E9C-101B-9397-08002B2CF9AE}" pid="24" name="NOSE21">
    <vt:lpwstr>תאגידים וניירות ערך</vt:lpwstr>
  </property>
  <property fmtid="{D5CDD505-2E9C-101B-9397-08002B2CF9AE}" pid="25" name="NOSE31">
    <vt:lpwstr>ניירות ערך</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כספים</vt:lpwstr>
  </property>
  <property fmtid="{D5CDD505-2E9C-101B-9397-08002B2CF9AE}" pid="29" name="NOSE32">
    <vt:lpwstr>בנקאות</vt:lpwstr>
  </property>
  <property fmtid="{D5CDD505-2E9C-101B-9397-08002B2CF9AE}" pid="30" name="NOSE42">
    <vt:lpwstr>ניירות ערך</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http://www.nevo.co.il/Law_word/law06/tak-7644.pdf;‎רשומות - תקנות כלליות#פורסמו ק"ת תשע"ו מס' ‏‏7644 #מיום 10.4.2016 עמ' 982‏</vt:lpwstr>
  </property>
  <property fmtid="{D5CDD505-2E9C-101B-9397-08002B2CF9AE}" pid="64" name="LINKK2">
    <vt:lpwstr>https://www.nevo.co.il/law_word/law06/tak-8904.pdf‏;רשומות - תקנות כלליות#תוקנו ק"ת תשפ"א מס' ‏‏8904 #מיום 17.11.2020 עמ' 483 – תק' תשפ"א-2020; תחילתן ביום 17.2.2021‏</vt:lpwstr>
  </property>
  <property fmtid="{D5CDD505-2E9C-101B-9397-08002B2CF9AE}" pid="65" name="LINKK3">
    <vt:lpwstr/>
  </property>
</Properties>
</file>