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18B3A" w14:textId="77777777" w:rsidR="00D25D5C" w:rsidRDefault="00B10A5F" w:rsidP="00C97C92">
      <w:pPr>
        <w:pStyle w:val="big-header"/>
        <w:ind w:left="0" w:right="1134"/>
        <w:rPr>
          <w:rFonts w:cs="FrankRuehl" w:hint="cs"/>
          <w:sz w:val="32"/>
          <w:rtl/>
        </w:rPr>
      </w:pPr>
      <w:r>
        <w:rPr>
          <w:rFonts w:cs="FrankRuehl" w:hint="cs"/>
          <w:sz w:val="32"/>
          <w:rtl/>
        </w:rPr>
        <w:t>תקנות ניירות ערך (הפחתה של סכומי עיצום כספי</w:t>
      </w:r>
      <w:r w:rsidR="00C97C92">
        <w:rPr>
          <w:rFonts w:cs="FrankRuehl" w:hint="cs"/>
          <w:sz w:val="32"/>
          <w:rtl/>
        </w:rPr>
        <w:t>), תשע"א-2011</w:t>
      </w:r>
    </w:p>
    <w:p w14:paraId="4C97172C" w14:textId="77777777" w:rsidR="00B10A5F" w:rsidRPr="00B10A5F" w:rsidRDefault="00B10A5F" w:rsidP="00B10A5F">
      <w:pPr>
        <w:spacing w:line="320" w:lineRule="auto"/>
        <w:jc w:val="left"/>
        <w:rPr>
          <w:rFonts w:cs="FrankRuehl"/>
          <w:szCs w:val="26"/>
          <w:rtl/>
        </w:rPr>
      </w:pPr>
    </w:p>
    <w:p w14:paraId="5B60CA6D" w14:textId="77777777" w:rsidR="00B10A5F" w:rsidRDefault="00B10A5F" w:rsidP="00B10A5F">
      <w:pPr>
        <w:spacing w:line="320" w:lineRule="auto"/>
        <w:jc w:val="left"/>
        <w:rPr>
          <w:rtl/>
        </w:rPr>
      </w:pPr>
    </w:p>
    <w:p w14:paraId="2B429077" w14:textId="77777777" w:rsidR="00B10A5F" w:rsidRDefault="00B10A5F" w:rsidP="00B10A5F">
      <w:pPr>
        <w:spacing w:line="320" w:lineRule="auto"/>
        <w:jc w:val="left"/>
        <w:rPr>
          <w:rFonts w:cs="Miriam"/>
          <w:szCs w:val="22"/>
        </w:rPr>
      </w:pPr>
      <w:r w:rsidRPr="00B10A5F">
        <w:rPr>
          <w:rFonts w:cs="Miriam"/>
          <w:szCs w:val="22"/>
          <w:rtl/>
        </w:rPr>
        <w:t>משפט פרטי וכלכלה</w:t>
      </w:r>
      <w:r w:rsidRPr="00B10A5F">
        <w:rPr>
          <w:rFonts w:cs="FrankRuehl"/>
          <w:szCs w:val="26"/>
        </w:rPr>
        <w:t xml:space="preserve"> – </w:t>
      </w:r>
      <w:r w:rsidRPr="00B10A5F">
        <w:rPr>
          <w:rFonts w:cs="FrankRuehl"/>
          <w:szCs w:val="26"/>
          <w:rtl/>
        </w:rPr>
        <w:t>תאגידים וניירות ערך</w:t>
      </w:r>
      <w:r w:rsidRPr="00B10A5F">
        <w:rPr>
          <w:rFonts w:cs="FrankRuehl"/>
          <w:szCs w:val="26"/>
        </w:rPr>
        <w:t xml:space="preserve"> – </w:t>
      </w:r>
      <w:r w:rsidRPr="00B10A5F">
        <w:rPr>
          <w:rFonts w:cs="FrankRuehl"/>
          <w:szCs w:val="26"/>
          <w:rtl/>
        </w:rPr>
        <w:t>ניירות ערך</w:t>
      </w:r>
    </w:p>
    <w:p w14:paraId="33ACE90B" w14:textId="77777777" w:rsidR="00B10A5F" w:rsidRPr="00B10A5F" w:rsidRDefault="00B10A5F" w:rsidP="00B10A5F">
      <w:pPr>
        <w:spacing w:line="320" w:lineRule="auto"/>
        <w:jc w:val="left"/>
        <w:rPr>
          <w:rFonts w:cs="Miriam"/>
          <w:szCs w:val="22"/>
        </w:rPr>
      </w:pPr>
      <w:r w:rsidRPr="00B10A5F">
        <w:rPr>
          <w:rFonts w:cs="Miriam"/>
          <w:szCs w:val="22"/>
          <w:rtl/>
        </w:rPr>
        <w:t>משפט פרטי וכלכלה</w:t>
      </w:r>
      <w:r w:rsidRPr="00B10A5F">
        <w:rPr>
          <w:rFonts w:cs="FrankRuehl"/>
          <w:szCs w:val="26"/>
        </w:rPr>
        <w:t xml:space="preserve"> – </w:t>
      </w:r>
      <w:r w:rsidRPr="00B10A5F">
        <w:rPr>
          <w:rFonts w:cs="FrankRuehl"/>
          <w:szCs w:val="26"/>
          <w:rtl/>
        </w:rPr>
        <w:t>כספים</w:t>
      </w:r>
      <w:r w:rsidRPr="00B10A5F">
        <w:rPr>
          <w:rFonts w:cs="FrankRuehl"/>
          <w:szCs w:val="26"/>
        </w:rPr>
        <w:t xml:space="preserve"> – </w:t>
      </w:r>
      <w:r w:rsidRPr="00B10A5F">
        <w:rPr>
          <w:rFonts w:cs="FrankRuehl"/>
          <w:szCs w:val="26"/>
          <w:rtl/>
        </w:rPr>
        <w:t>שוק ההון</w:t>
      </w:r>
    </w:p>
    <w:p w14:paraId="0B750D3C"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21F0B" w:rsidRPr="00121F0B" w14:paraId="497BE398" w14:textId="77777777" w:rsidTr="00121F0B">
        <w:tblPrEx>
          <w:tblCellMar>
            <w:top w:w="0" w:type="dxa"/>
            <w:bottom w:w="0" w:type="dxa"/>
          </w:tblCellMar>
        </w:tblPrEx>
        <w:tc>
          <w:tcPr>
            <w:tcW w:w="1247" w:type="dxa"/>
          </w:tcPr>
          <w:p w14:paraId="24898027" w14:textId="77777777" w:rsidR="00121F0B" w:rsidRPr="00121F0B" w:rsidRDefault="00121F0B" w:rsidP="00121F0B">
            <w:pPr>
              <w:spacing w:line="240" w:lineRule="auto"/>
              <w:jc w:val="left"/>
              <w:rPr>
                <w:rFonts w:cs="Frankruhel"/>
                <w:sz w:val="24"/>
                <w:rtl/>
              </w:rPr>
            </w:pPr>
            <w:r>
              <w:rPr>
                <w:rFonts w:cs="Times New Roman"/>
                <w:sz w:val="24"/>
                <w:rtl/>
              </w:rPr>
              <w:t xml:space="preserve">סעיף 1 </w:t>
            </w:r>
          </w:p>
        </w:tc>
        <w:tc>
          <w:tcPr>
            <w:tcW w:w="5669" w:type="dxa"/>
          </w:tcPr>
          <w:p w14:paraId="4A062B57" w14:textId="77777777" w:rsidR="00121F0B" w:rsidRPr="00121F0B" w:rsidRDefault="00121F0B" w:rsidP="00121F0B">
            <w:pPr>
              <w:spacing w:line="240" w:lineRule="auto"/>
              <w:jc w:val="left"/>
              <w:rPr>
                <w:rFonts w:cs="Frankruhel"/>
                <w:sz w:val="24"/>
                <w:rtl/>
              </w:rPr>
            </w:pPr>
            <w:r>
              <w:rPr>
                <w:rFonts w:cs="Times New Roman"/>
                <w:sz w:val="24"/>
                <w:rtl/>
              </w:rPr>
              <w:t>הגדרה</w:t>
            </w:r>
          </w:p>
        </w:tc>
        <w:tc>
          <w:tcPr>
            <w:tcW w:w="567" w:type="dxa"/>
          </w:tcPr>
          <w:p w14:paraId="69B973E8" w14:textId="77777777" w:rsidR="00121F0B" w:rsidRPr="00121F0B" w:rsidRDefault="00121F0B" w:rsidP="00121F0B">
            <w:pPr>
              <w:spacing w:line="240" w:lineRule="auto"/>
              <w:jc w:val="left"/>
              <w:rPr>
                <w:rStyle w:val="Hyperlink"/>
                <w:rtl/>
              </w:rPr>
            </w:pPr>
            <w:hyperlink w:anchor="Seif1" w:tooltip="הגדרה" w:history="1">
              <w:r w:rsidRPr="00121F0B">
                <w:rPr>
                  <w:rStyle w:val="Hyperlink"/>
                </w:rPr>
                <w:t>Go</w:t>
              </w:r>
            </w:hyperlink>
          </w:p>
        </w:tc>
        <w:tc>
          <w:tcPr>
            <w:tcW w:w="850" w:type="dxa"/>
          </w:tcPr>
          <w:p w14:paraId="0AA07A2E" w14:textId="77777777" w:rsidR="00121F0B" w:rsidRPr="00121F0B" w:rsidRDefault="00121F0B" w:rsidP="00121F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21F0B" w:rsidRPr="00121F0B" w14:paraId="5E8803AC" w14:textId="77777777" w:rsidTr="00121F0B">
        <w:tblPrEx>
          <w:tblCellMar>
            <w:top w:w="0" w:type="dxa"/>
            <w:bottom w:w="0" w:type="dxa"/>
          </w:tblCellMar>
        </w:tblPrEx>
        <w:tc>
          <w:tcPr>
            <w:tcW w:w="1247" w:type="dxa"/>
          </w:tcPr>
          <w:p w14:paraId="30D7107E" w14:textId="77777777" w:rsidR="00121F0B" w:rsidRPr="00121F0B" w:rsidRDefault="00121F0B" w:rsidP="00121F0B">
            <w:pPr>
              <w:spacing w:line="240" w:lineRule="auto"/>
              <w:jc w:val="left"/>
              <w:rPr>
                <w:rFonts w:cs="Frankruhel"/>
                <w:sz w:val="24"/>
                <w:rtl/>
              </w:rPr>
            </w:pPr>
            <w:r>
              <w:rPr>
                <w:rFonts w:cs="Times New Roman"/>
                <w:sz w:val="24"/>
                <w:rtl/>
              </w:rPr>
              <w:t xml:space="preserve">סעיף 2 </w:t>
            </w:r>
          </w:p>
        </w:tc>
        <w:tc>
          <w:tcPr>
            <w:tcW w:w="5669" w:type="dxa"/>
          </w:tcPr>
          <w:p w14:paraId="45A0762F" w14:textId="77777777" w:rsidR="00121F0B" w:rsidRPr="00121F0B" w:rsidRDefault="00121F0B" w:rsidP="00121F0B">
            <w:pPr>
              <w:spacing w:line="240" w:lineRule="auto"/>
              <w:jc w:val="left"/>
              <w:rPr>
                <w:rFonts w:cs="Frankruhel"/>
                <w:sz w:val="24"/>
                <w:rtl/>
              </w:rPr>
            </w:pPr>
            <w:r>
              <w:rPr>
                <w:rFonts w:cs="Times New Roman"/>
                <w:sz w:val="24"/>
                <w:rtl/>
              </w:rPr>
              <w:t>הפחתת סכומי העיצום הכספי</w:t>
            </w:r>
          </w:p>
        </w:tc>
        <w:tc>
          <w:tcPr>
            <w:tcW w:w="567" w:type="dxa"/>
          </w:tcPr>
          <w:p w14:paraId="37E2BCB2" w14:textId="77777777" w:rsidR="00121F0B" w:rsidRPr="00121F0B" w:rsidRDefault="00121F0B" w:rsidP="00121F0B">
            <w:pPr>
              <w:spacing w:line="240" w:lineRule="auto"/>
              <w:jc w:val="left"/>
              <w:rPr>
                <w:rStyle w:val="Hyperlink"/>
                <w:rtl/>
              </w:rPr>
            </w:pPr>
            <w:hyperlink w:anchor="Seif2" w:tooltip="הפחתת סכומי העיצום הכספי" w:history="1">
              <w:r w:rsidRPr="00121F0B">
                <w:rPr>
                  <w:rStyle w:val="Hyperlink"/>
                </w:rPr>
                <w:t>Go</w:t>
              </w:r>
            </w:hyperlink>
          </w:p>
        </w:tc>
        <w:tc>
          <w:tcPr>
            <w:tcW w:w="850" w:type="dxa"/>
          </w:tcPr>
          <w:p w14:paraId="106DC76B" w14:textId="77777777" w:rsidR="00121F0B" w:rsidRPr="00121F0B" w:rsidRDefault="00121F0B" w:rsidP="00121F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2301D958" w14:textId="77777777" w:rsidR="00D25D5C" w:rsidRDefault="00D25D5C" w:rsidP="00B10A5F">
      <w:pPr>
        <w:pStyle w:val="big-header"/>
        <w:ind w:left="0" w:right="1134"/>
        <w:rPr>
          <w:rStyle w:val="default"/>
          <w:rFonts w:hint="cs"/>
          <w:sz w:val="22"/>
          <w:szCs w:val="22"/>
          <w:rtl/>
        </w:rPr>
      </w:pPr>
      <w:r>
        <w:rPr>
          <w:rFonts w:cs="FrankRuehl"/>
          <w:sz w:val="32"/>
          <w:rtl/>
        </w:rPr>
        <w:br w:type="page"/>
      </w:r>
      <w:r w:rsidR="00B10A5F">
        <w:rPr>
          <w:rFonts w:cs="FrankRuehl" w:hint="cs"/>
          <w:sz w:val="32"/>
          <w:rtl/>
        </w:rPr>
        <w:lastRenderedPageBreak/>
        <w:t>תקנות ניירות ערך (הפחתה של סכומי עיצום כספי), תשע"א-2011</w:t>
      </w:r>
      <w:r>
        <w:rPr>
          <w:rStyle w:val="default"/>
          <w:sz w:val="22"/>
          <w:szCs w:val="22"/>
          <w:rtl/>
        </w:rPr>
        <w:footnoteReference w:customMarkFollows="1" w:id="1"/>
        <w:t>*</w:t>
      </w:r>
    </w:p>
    <w:p w14:paraId="18FBC21D" w14:textId="77777777" w:rsidR="007C57AA" w:rsidRDefault="007C57AA" w:rsidP="00B10A5F">
      <w:pPr>
        <w:pStyle w:val="P00"/>
        <w:spacing w:before="72"/>
        <w:ind w:left="0" w:right="1134"/>
        <w:rPr>
          <w:rStyle w:val="default"/>
          <w:rFonts w:cs="FrankRuehl" w:hint="cs"/>
          <w:rtl/>
        </w:rPr>
      </w:pPr>
      <w:r>
        <w:rPr>
          <w:rStyle w:val="default"/>
          <w:rFonts w:cs="FrankRuehl" w:hint="cs"/>
          <w:rtl/>
        </w:rPr>
        <w:tab/>
        <w:t xml:space="preserve">בתוקף סמכותי לפי </w:t>
      </w:r>
      <w:r w:rsidR="00B10A5F">
        <w:rPr>
          <w:rStyle w:val="default"/>
          <w:rFonts w:cs="FrankRuehl" w:hint="cs"/>
          <w:rtl/>
        </w:rPr>
        <w:t xml:space="preserve">סעיף 52כ(ב) לחוק ניירות ערך, התשכ"ח-1968 (להלן </w:t>
      </w:r>
      <w:r w:rsidR="00B10A5F">
        <w:rPr>
          <w:rStyle w:val="default"/>
          <w:rFonts w:cs="FrankRuehl"/>
          <w:rtl/>
        </w:rPr>
        <w:t>–</w:t>
      </w:r>
      <w:r w:rsidR="00B10A5F">
        <w:rPr>
          <w:rStyle w:val="default"/>
          <w:rFonts w:cs="FrankRuehl" w:hint="cs"/>
          <w:rtl/>
        </w:rPr>
        <w:t xml:space="preserve"> החוק), לפי סעיף 116(ב) לחוק להשקעות משותפות בנאמנות, התשנ"ד-1994 (להלן </w:t>
      </w:r>
      <w:r w:rsidR="00B10A5F">
        <w:rPr>
          <w:rStyle w:val="default"/>
          <w:rFonts w:cs="FrankRuehl"/>
          <w:rtl/>
        </w:rPr>
        <w:t>–</w:t>
      </w:r>
      <w:r w:rsidR="00B10A5F">
        <w:rPr>
          <w:rStyle w:val="default"/>
          <w:rFonts w:cs="FrankRuehl" w:hint="cs"/>
          <w:rtl/>
        </w:rPr>
        <w:t xml:space="preserve"> חוק להשקעות משותפות), ולפי סעיף 38ג(ב) לחוק הסדרת העיסוק בייעוץ השקעות, בשיווק השקעות ובניהול תיקי השקעות, התשנ"ה-1995 (להלן </w:t>
      </w:r>
      <w:r w:rsidR="00B10A5F">
        <w:rPr>
          <w:rStyle w:val="default"/>
          <w:rFonts w:cs="FrankRuehl"/>
          <w:rtl/>
        </w:rPr>
        <w:t>–</w:t>
      </w:r>
      <w:r w:rsidR="00B10A5F">
        <w:rPr>
          <w:rStyle w:val="default"/>
          <w:rFonts w:cs="FrankRuehl" w:hint="cs"/>
          <w:rtl/>
        </w:rPr>
        <w:t xml:space="preserve"> חוק הייעוץ), ובהסכמת שר המשפטים, אני מתקין תקנות אלה</w:t>
      </w:r>
      <w:r>
        <w:rPr>
          <w:rStyle w:val="default"/>
          <w:rFonts w:cs="FrankRuehl" w:hint="cs"/>
          <w:rtl/>
        </w:rPr>
        <w:t>:</w:t>
      </w:r>
    </w:p>
    <w:p w14:paraId="0D528E68" w14:textId="77777777" w:rsidR="00642120" w:rsidRDefault="00642120" w:rsidP="00B10A5F">
      <w:pPr>
        <w:pStyle w:val="P00"/>
        <w:spacing w:before="72"/>
        <w:ind w:left="0" w:right="1134"/>
        <w:rPr>
          <w:rStyle w:val="default"/>
          <w:rFonts w:cs="FrankRuehl" w:hint="cs"/>
          <w:rtl/>
        </w:rPr>
      </w:pPr>
      <w:bookmarkStart w:id="0" w:name="Seif1"/>
      <w:bookmarkEnd w:id="0"/>
      <w:r>
        <w:rPr>
          <w:lang w:val="he-IL"/>
        </w:rPr>
        <w:pict w14:anchorId="78212013">
          <v:rect id="_x0000_s1107" style="position:absolute;left:0;text-align:left;margin-left:464.5pt;margin-top:8.05pt;width:75.05pt;height:12pt;z-index:251655680" o:allowincell="f" filled="f" stroked="f" strokecolor="lime" strokeweight=".25pt">
            <v:textbox style="mso-next-textbox:#_x0000_s1107" inset="0,0,0,0">
              <w:txbxContent>
                <w:p w14:paraId="29196252" w14:textId="77777777" w:rsidR="00BE05E1" w:rsidRDefault="00BE05E1" w:rsidP="00642120">
                  <w:pPr>
                    <w:spacing w:line="160" w:lineRule="exact"/>
                    <w:jc w:val="left"/>
                    <w:rPr>
                      <w:rFonts w:cs="Miriam" w:hint="cs"/>
                      <w:noProof/>
                      <w:sz w:val="18"/>
                      <w:szCs w:val="18"/>
                      <w:rtl/>
                    </w:rPr>
                  </w:pPr>
                  <w:r>
                    <w:rPr>
                      <w:rFonts w:cs="Miriam" w:hint="cs"/>
                      <w:sz w:val="18"/>
                      <w:szCs w:val="18"/>
                      <w:rtl/>
                    </w:rPr>
                    <w:t>הגדר</w:t>
                  </w:r>
                  <w:r w:rsidR="00B10A5F">
                    <w:rPr>
                      <w:rFonts w:cs="Miriam" w:hint="cs"/>
                      <w:sz w:val="18"/>
                      <w:szCs w:val="18"/>
                      <w:rtl/>
                    </w:rPr>
                    <w:t>ה</w:t>
                  </w:r>
                </w:p>
              </w:txbxContent>
            </v:textbox>
            <w10:anchorlock/>
          </v:rect>
        </w:pict>
      </w:r>
      <w:r>
        <w:rPr>
          <w:rStyle w:val="big-number"/>
          <w:rFonts w:cs="Miriam"/>
          <w:rtl/>
        </w:rPr>
        <w:t>1.</w:t>
      </w:r>
      <w:r>
        <w:rPr>
          <w:rStyle w:val="big-number"/>
          <w:rFonts w:cs="Miriam"/>
          <w:rtl/>
        </w:rPr>
        <w:tab/>
      </w:r>
      <w:r w:rsidR="00B10A5F">
        <w:rPr>
          <w:rStyle w:val="default"/>
          <w:rFonts w:cs="FrankRuehl" w:hint="cs"/>
          <w:rtl/>
        </w:rPr>
        <w:t>בתקנות אלה</w:t>
      </w:r>
      <w:r w:rsidR="0003312A">
        <w:rPr>
          <w:rStyle w:val="default"/>
          <w:rFonts w:cs="FrankRuehl" w:hint="cs"/>
          <w:rtl/>
        </w:rPr>
        <w:t xml:space="preserve"> </w:t>
      </w:r>
      <w:r w:rsidR="0003312A">
        <w:rPr>
          <w:rStyle w:val="default"/>
          <w:rFonts w:cs="FrankRuehl"/>
          <w:rtl/>
        </w:rPr>
        <w:t>–</w:t>
      </w:r>
    </w:p>
    <w:p w14:paraId="332DE447" w14:textId="77777777" w:rsidR="00B10A5F" w:rsidRDefault="00B10A5F" w:rsidP="00B10A5F">
      <w:pPr>
        <w:pStyle w:val="P00"/>
        <w:spacing w:before="72"/>
        <w:ind w:left="0" w:right="1134"/>
        <w:rPr>
          <w:rStyle w:val="default"/>
          <w:rFonts w:cs="FrankRuehl" w:hint="cs"/>
          <w:rtl/>
        </w:rPr>
      </w:pPr>
      <w:r>
        <w:rPr>
          <w:rStyle w:val="default"/>
          <w:rFonts w:cs="FrankRuehl" w:hint="cs"/>
          <w:rtl/>
        </w:rPr>
        <w:tab/>
        <w:t xml:space="preserve">"הפרה" </w:t>
      </w:r>
      <w:r>
        <w:rPr>
          <w:rStyle w:val="default"/>
          <w:rFonts w:cs="FrankRuehl"/>
          <w:rtl/>
        </w:rPr>
        <w:t>–</w:t>
      </w:r>
      <w:r>
        <w:rPr>
          <w:rStyle w:val="default"/>
          <w:rFonts w:cs="FrankRuehl" w:hint="cs"/>
          <w:rtl/>
        </w:rPr>
        <w:t xml:space="preserve"> הפרה מההפרות המנויות בתוספת החמישית לחוק, בתוספת הראשונה לחוק להשקעות משותפות או בתוספת השנייה לחוק הייעוץ;</w:t>
      </w:r>
    </w:p>
    <w:p w14:paraId="029B4FFD" w14:textId="77777777" w:rsidR="00B10A5F" w:rsidRDefault="00B10A5F" w:rsidP="00B10A5F">
      <w:pPr>
        <w:pStyle w:val="P00"/>
        <w:spacing w:before="72"/>
        <w:ind w:left="0" w:right="1134"/>
        <w:rPr>
          <w:rStyle w:val="default"/>
          <w:rFonts w:cs="FrankRuehl" w:hint="cs"/>
          <w:rtl/>
        </w:rPr>
      </w:pPr>
      <w:r>
        <w:rPr>
          <w:rStyle w:val="default"/>
          <w:rFonts w:cs="FrankRuehl" w:hint="cs"/>
          <w:rtl/>
        </w:rPr>
        <w:tab/>
        <w:t xml:space="preserve">"חוקים מסמיכים" </w:t>
      </w:r>
      <w:r>
        <w:rPr>
          <w:rStyle w:val="default"/>
          <w:rFonts w:cs="FrankRuehl"/>
          <w:rtl/>
        </w:rPr>
        <w:t>–</w:t>
      </w:r>
      <w:r>
        <w:rPr>
          <w:rStyle w:val="default"/>
          <w:rFonts w:cs="FrankRuehl" w:hint="cs"/>
          <w:rtl/>
        </w:rPr>
        <w:t xml:space="preserve"> כל אחד מאלה:</w:t>
      </w:r>
    </w:p>
    <w:p w14:paraId="1B58485F" w14:textId="77777777" w:rsidR="00B10A5F" w:rsidRDefault="00B10A5F" w:rsidP="0012091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החוק;</w:t>
      </w:r>
    </w:p>
    <w:p w14:paraId="24DD257B" w14:textId="77777777" w:rsidR="00B10A5F" w:rsidRDefault="00B10A5F" w:rsidP="0012091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חוק להשקעות משותפות;</w:t>
      </w:r>
    </w:p>
    <w:p w14:paraId="52F3964E" w14:textId="77777777" w:rsidR="00B10A5F" w:rsidRDefault="00B10A5F" w:rsidP="0012091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חוק הייעוץ;</w:t>
      </w:r>
    </w:p>
    <w:p w14:paraId="65DA1822" w14:textId="77777777" w:rsidR="00B10A5F" w:rsidRDefault="00B10A5F" w:rsidP="00B10A5F">
      <w:pPr>
        <w:pStyle w:val="P00"/>
        <w:spacing w:before="72"/>
        <w:ind w:left="0" w:right="1134"/>
        <w:rPr>
          <w:rStyle w:val="default"/>
          <w:rFonts w:cs="FrankRuehl" w:hint="cs"/>
          <w:rtl/>
        </w:rPr>
      </w:pPr>
      <w:r>
        <w:rPr>
          <w:rStyle w:val="default"/>
          <w:rFonts w:cs="FrankRuehl" w:hint="cs"/>
          <w:rtl/>
        </w:rPr>
        <w:tab/>
        <w:t xml:space="preserve">"סכום העיצום הכספי הקבוע" </w:t>
      </w:r>
      <w:r w:rsidR="00120913">
        <w:rPr>
          <w:rStyle w:val="default"/>
          <w:rFonts w:cs="FrankRuehl"/>
          <w:rtl/>
        </w:rPr>
        <w:t>–</w:t>
      </w:r>
      <w:r>
        <w:rPr>
          <w:rStyle w:val="default"/>
          <w:rFonts w:cs="FrankRuehl" w:hint="cs"/>
          <w:rtl/>
        </w:rPr>
        <w:t xml:space="preserve"> </w:t>
      </w:r>
      <w:r w:rsidR="00120913">
        <w:rPr>
          <w:rStyle w:val="default"/>
          <w:rFonts w:cs="FrankRuehl" w:hint="cs"/>
          <w:rtl/>
        </w:rPr>
        <w:t>כמפורט בתוספת השישית לחוק, בתוספת השנייה לחוק להשקעות משותפות ובתוספת השלישית לחוק הייעוץ, לפי העניין.</w:t>
      </w:r>
    </w:p>
    <w:p w14:paraId="7ADCBC78" w14:textId="77777777" w:rsidR="00642120" w:rsidRDefault="00642120" w:rsidP="00120913">
      <w:pPr>
        <w:pStyle w:val="P00"/>
        <w:spacing w:before="72"/>
        <w:ind w:left="0" w:right="1134"/>
        <w:rPr>
          <w:rStyle w:val="default"/>
          <w:rFonts w:cs="FrankRuehl" w:hint="cs"/>
          <w:rtl/>
        </w:rPr>
      </w:pPr>
      <w:bookmarkStart w:id="1" w:name="Seif2"/>
      <w:bookmarkEnd w:id="1"/>
      <w:r>
        <w:rPr>
          <w:lang w:val="he-IL"/>
        </w:rPr>
        <w:pict w14:anchorId="29D85ECE">
          <v:rect id="_x0000_s1108" style="position:absolute;left:0;text-align:left;margin-left:464.5pt;margin-top:8.05pt;width:75.05pt;height:16.9pt;z-index:251656704" o:allowincell="f" filled="f" stroked="f" strokecolor="lime" strokeweight=".25pt">
            <v:textbox inset="0,0,0,0">
              <w:txbxContent>
                <w:p w14:paraId="475F4CE0" w14:textId="77777777" w:rsidR="00BE05E1" w:rsidRDefault="00120913" w:rsidP="00642120">
                  <w:pPr>
                    <w:spacing w:line="160" w:lineRule="exact"/>
                    <w:jc w:val="left"/>
                    <w:rPr>
                      <w:rFonts w:cs="Miriam" w:hint="cs"/>
                      <w:noProof/>
                      <w:sz w:val="18"/>
                      <w:szCs w:val="18"/>
                      <w:rtl/>
                    </w:rPr>
                  </w:pPr>
                  <w:r>
                    <w:rPr>
                      <w:rFonts w:cs="Miriam" w:hint="cs"/>
                      <w:sz w:val="18"/>
                      <w:szCs w:val="18"/>
                      <w:rtl/>
                    </w:rPr>
                    <w:t>הפחתת סכומי העיצום הכספי</w:t>
                  </w:r>
                </w:p>
              </w:txbxContent>
            </v:textbox>
            <w10:anchorlock/>
          </v:rect>
        </w:pict>
      </w:r>
      <w:r w:rsidR="00955AC8">
        <w:rPr>
          <w:rStyle w:val="big-number"/>
          <w:rFonts w:cs="Miriam" w:hint="cs"/>
          <w:rtl/>
        </w:rPr>
        <w:t>2</w:t>
      </w:r>
      <w:r w:rsidRPr="00FE3E63">
        <w:rPr>
          <w:rStyle w:val="default"/>
          <w:rFonts w:cs="FrankRuehl"/>
          <w:rtl/>
        </w:rPr>
        <w:t>.</w:t>
      </w:r>
      <w:r w:rsidRPr="00FE3E63">
        <w:rPr>
          <w:rStyle w:val="default"/>
          <w:rFonts w:cs="FrankRuehl"/>
          <w:rtl/>
        </w:rPr>
        <w:tab/>
      </w:r>
      <w:r w:rsidR="00120913">
        <w:rPr>
          <w:rStyle w:val="default"/>
          <w:rFonts w:cs="FrankRuehl" w:hint="cs"/>
          <w:rtl/>
        </w:rPr>
        <w:t xml:space="preserve">מצאה הרשות כי נתקיימו התנאים להטלת עיצום כספי על מפר לפי פרק ח'3 לחוק, פרק י' לחוק להשקעות משותפות או פרק ז'1 לחוק הייעוץ, ונתקיימו אחד או יותר מהנסיבות או מהטעמים המנויים להלן (להלן </w:t>
      </w:r>
      <w:r w:rsidR="00120913">
        <w:rPr>
          <w:rStyle w:val="default"/>
          <w:rFonts w:cs="FrankRuehl"/>
          <w:rtl/>
        </w:rPr>
        <w:t>–</w:t>
      </w:r>
      <w:r w:rsidR="00120913">
        <w:rPr>
          <w:rStyle w:val="default"/>
          <w:rFonts w:cs="FrankRuehl" w:hint="cs"/>
          <w:rtl/>
        </w:rPr>
        <w:t xml:space="preserve"> הנסיבות), רשאית היא להפחת לאותו מפר מסכום העיצום הכספי הקבוע בשל אותה הפרה וביחס לאותו מפר, את השיעור הנקוב לצד אותה נסיבה, ובהתריים כמה נסיבות </w:t>
      </w:r>
      <w:r w:rsidR="00120913">
        <w:rPr>
          <w:rStyle w:val="default"/>
          <w:rFonts w:cs="FrankRuehl"/>
          <w:rtl/>
        </w:rPr>
        <w:t>–</w:t>
      </w:r>
      <w:r w:rsidR="00120913">
        <w:rPr>
          <w:rStyle w:val="default"/>
          <w:rFonts w:cs="FrankRuehl" w:hint="cs"/>
          <w:rtl/>
        </w:rPr>
        <w:t xml:space="preserve"> בשיעור המצטבר של השיעורים המנויים לצדן:</w:t>
      </w:r>
    </w:p>
    <w:p w14:paraId="01374BEC" w14:textId="77777777" w:rsidR="00120913" w:rsidRDefault="00120913" w:rsidP="0012091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בשלוש השנים הקודמות למועד ביצוע ההפרה לא מצאה הרשות כי המפר הפר את החובות החלות עליו מכוח החוקים המסמיכים </w:t>
      </w:r>
      <w:r>
        <w:rPr>
          <w:rStyle w:val="default"/>
          <w:rFonts w:cs="FrankRuehl"/>
          <w:rtl/>
        </w:rPr>
        <w:t>–</w:t>
      </w:r>
      <w:r>
        <w:rPr>
          <w:rStyle w:val="default"/>
          <w:rFonts w:cs="FrankRuehl" w:hint="cs"/>
          <w:rtl/>
        </w:rPr>
        <w:t xml:space="preserve"> 25%;</w:t>
      </w:r>
    </w:p>
    <w:p w14:paraId="416847D2" w14:textId="77777777" w:rsidR="00367B5E" w:rsidRDefault="00367B5E" w:rsidP="00367B5E">
      <w:pPr>
        <w:pStyle w:val="P00"/>
        <w:spacing w:before="72"/>
        <w:ind w:left="624" w:right="1134"/>
        <w:rPr>
          <w:rStyle w:val="default"/>
          <w:rFonts w:cs="FrankRuehl" w:hint="cs"/>
          <w:rtl/>
        </w:rPr>
      </w:pPr>
      <w:r w:rsidRPr="00367B5E">
        <w:rPr>
          <w:rStyle w:val="default"/>
          <w:rFonts w:cs="FrankRuehl" w:hint="cs"/>
          <w:rtl/>
        </w:rPr>
        <w:pict w14:anchorId="6CB9DFDF">
          <v:shapetype id="_x0000_t202" coordsize="21600,21600" o:spt="202" path="m,l,21600r21600,l21600,xe">
            <v:stroke joinstyle="miter"/>
            <v:path gradientshapeok="t" o:connecttype="rect"/>
          </v:shapetype>
          <v:shape id="_x0000_s1151" type="#_x0000_t202" style="position:absolute;left:0;text-align:left;margin-left:470.35pt;margin-top:7.1pt;width:1in;height:18pt;z-index:251658752" filled="f" stroked="f">
            <v:textbox inset="1mm,0,1mm,0">
              <w:txbxContent>
                <w:p w14:paraId="272105C7" w14:textId="77777777" w:rsidR="00367B5E" w:rsidRDefault="00367B5E" w:rsidP="00367B5E">
                  <w:pPr>
                    <w:spacing w:line="160" w:lineRule="exact"/>
                    <w:jc w:val="left"/>
                    <w:rPr>
                      <w:rFonts w:cs="Miriam" w:hint="cs"/>
                      <w:noProof/>
                      <w:sz w:val="18"/>
                      <w:szCs w:val="18"/>
                      <w:rtl/>
                    </w:rPr>
                  </w:pPr>
                  <w:r>
                    <w:rPr>
                      <w:rFonts w:cs="Miriam" w:hint="cs"/>
                      <w:sz w:val="18"/>
                      <w:szCs w:val="18"/>
                      <w:rtl/>
                    </w:rPr>
                    <w:t>תק' תשע"ד-2014</w:t>
                  </w:r>
                </w:p>
              </w:txbxContent>
            </v:textbox>
          </v:shape>
        </w:pict>
      </w:r>
      <w:r>
        <w:rPr>
          <w:rStyle w:val="default"/>
          <w:rFonts w:cs="FrankRuehl" w:hint="cs"/>
          <w:rtl/>
        </w:rPr>
        <w:t>(2)</w:t>
      </w:r>
      <w:r>
        <w:rPr>
          <w:rStyle w:val="default"/>
          <w:rFonts w:cs="FrankRuehl" w:hint="cs"/>
          <w:rtl/>
        </w:rPr>
        <w:tab/>
      </w:r>
      <w:r w:rsidRPr="00367B5E">
        <w:rPr>
          <w:rStyle w:val="default"/>
          <w:rFonts w:cs="FrankRuehl" w:hint="cs"/>
          <w:rtl/>
        </w:rPr>
        <w:t xml:space="preserve">המפר הפסיק את ההפרה מיוזמתו ודיווח עליה לרשות </w:t>
      </w:r>
      <w:r w:rsidRPr="00367B5E">
        <w:rPr>
          <w:rStyle w:val="default"/>
          <w:rFonts w:cs="FrankRuehl"/>
          <w:rtl/>
        </w:rPr>
        <w:t>–</w:t>
      </w:r>
      <w:r w:rsidRPr="00367B5E">
        <w:rPr>
          <w:rStyle w:val="default"/>
          <w:rFonts w:cs="FrankRuehl" w:hint="cs"/>
          <w:rtl/>
        </w:rPr>
        <w:t xml:space="preserve"> עד 25%;</w:t>
      </w:r>
    </w:p>
    <w:p w14:paraId="589807C6" w14:textId="77777777" w:rsidR="00120913" w:rsidRDefault="00367B5E" w:rsidP="00367B5E">
      <w:pPr>
        <w:pStyle w:val="P00"/>
        <w:spacing w:before="72"/>
        <w:ind w:left="624" w:right="1134"/>
        <w:rPr>
          <w:rStyle w:val="default"/>
          <w:rFonts w:cs="FrankRuehl" w:hint="cs"/>
          <w:rtl/>
        </w:rPr>
      </w:pPr>
      <w:r w:rsidRPr="00367B5E">
        <w:rPr>
          <w:rStyle w:val="default"/>
          <w:rFonts w:cs="FrankRuehl" w:hint="cs"/>
          <w:rtl/>
        </w:rPr>
        <w:pict w14:anchorId="31CE6274">
          <v:shape id="_x0000_s1150" type="#_x0000_t202" style="position:absolute;left:0;text-align:left;margin-left:470.35pt;margin-top:7.1pt;width:1in;height:18pt;z-index:251657728" filled="f" stroked="f">
            <v:textbox inset="1mm,0,1mm,0">
              <w:txbxContent>
                <w:p w14:paraId="2EB71BC0" w14:textId="77777777" w:rsidR="00367B5E" w:rsidRDefault="00367B5E" w:rsidP="00367B5E">
                  <w:pPr>
                    <w:spacing w:line="160" w:lineRule="exact"/>
                    <w:jc w:val="left"/>
                    <w:rPr>
                      <w:rFonts w:cs="Miriam" w:hint="cs"/>
                      <w:noProof/>
                      <w:sz w:val="18"/>
                      <w:szCs w:val="18"/>
                      <w:rtl/>
                    </w:rPr>
                  </w:pPr>
                  <w:r>
                    <w:rPr>
                      <w:rFonts w:cs="Miriam" w:hint="cs"/>
                      <w:sz w:val="18"/>
                      <w:szCs w:val="18"/>
                      <w:rtl/>
                    </w:rPr>
                    <w:t>תק' תשע"ד-2014</w:t>
                  </w:r>
                </w:p>
              </w:txbxContent>
            </v:textbox>
          </v:shape>
        </w:pict>
      </w:r>
      <w:r w:rsidR="00120913">
        <w:rPr>
          <w:rStyle w:val="default"/>
          <w:rFonts w:cs="FrankRuehl" w:hint="cs"/>
          <w:rtl/>
        </w:rPr>
        <w:t>(</w:t>
      </w:r>
      <w:r w:rsidRPr="00367B5E">
        <w:rPr>
          <w:rStyle w:val="default"/>
          <w:rFonts w:cs="FrankRuehl" w:hint="cs"/>
          <w:rtl/>
        </w:rPr>
        <w:t>2א)</w:t>
      </w:r>
      <w:r w:rsidRPr="00367B5E">
        <w:rPr>
          <w:rStyle w:val="default"/>
          <w:rFonts w:cs="FrankRuehl" w:hint="cs"/>
          <w:rtl/>
        </w:rPr>
        <w:tab/>
        <w:t xml:space="preserve">המפר נקט פעולות למניעת הישנות ההפרה ולהקטנת הנזק, להנחת דעתה של הרשות </w:t>
      </w:r>
      <w:r w:rsidRPr="00367B5E">
        <w:rPr>
          <w:rStyle w:val="default"/>
          <w:rFonts w:cs="FrankRuehl"/>
          <w:rtl/>
        </w:rPr>
        <w:t>–</w:t>
      </w:r>
      <w:r w:rsidRPr="00367B5E">
        <w:rPr>
          <w:rStyle w:val="default"/>
          <w:rFonts w:cs="FrankRuehl" w:hint="cs"/>
          <w:rtl/>
        </w:rPr>
        <w:t xml:space="preserve"> עד 25%;</w:t>
      </w:r>
    </w:p>
    <w:p w14:paraId="5B6F1CFB" w14:textId="77777777" w:rsidR="00120913" w:rsidRDefault="00120913" w:rsidP="0012091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לגבי מפר שהוא יחיד, ההפרה נגרמה בשל נסיבות אישיות חריגות שלו המצדיקות הפחתה של העיצום הכספי, או שנתקיימו בו נסיבות אישיות חריגות המצדיקות שלא למצות כמו את הדין </w:t>
      </w:r>
      <w:r>
        <w:rPr>
          <w:rStyle w:val="default"/>
          <w:rFonts w:cs="FrankRuehl"/>
          <w:rtl/>
        </w:rPr>
        <w:t>–</w:t>
      </w:r>
      <w:r>
        <w:rPr>
          <w:rStyle w:val="default"/>
          <w:rFonts w:cs="FrankRuehl" w:hint="cs"/>
          <w:rtl/>
        </w:rPr>
        <w:t xml:space="preserve"> עד 50%; הרשות תגיש אחת לשנה ליועץ המשפטי לממשלה או למי שהוא יורה, דין וחשבון על השימוש בסמכות לפי פסקה זו והטעמים שבשלהם ניתנה הפחתה לפיה;</w:t>
      </w:r>
    </w:p>
    <w:p w14:paraId="50B7B228" w14:textId="77777777" w:rsidR="00120913" w:rsidRDefault="00120913" w:rsidP="00120913">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קולת העובדות המהוות את ההפרה ונסיבות עובדתיות אחרות ובכלל זה, תפקידו של המפר, היקף ההפרה, הרווח שהיה עשוי להיות מופק ממנה, ההפסד שהיה עשוי להימנע או הנזק שהיה עשוי להיגרם בעקבותיה </w:t>
      </w:r>
      <w:r>
        <w:rPr>
          <w:rStyle w:val="default"/>
          <w:rFonts w:cs="FrankRuehl"/>
          <w:rtl/>
        </w:rPr>
        <w:t>–</w:t>
      </w:r>
      <w:r w:rsidR="00367B5E">
        <w:rPr>
          <w:rStyle w:val="default"/>
          <w:rFonts w:cs="FrankRuehl" w:hint="cs"/>
          <w:rtl/>
        </w:rPr>
        <w:t xml:space="preserve"> עד 50%;</w:t>
      </w:r>
    </w:p>
    <w:p w14:paraId="323A94BB" w14:textId="77777777" w:rsidR="00367B5E" w:rsidRDefault="00367B5E" w:rsidP="00367B5E">
      <w:pPr>
        <w:pStyle w:val="P00"/>
        <w:spacing w:before="72"/>
        <w:ind w:left="624" w:right="1134"/>
        <w:rPr>
          <w:rStyle w:val="default"/>
          <w:rFonts w:cs="FrankRuehl" w:hint="cs"/>
          <w:rtl/>
        </w:rPr>
      </w:pPr>
      <w:r w:rsidRPr="00367B5E">
        <w:rPr>
          <w:rStyle w:val="default"/>
          <w:rFonts w:cs="FrankRuehl" w:hint="cs"/>
          <w:rtl/>
        </w:rPr>
        <w:pict w14:anchorId="55A3BA1B">
          <v:shape id="_x0000_s1152" type="#_x0000_t202" style="position:absolute;left:0;text-align:left;margin-left:470.35pt;margin-top:7.1pt;width:1in;height:18pt;z-index:251659776" filled="f" stroked="f">
            <v:textbox inset="1mm,0,1mm,0">
              <w:txbxContent>
                <w:p w14:paraId="249F0EA5" w14:textId="77777777" w:rsidR="00367B5E" w:rsidRDefault="00367B5E" w:rsidP="00367B5E">
                  <w:pPr>
                    <w:spacing w:line="160" w:lineRule="exact"/>
                    <w:jc w:val="left"/>
                    <w:rPr>
                      <w:rFonts w:cs="Miriam" w:hint="cs"/>
                      <w:noProof/>
                      <w:sz w:val="18"/>
                      <w:szCs w:val="18"/>
                      <w:rtl/>
                    </w:rPr>
                  </w:pPr>
                  <w:r>
                    <w:rPr>
                      <w:rFonts w:cs="Miriam" w:hint="cs"/>
                      <w:sz w:val="18"/>
                      <w:szCs w:val="18"/>
                      <w:rtl/>
                    </w:rPr>
                    <w:t>תק' תשע"ד-2014</w:t>
                  </w:r>
                </w:p>
              </w:txbxContent>
            </v:textbox>
          </v:shape>
        </w:pict>
      </w:r>
      <w:r>
        <w:rPr>
          <w:rStyle w:val="default"/>
          <w:rFonts w:cs="FrankRuehl" w:hint="cs"/>
          <w:rtl/>
        </w:rPr>
        <w:t>(</w:t>
      </w:r>
      <w:r w:rsidRPr="00367B5E">
        <w:rPr>
          <w:rStyle w:val="default"/>
          <w:rFonts w:cs="FrankRuehl" w:hint="cs"/>
          <w:rtl/>
        </w:rPr>
        <w:t>5)</w:t>
      </w:r>
      <w:r w:rsidRPr="00367B5E">
        <w:rPr>
          <w:rStyle w:val="default"/>
          <w:rFonts w:cs="FrankRuehl" w:hint="cs"/>
          <w:rtl/>
        </w:rPr>
        <w:tab/>
        <w:t xml:space="preserve">השפעה לרעה של הטלת העיצום הכספי על המשך פעילותו של המפר, בשל היחס הגבוה בין סכום העיצום הכספי לבין המדד שעליו החליטה הרשות להערכת מצבו הכלכלי של המפר, לרבות מחזור הפעילות השנתי או ההון העצמי לגבי מפר שהוא תאגיד, וההכנסה או ההון לגבי מפר שהוא יחיד </w:t>
      </w:r>
      <w:r w:rsidRPr="00367B5E">
        <w:rPr>
          <w:rStyle w:val="default"/>
          <w:rFonts w:cs="FrankRuehl"/>
          <w:rtl/>
        </w:rPr>
        <w:t>–</w:t>
      </w:r>
      <w:r w:rsidRPr="00367B5E">
        <w:rPr>
          <w:rStyle w:val="default"/>
          <w:rFonts w:cs="FrankRuehl" w:hint="cs"/>
          <w:rtl/>
        </w:rPr>
        <w:t xml:space="preserve"> עד 50%.</w:t>
      </w:r>
    </w:p>
    <w:p w14:paraId="0C688881" w14:textId="77777777" w:rsidR="00367B5E" w:rsidRPr="00E4449D" w:rsidRDefault="00367B5E" w:rsidP="00367B5E">
      <w:pPr>
        <w:pStyle w:val="P00"/>
        <w:spacing w:before="0"/>
        <w:ind w:left="624" w:right="1134"/>
        <w:rPr>
          <w:rStyle w:val="default"/>
          <w:rFonts w:cs="FrankRuehl" w:hint="cs"/>
          <w:vanish/>
          <w:color w:val="FF0000"/>
          <w:sz w:val="20"/>
          <w:szCs w:val="20"/>
          <w:shd w:val="clear" w:color="auto" w:fill="FFFF99"/>
          <w:rtl/>
        </w:rPr>
      </w:pPr>
      <w:bookmarkStart w:id="2" w:name="Rov3"/>
      <w:r w:rsidRPr="00E4449D">
        <w:rPr>
          <w:rStyle w:val="default"/>
          <w:rFonts w:cs="FrankRuehl" w:hint="cs"/>
          <w:vanish/>
          <w:color w:val="FF0000"/>
          <w:sz w:val="20"/>
          <w:szCs w:val="20"/>
          <w:shd w:val="clear" w:color="auto" w:fill="FFFF99"/>
          <w:rtl/>
        </w:rPr>
        <w:t>מיום 23.9.2014</w:t>
      </w:r>
    </w:p>
    <w:p w14:paraId="214963AE" w14:textId="77777777" w:rsidR="00367B5E" w:rsidRPr="00E4449D" w:rsidRDefault="00367B5E" w:rsidP="00367B5E">
      <w:pPr>
        <w:pStyle w:val="P00"/>
        <w:spacing w:before="0"/>
        <w:ind w:left="624" w:right="1134"/>
        <w:rPr>
          <w:rStyle w:val="default"/>
          <w:rFonts w:cs="FrankRuehl" w:hint="cs"/>
          <w:vanish/>
          <w:sz w:val="20"/>
          <w:szCs w:val="20"/>
          <w:shd w:val="clear" w:color="auto" w:fill="FFFF99"/>
          <w:rtl/>
        </w:rPr>
      </w:pPr>
      <w:r w:rsidRPr="00E4449D">
        <w:rPr>
          <w:rStyle w:val="default"/>
          <w:rFonts w:cs="FrankRuehl" w:hint="cs"/>
          <w:b/>
          <w:bCs/>
          <w:vanish/>
          <w:sz w:val="20"/>
          <w:szCs w:val="20"/>
          <w:shd w:val="clear" w:color="auto" w:fill="FFFF99"/>
          <w:rtl/>
        </w:rPr>
        <w:t>תק' תשע"ד-2014</w:t>
      </w:r>
    </w:p>
    <w:p w14:paraId="1781C123" w14:textId="77777777" w:rsidR="00367B5E" w:rsidRPr="00E4449D" w:rsidRDefault="00367B5E" w:rsidP="00367B5E">
      <w:pPr>
        <w:pStyle w:val="P00"/>
        <w:spacing w:before="0"/>
        <w:ind w:left="624" w:right="1134"/>
        <w:rPr>
          <w:rStyle w:val="default"/>
          <w:rFonts w:cs="FrankRuehl" w:hint="cs"/>
          <w:vanish/>
          <w:sz w:val="20"/>
          <w:szCs w:val="20"/>
          <w:shd w:val="clear" w:color="auto" w:fill="FFFF99"/>
          <w:rtl/>
        </w:rPr>
      </w:pPr>
      <w:hyperlink r:id="rId7" w:history="1">
        <w:r w:rsidRPr="00E4449D">
          <w:rPr>
            <w:rStyle w:val="Hyperlink"/>
            <w:rFonts w:cs="FrankRuehl" w:hint="cs"/>
            <w:vanish/>
            <w:szCs w:val="20"/>
            <w:shd w:val="clear" w:color="auto" w:fill="FFFF99"/>
            <w:rtl/>
          </w:rPr>
          <w:t>ק"ת תשע"ד מס' 7427</w:t>
        </w:r>
      </w:hyperlink>
      <w:r w:rsidRPr="00E4449D">
        <w:rPr>
          <w:rStyle w:val="default"/>
          <w:rFonts w:cs="FrankRuehl" w:hint="cs"/>
          <w:vanish/>
          <w:sz w:val="20"/>
          <w:szCs w:val="20"/>
          <w:shd w:val="clear" w:color="auto" w:fill="FFFF99"/>
          <w:rtl/>
        </w:rPr>
        <w:t xml:space="preserve"> מיום 23.9.2014 עמ' 1802</w:t>
      </w:r>
    </w:p>
    <w:p w14:paraId="67DB14A9" w14:textId="77777777" w:rsidR="00367B5E" w:rsidRPr="00E4449D" w:rsidRDefault="00367B5E" w:rsidP="00367B5E">
      <w:pPr>
        <w:pStyle w:val="P00"/>
        <w:ind w:left="624" w:right="1134"/>
        <w:rPr>
          <w:rStyle w:val="default"/>
          <w:rFonts w:cs="FrankRuehl" w:hint="cs"/>
          <w:strike/>
          <w:vanish/>
          <w:sz w:val="22"/>
          <w:szCs w:val="22"/>
          <w:shd w:val="clear" w:color="auto" w:fill="FFFF99"/>
          <w:rtl/>
        </w:rPr>
      </w:pPr>
      <w:r w:rsidRPr="00E4449D">
        <w:rPr>
          <w:rStyle w:val="default"/>
          <w:rFonts w:cs="FrankRuehl" w:hint="cs"/>
          <w:strike/>
          <w:vanish/>
          <w:sz w:val="22"/>
          <w:szCs w:val="22"/>
          <w:shd w:val="clear" w:color="auto" w:fill="FFFF99"/>
          <w:rtl/>
        </w:rPr>
        <w:t>(2)</w:t>
      </w:r>
      <w:r w:rsidRPr="00E4449D">
        <w:rPr>
          <w:rStyle w:val="default"/>
          <w:rFonts w:cs="FrankRuehl" w:hint="cs"/>
          <w:strike/>
          <w:vanish/>
          <w:sz w:val="22"/>
          <w:szCs w:val="22"/>
          <w:shd w:val="clear" w:color="auto" w:fill="FFFF99"/>
          <w:rtl/>
        </w:rPr>
        <w:tab/>
        <w:t xml:space="preserve">המפר הפסיק את ההפרה, הודיע על כך לרשות ונקט פעולות לתיקון הליקויים ולמניעת הישנותם, להנחת דעת הרשות </w:t>
      </w:r>
      <w:r w:rsidRPr="00E4449D">
        <w:rPr>
          <w:rStyle w:val="default"/>
          <w:rFonts w:cs="FrankRuehl"/>
          <w:strike/>
          <w:vanish/>
          <w:sz w:val="22"/>
          <w:szCs w:val="22"/>
          <w:shd w:val="clear" w:color="auto" w:fill="FFFF99"/>
          <w:rtl/>
        </w:rPr>
        <w:t>–</w:t>
      </w:r>
    </w:p>
    <w:p w14:paraId="5AB47308" w14:textId="77777777" w:rsidR="00367B5E" w:rsidRPr="00E4449D" w:rsidRDefault="00367B5E" w:rsidP="00367B5E">
      <w:pPr>
        <w:pStyle w:val="P00"/>
        <w:spacing w:before="0"/>
        <w:ind w:left="1021" w:right="1134"/>
        <w:rPr>
          <w:rStyle w:val="default"/>
          <w:rFonts w:cs="FrankRuehl" w:hint="cs"/>
          <w:strike/>
          <w:vanish/>
          <w:sz w:val="22"/>
          <w:szCs w:val="22"/>
          <w:shd w:val="clear" w:color="auto" w:fill="FFFF99"/>
          <w:rtl/>
        </w:rPr>
      </w:pPr>
      <w:r w:rsidRPr="00E4449D">
        <w:rPr>
          <w:rStyle w:val="default"/>
          <w:rFonts w:cs="FrankRuehl" w:hint="cs"/>
          <w:strike/>
          <w:vanish/>
          <w:sz w:val="22"/>
          <w:szCs w:val="22"/>
          <w:shd w:val="clear" w:color="auto" w:fill="FFFF99"/>
          <w:rtl/>
        </w:rPr>
        <w:t>(א)</w:t>
      </w:r>
      <w:r w:rsidRPr="00E4449D">
        <w:rPr>
          <w:rStyle w:val="default"/>
          <w:rFonts w:cs="FrankRuehl" w:hint="cs"/>
          <w:strike/>
          <w:vanish/>
          <w:sz w:val="22"/>
          <w:szCs w:val="22"/>
          <w:shd w:val="clear" w:color="auto" w:fill="FFFF99"/>
          <w:rtl/>
        </w:rPr>
        <w:tab/>
        <w:t xml:space="preserve">לפני פנייה מטעם הרשות, אליו או לאחר, באותו עניין </w:t>
      </w:r>
      <w:r w:rsidRPr="00E4449D">
        <w:rPr>
          <w:rStyle w:val="default"/>
          <w:rFonts w:cs="FrankRuehl"/>
          <w:strike/>
          <w:vanish/>
          <w:sz w:val="22"/>
          <w:szCs w:val="22"/>
          <w:shd w:val="clear" w:color="auto" w:fill="FFFF99"/>
          <w:rtl/>
        </w:rPr>
        <w:t>–</w:t>
      </w:r>
      <w:r w:rsidRPr="00E4449D">
        <w:rPr>
          <w:rStyle w:val="default"/>
          <w:rFonts w:cs="FrankRuehl" w:hint="cs"/>
          <w:strike/>
          <w:vanish/>
          <w:sz w:val="22"/>
          <w:szCs w:val="22"/>
          <w:shd w:val="clear" w:color="auto" w:fill="FFFF99"/>
          <w:rtl/>
        </w:rPr>
        <w:t xml:space="preserve"> עד 50%;</w:t>
      </w:r>
    </w:p>
    <w:p w14:paraId="57ADD95D" w14:textId="77777777" w:rsidR="00367B5E" w:rsidRPr="00E4449D" w:rsidRDefault="00367B5E" w:rsidP="00367B5E">
      <w:pPr>
        <w:pStyle w:val="P00"/>
        <w:spacing w:before="0"/>
        <w:ind w:left="1021" w:right="1134"/>
        <w:rPr>
          <w:rStyle w:val="default"/>
          <w:rFonts w:cs="FrankRuehl" w:hint="cs"/>
          <w:vanish/>
          <w:sz w:val="22"/>
          <w:szCs w:val="22"/>
          <w:shd w:val="clear" w:color="auto" w:fill="FFFF99"/>
          <w:rtl/>
        </w:rPr>
      </w:pPr>
      <w:r w:rsidRPr="00E4449D">
        <w:rPr>
          <w:rStyle w:val="default"/>
          <w:rFonts w:cs="FrankRuehl" w:hint="cs"/>
          <w:strike/>
          <w:vanish/>
          <w:sz w:val="22"/>
          <w:szCs w:val="22"/>
          <w:shd w:val="clear" w:color="auto" w:fill="FFFF99"/>
          <w:rtl/>
        </w:rPr>
        <w:t>(ב)</w:t>
      </w:r>
      <w:r w:rsidRPr="00E4449D">
        <w:rPr>
          <w:rStyle w:val="default"/>
          <w:rFonts w:cs="FrankRuehl" w:hint="cs"/>
          <w:strike/>
          <w:vanish/>
          <w:sz w:val="22"/>
          <w:szCs w:val="22"/>
          <w:shd w:val="clear" w:color="auto" w:fill="FFFF99"/>
          <w:rtl/>
        </w:rPr>
        <w:tab/>
        <w:t xml:space="preserve">לאחר פנייה מטעם הרשות, אליו או לאחר, באותו עניין, בלי שקיבל הוראה או הנחיה מהרשות לפעול כאמור ברישה </w:t>
      </w:r>
      <w:r w:rsidRPr="00E4449D">
        <w:rPr>
          <w:rStyle w:val="default"/>
          <w:rFonts w:cs="FrankRuehl"/>
          <w:strike/>
          <w:vanish/>
          <w:sz w:val="22"/>
          <w:szCs w:val="22"/>
          <w:shd w:val="clear" w:color="auto" w:fill="FFFF99"/>
          <w:rtl/>
        </w:rPr>
        <w:t>–</w:t>
      </w:r>
      <w:r w:rsidRPr="00E4449D">
        <w:rPr>
          <w:rStyle w:val="default"/>
          <w:rFonts w:cs="FrankRuehl" w:hint="cs"/>
          <w:strike/>
          <w:vanish/>
          <w:sz w:val="22"/>
          <w:szCs w:val="22"/>
          <w:shd w:val="clear" w:color="auto" w:fill="FFFF99"/>
          <w:rtl/>
        </w:rPr>
        <w:t xml:space="preserve"> עד 25%;</w:t>
      </w:r>
    </w:p>
    <w:p w14:paraId="4378AE5C" w14:textId="77777777" w:rsidR="00367B5E" w:rsidRPr="00E4449D" w:rsidRDefault="00367B5E" w:rsidP="00367B5E">
      <w:pPr>
        <w:pStyle w:val="P00"/>
        <w:spacing w:before="0"/>
        <w:ind w:left="624" w:right="1134"/>
        <w:rPr>
          <w:rStyle w:val="default"/>
          <w:rFonts w:cs="FrankRuehl" w:hint="cs"/>
          <w:vanish/>
          <w:sz w:val="22"/>
          <w:szCs w:val="22"/>
          <w:u w:val="single"/>
          <w:shd w:val="clear" w:color="auto" w:fill="FFFF99"/>
          <w:rtl/>
        </w:rPr>
      </w:pPr>
      <w:r w:rsidRPr="00E4449D">
        <w:rPr>
          <w:rStyle w:val="default"/>
          <w:rFonts w:cs="FrankRuehl" w:hint="cs"/>
          <w:vanish/>
          <w:sz w:val="22"/>
          <w:szCs w:val="22"/>
          <w:u w:val="single"/>
          <w:shd w:val="clear" w:color="auto" w:fill="FFFF99"/>
          <w:rtl/>
        </w:rPr>
        <w:t>(2)</w:t>
      </w:r>
      <w:r w:rsidRPr="00E4449D">
        <w:rPr>
          <w:rStyle w:val="default"/>
          <w:rFonts w:cs="FrankRuehl" w:hint="cs"/>
          <w:vanish/>
          <w:sz w:val="22"/>
          <w:szCs w:val="22"/>
          <w:u w:val="single"/>
          <w:shd w:val="clear" w:color="auto" w:fill="FFFF99"/>
          <w:rtl/>
        </w:rPr>
        <w:tab/>
        <w:t xml:space="preserve">המפר הפסיק את ההפרה מיוזמתו ודיווח עליה לרשות </w:t>
      </w:r>
      <w:r w:rsidRPr="00E4449D">
        <w:rPr>
          <w:rStyle w:val="default"/>
          <w:rFonts w:cs="FrankRuehl"/>
          <w:vanish/>
          <w:sz w:val="22"/>
          <w:szCs w:val="22"/>
          <w:u w:val="single"/>
          <w:shd w:val="clear" w:color="auto" w:fill="FFFF99"/>
          <w:rtl/>
        </w:rPr>
        <w:t>–</w:t>
      </w:r>
      <w:r w:rsidRPr="00E4449D">
        <w:rPr>
          <w:rStyle w:val="default"/>
          <w:rFonts w:cs="FrankRuehl" w:hint="cs"/>
          <w:vanish/>
          <w:sz w:val="22"/>
          <w:szCs w:val="22"/>
          <w:u w:val="single"/>
          <w:shd w:val="clear" w:color="auto" w:fill="FFFF99"/>
          <w:rtl/>
        </w:rPr>
        <w:t xml:space="preserve"> עד 25%;</w:t>
      </w:r>
    </w:p>
    <w:p w14:paraId="07C5D6A4" w14:textId="77777777" w:rsidR="00367B5E" w:rsidRPr="00E4449D" w:rsidRDefault="00367B5E" w:rsidP="00367B5E">
      <w:pPr>
        <w:pStyle w:val="P00"/>
        <w:spacing w:before="0"/>
        <w:ind w:left="624" w:right="1134"/>
        <w:rPr>
          <w:rStyle w:val="default"/>
          <w:rFonts w:cs="FrankRuehl" w:hint="cs"/>
          <w:vanish/>
          <w:sz w:val="22"/>
          <w:szCs w:val="22"/>
          <w:u w:val="single"/>
          <w:shd w:val="clear" w:color="auto" w:fill="FFFF99"/>
          <w:rtl/>
        </w:rPr>
      </w:pPr>
      <w:r w:rsidRPr="00E4449D">
        <w:rPr>
          <w:rStyle w:val="default"/>
          <w:rFonts w:cs="FrankRuehl" w:hint="cs"/>
          <w:vanish/>
          <w:sz w:val="22"/>
          <w:szCs w:val="22"/>
          <w:u w:val="single"/>
          <w:shd w:val="clear" w:color="auto" w:fill="FFFF99"/>
          <w:rtl/>
        </w:rPr>
        <w:t>(2א)</w:t>
      </w:r>
      <w:r w:rsidRPr="00E4449D">
        <w:rPr>
          <w:rStyle w:val="default"/>
          <w:rFonts w:cs="FrankRuehl" w:hint="cs"/>
          <w:vanish/>
          <w:sz w:val="22"/>
          <w:szCs w:val="22"/>
          <w:u w:val="single"/>
          <w:shd w:val="clear" w:color="auto" w:fill="FFFF99"/>
          <w:rtl/>
        </w:rPr>
        <w:tab/>
        <w:t xml:space="preserve">המפר נקט פעולות למניעת הישנות ההפרה ולהקטנת הנזק, להנחת דעתה של הרשות </w:t>
      </w:r>
      <w:r w:rsidRPr="00E4449D">
        <w:rPr>
          <w:rStyle w:val="default"/>
          <w:rFonts w:cs="FrankRuehl"/>
          <w:vanish/>
          <w:sz w:val="22"/>
          <w:szCs w:val="22"/>
          <w:u w:val="single"/>
          <w:shd w:val="clear" w:color="auto" w:fill="FFFF99"/>
          <w:rtl/>
        </w:rPr>
        <w:t>–</w:t>
      </w:r>
      <w:r w:rsidRPr="00E4449D">
        <w:rPr>
          <w:rStyle w:val="default"/>
          <w:rFonts w:cs="FrankRuehl" w:hint="cs"/>
          <w:vanish/>
          <w:sz w:val="22"/>
          <w:szCs w:val="22"/>
          <w:u w:val="single"/>
          <w:shd w:val="clear" w:color="auto" w:fill="FFFF99"/>
          <w:rtl/>
        </w:rPr>
        <w:t xml:space="preserve"> עד 25%;</w:t>
      </w:r>
    </w:p>
    <w:p w14:paraId="4BC8158A" w14:textId="77777777" w:rsidR="00367B5E" w:rsidRPr="00E4449D" w:rsidRDefault="00367B5E" w:rsidP="00367B5E">
      <w:pPr>
        <w:pStyle w:val="P00"/>
        <w:spacing w:before="0"/>
        <w:ind w:left="624" w:right="1134"/>
        <w:rPr>
          <w:rStyle w:val="default"/>
          <w:rFonts w:cs="FrankRuehl" w:hint="cs"/>
          <w:vanish/>
          <w:sz w:val="22"/>
          <w:szCs w:val="22"/>
          <w:shd w:val="clear" w:color="auto" w:fill="FFFF99"/>
          <w:rtl/>
        </w:rPr>
      </w:pPr>
      <w:r w:rsidRPr="00E4449D">
        <w:rPr>
          <w:rStyle w:val="default"/>
          <w:rFonts w:cs="FrankRuehl" w:hint="cs"/>
          <w:vanish/>
          <w:sz w:val="22"/>
          <w:szCs w:val="22"/>
          <w:shd w:val="clear" w:color="auto" w:fill="FFFF99"/>
          <w:rtl/>
        </w:rPr>
        <w:t>(3)</w:t>
      </w:r>
      <w:r w:rsidRPr="00E4449D">
        <w:rPr>
          <w:rStyle w:val="default"/>
          <w:rFonts w:cs="FrankRuehl" w:hint="cs"/>
          <w:vanish/>
          <w:sz w:val="22"/>
          <w:szCs w:val="22"/>
          <w:shd w:val="clear" w:color="auto" w:fill="FFFF99"/>
          <w:rtl/>
        </w:rPr>
        <w:tab/>
        <w:t xml:space="preserve">לגבי מפר שהוא יחיד, ההפרה נגרמה בשל נסיבות אישיות חריגות שלו המצדיקות הפחתה של העיצום הכספי, או שנתקיימו בו נסיבות אישיות חריגות המצדיקות שלא למצות כמו את הדין </w:t>
      </w:r>
      <w:r w:rsidRPr="00E4449D">
        <w:rPr>
          <w:rStyle w:val="default"/>
          <w:rFonts w:cs="FrankRuehl"/>
          <w:vanish/>
          <w:sz w:val="22"/>
          <w:szCs w:val="22"/>
          <w:shd w:val="clear" w:color="auto" w:fill="FFFF99"/>
          <w:rtl/>
        </w:rPr>
        <w:t>–</w:t>
      </w:r>
      <w:r w:rsidRPr="00E4449D">
        <w:rPr>
          <w:rStyle w:val="default"/>
          <w:rFonts w:cs="FrankRuehl" w:hint="cs"/>
          <w:vanish/>
          <w:sz w:val="22"/>
          <w:szCs w:val="22"/>
          <w:shd w:val="clear" w:color="auto" w:fill="FFFF99"/>
          <w:rtl/>
        </w:rPr>
        <w:t xml:space="preserve"> עד 50%; הרשות תגיש אחת לשנה ליועץ המשפטי לממשלה או למי שהוא יורה, דין וחשבון על השימוש בסמכות לפי פסקה זו והטעמים שבשלהם ניתנה הפחתה לפיה;</w:t>
      </w:r>
    </w:p>
    <w:p w14:paraId="55EF1F4E" w14:textId="77777777" w:rsidR="00367B5E" w:rsidRPr="00E4449D" w:rsidRDefault="00367B5E" w:rsidP="00367B5E">
      <w:pPr>
        <w:pStyle w:val="P00"/>
        <w:spacing w:before="0"/>
        <w:ind w:left="624" w:right="1134"/>
        <w:rPr>
          <w:rStyle w:val="default"/>
          <w:rFonts w:cs="FrankRuehl" w:hint="cs"/>
          <w:vanish/>
          <w:sz w:val="22"/>
          <w:szCs w:val="22"/>
          <w:shd w:val="clear" w:color="auto" w:fill="FFFF99"/>
          <w:rtl/>
        </w:rPr>
      </w:pPr>
      <w:r w:rsidRPr="00E4449D">
        <w:rPr>
          <w:rStyle w:val="default"/>
          <w:rFonts w:cs="FrankRuehl" w:hint="cs"/>
          <w:vanish/>
          <w:sz w:val="22"/>
          <w:szCs w:val="22"/>
          <w:shd w:val="clear" w:color="auto" w:fill="FFFF99"/>
          <w:rtl/>
        </w:rPr>
        <w:t>(4)</w:t>
      </w:r>
      <w:r w:rsidRPr="00E4449D">
        <w:rPr>
          <w:rStyle w:val="default"/>
          <w:rFonts w:cs="FrankRuehl" w:hint="cs"/>
          <w:vanish/>
          <w:sz w:val="22"/>
          <w:szCs w:val="22"/>
          <w:shd w:val="clear" w:color="auto" w:fill="FFFF99"/>
          <w:rtl/>
        </w:rPr>
        <w:tab/>
        <w:t xml:space="preserve">קולת העובדות המהוות את ההפרה ונסיבות עובדתיות אחרות ובכלל זה, תפקידו של המפר, היקף ההפרה, הרווח שהיה עשוי להיות מופק ממנה, ההפסד שהיה עשוי להימנע או הנזק שהיה עשוי להיגרם בעקבותיה </w:t>
      </w:r>
      <w:r w:rsidRPr="00E4449D">
        <w:rPr>
          <w:rStyle w:val="default"/>
          <w:rFonts w:cs="FrankRuehl"/>
          <w:vanish/>
          <w:sz w:val="22"/>
          <w:szCs w:val="22"/>
          <w:shd w:val="clear" w:color="auto" w:fill="FFFF99"/>
          <w:rtl/>
        </w:rPr>
        <w:t>–</w:t>
      </w:r>
      <w:r w:rsidRPr="00E4449D">
        <w:rPr>
          <w:rStyle w:val="default"/>
          <w:rFonts w:cs="FrankRuehl" w:hint="cs"/>
          <w:vanish/>
          <w:sz w:val="22"/>
          <w:szCs w:val="22"/>
          <w:shd w:val="clear" w:color="auto" w:fill="FFFF99"/>
          <w:rtl/>
        </w:rPr>
        <w:t xml:space="preserve"> עד 50%;</w:t>
      </w:r>
    </w:p>
    <w:p w14:paraId="5190DAD0" w14:textId="77777777" w:rsidR="00367B5E" w:rsidRPr="00E4449D" w:rsidRDefault="00367B5E" w:rsidP="00E4449D">
      <w:pPr>
        <w:pStyle w:val="P00"/>
        <w:spacing w:before="0"/>
        <w:ind w:left="624" w:right="1134"/>
        <w:rPr>
          <w:rStyle w:val="default"/>
          <w:rFonts w:cs="FrankRuehl" w:hint="cs"/>
          <w:sz w:val="2"/>
          <w:szCs w:val="2"/>
          <w:rtl/>
        </w:rPr>
      </w:pPr>
      <w:r w:rsidRPr="00E4449D">
        <w:rPr>
          <w:rStyle w:val="default"/>
          <w:rFonts w:cs="FrankRuehl" w:hint="cs"/>
          <w:vanish/>
          <w:sz w:val="22"/>
          <w:szCs w:val="22"/>
          <w:u w:val="single"/>
          <w:shd w:val="clear" w:color="auto" w:fill="FFFF99"/>
          <w:rtl/>
        </w:rPr>
        <w:t>(5)</w:t>
      </w:r>
      <w:r w:rsidRPr="00E4449D">
        <w:rPr>
          <w:rStyle w:val="default"/>
          <w:rFonts w:cs="FrankRuehl" w:hint="cs"/>
          <w:vanish/>
          <w:sz w:val="22"/>
          <w:szCs w:val="22"/>
          <w:u w:val="single"/>
          <w:shd w:val="clear" w:color="auto" w:fill="FFFF99"/>
          <w:rtl/>
        </w:rPr>
        <w:tab/>
        <w:t xml:space="preserve">השפעה לרעה של הטלת העיצום הכספי על המשך פעילותו של המפר, בשל היחס הגבוה בין סכום העיצום הכספי לבין המדד שעליו החליטה הרשות להערכת מצבו הכלכלי של המפר, לרבות מחזור הפעילות השנתי או ההון העצמי לגבי מפר שהוא תאגיד, וההכנסה או ההון לגבי מפר שהוא יחיד </w:t>
      </w:r>
      <w:r w:rsidRPr="00E4449D">
        <w:rPr>
          <w:rStyle w:val="default"/>
          <w:rFonts w:cs="FrankRuehl"/>
          <w:vanish/>
          <w:sz w:val="22"/>
          <w:szCs w:val="22"/>
          <w:u w:val="single"/>
          <w:shd w:val="clear" w:color="auto" w:fill="FFFF99"/>
          <w:rtl/>
        </w:rPr>
        <w:t>–</w:t>
      </w:r>
      <w:r w:rsidRPr="00E4449D">
        <w:rPr>
          <w:rStyle w:val="default"/>
          <w:rFonts w:cs="FrankRuehl" w:hint="cs"/>
          <w:vanish/>
          <w:sz w:val="22"/>
          <w:szCs w:val="22"/>
          <w:u w:val="single"/>
          <w:shd w:val="clear" w:color="auto" w:fill="FFFF99"/>
          <w:rtl/>
        </w:rPr>
        <w:t xml:space="preserve"> עד 50%.</w:t>
      </w:r>
      <w:bookmarkEnd w:id="2"/>
    </w:p>
    <w:p w14:paraId="3D27317C" w14:textId="77777777" w:rsidR="00367B5E" w:rsidRDefault="00367B5E" w:rsidP="00431CAA">
      <w:pPr>
        <w:pStyle w:val="P00"/>
        <w:spacing w:before="72"/>
        <w:ind w:left="0" w:right="1134"/>
        <w:rPr>
          <w:rStyle w:val="default"/>
          <w:rFonts w:cs="FrankRuehl" w:hint="cs"/>
          <w:rtl/>
        </w:rPr>
      </w:pPr>
    </w:p>
    <w:p w14:paraId="23A2264F" w14:textId="77777777" w:rsidR="00D25D5C" w:rsidRDefault="00D25D5C" w:rsidP="00431CAA">
      <w:pPr>
        <w:pStyle w:val="P00"/>
        <w:spacing w:before="72"/>
        <w:ind w:left="0" w:right="1134"/>
        <w:rPr>
          <w:rStyle w:val="default"/>
          <w:rFonts w:cs="FrankRuehl"/>
          <w:rtl/>
        </w:rPr>
      </w:pPr>
    </w:p>
    <w:p w14:paraId="1EA46A63" w14:textId="77777777" w:rsidR="00C34AA6" w:rsidRDefault="00120913" w:rsidP="00120913">
      <w:pPr>
        <w:pStyle w:val="sig-0"/>
        <w:tabs>
          <w:tab w:val="clear" w:pos="4820"/>
          <w:tab w:val="center" w:pos="5103"/>
        </w:tabs>
        <w:ind w:left="0" w:right="1134"/>
        <w:rPr>
          <w:rFonts w:cs="FrankRuehl" w:hint="cs"/>
          <w:sz w:val="26"/>
          <w:rtl/>
        </w:rPr>
      </w:pPr>
      <w:r>
        <w:rPr>
          <w:rFonts w:cs="FrankRuehl" w:hint="cs"/>
          <w:sz w:val="26"/>
          <w:rtl/>
        </w:rPr>
        <w:lastRenderedPageBreak/>
        <w:t>כ"ט בשבט התשע"א (3 בפברואר</w:t>
      </w:r>
      <w:r w:rsidR="00F750C5">
        <w:rPr>
          <w:rFonts w:cs="FrankRuehl" w:hint="cs"/>
          <w:sz w:val="26"/>
          <w:rtl/>
        </w:rPr>
        <w:t xml:space="preserve"> 2011</w:t>
      </w:r>
      <w:r w:rsidR="00700FF2">
        <w:rPr>
          <w:rFonts w:cs="FrankRuehl" w:hint="cs"/>
          <w:sz w:val="26"/>
          <w:rtl/>
        </w:rPr>
        <w:t>)</w:t>
      </w:r>
      <w:r w:rsidR="00C34AA6">
        <w:rPr>
          <w:rFonts w:cs="FrankRuehl" w:hint="cs"/>
          <w:sz w:val="26"/>
          <w:rtl/>
        </w:rPr>
        <w:tab/>
      </w:r>
      <w:r>
        <w:rPr>
          <w:rFonts w:cs="FrankRuehl" w:hint="cs"/>
          <w:sz w:val="26"/>
          <w:rtl/>
        </w:rPr>
        <w:t>יובל שטייניץ</w:t>
      </w:r>
    </w:p>
    <w:p w14:paraId="24920898" w14:textId="77777777" w:rsidR="00C34AA6" w:rsidRDefault="00C34AA6" w:rsidP="00120913">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120913">
        <w:rPr>
          <w:rFonts w:cs="FrankRuehl" w:hint="cs"/>
          <w:sz w:val="22"/>
          <w:rtl/>
        </w:rPr>
        <w:t>שר האוצר</w:t>
      </w:r>
    </w:p>
    <w:p w14:paraId="116084A4" w14:textId="77777777" w:rsidR="00B10A5F" w:rsidRDefault="00B10A5F" w:rsidP="00927A15">
      <w:pPr>
        <w:pStyle w:val="P00"/>
        <w:spacing w:before="72"/>
        <w:ind w:left="0" w:right="1134"/>
        <w:rPr>
          <w:rStyle w:val="default"/>
          <w:rFonts w:cs="FrankRuehl" w:hint="cs"/>
          <w:rtl/>
        </w:rPr>
      </w:pPr>
    </w:p>
    <w:p w14:paraId="3ECD3DC0" w14:textId="77777777" w:rsidR="00927A15" w:rsidRDefault="00927A15" w:rsidP="00927A15">
      <w:pPr>
        <w:pStyle w:val="P00"/>
        <w:spacing w:before="72"/>
        <w:ind w:left="0" w:right="1134"/>
        <w:rPr>
          <w:rStyle w:val="default"/>
          <w:rFonts w:cs="FrankRuehl" w:hint="cs"/>
          <w:rtl/>
        </w:rPr>
      </w:pPr>
    </w:p>
    <w:p w14:paraId="62C6D51A" w14:textId="77777777" w:rsidR="00C33648" w:rsidRDefault="00C33648" w:rsidP="00927A15">
      <w:pPr>
        <w:pStyle w:val="P00"/>
        <w:spacing w:before="72"/>
        <w:ind w:left="0" w:right="1134"/>
        <w:rPr>
          <w:rStyle w:val="default"/>
          <w:rFonts w:cs="FrankRuehl"/>
          <w:rtl/>
        </w:rPr>
      </w:pPr>
    </w:p>
    <w:p w14:paraId="00EA24EF" w14:textId="77777777" w:rsidR="00C33648" w:rsidRDefault="00C33648" w:rsidP="00927A15">
      <w:pPr>
        <w:pStyle w:val="P00"/>
        <w:spacing w:before="72"/>
        <w:ind w:left="0" w:right="1134"/>
        <w:rPr>
          <w:rStyle w:val="default"/>
          <w:rFonts w:cs="FrankRuehl"/>
          <w:rtl/>
        </w:rPr>
      </w:pPr>
    </w:p>
    <w:p w14:paraId="31979A2D" w14:textId="77777777" w:rsidR="00C33648" w:rsidRDefault="00C33648" w:rsidP="00C33648">
      <w:pPr>
        <w:pStyle w:val="P00"/>
        <w:spacing w:before="72"/>
        <w:ind w:left="0" w:right="1134"/>
        <w:jc w:val="center"/>
        <w:rPr>
          <w:rStyle w:val="default"/>
          <w:rFonts w:cs="David"/>
          <w:color w:val="0000FF"/>
          <w:szCs w:val="24"/>
          <w:u w:val="single"/>
          <w:rtl/>
        </w:rPr>
      </w:pPr>
      <w:hyperlink r:id="rId8" w:history="1">
        <w:r>
          <w:rPr>
            <w:rStyle w:val="Hyperlink"/>
            <w:rFonts w:cs="David"/>
            <w:noProof w:val="0"/>
            <w:sz w:val="22"/>
            <w:szCs w:val="24"/>
            <w:rtl/>
          </w:rPr>
          <w:t>הודעה למנויים על עריכה ושינויים במסמכי פסיקה, חקיקה ועוד באתר נבו - הקש כאן</w:t>
        </w:r>
      </w:hyperlink>
    </w:p>
    <w:p w14:paraId="2002706A" w14:textId="77777777" w:rsidR="00121F0B" w:rsidRDefault="00121F0B" w:rsidP="00C33648">
      <w:pPr>
        <w:pStyle w:val="P00"/>
        <w:spacing w:before="72"/>
        <w:ind w:left="0" w:right="1134"/>
        <w:jc w:val="center"/>
        <w:rPr>
          <w:rStyle w:val="default"/>
          <w:rFonts w:cs="David"/>
          <w:color w:val="0000FF"/>
          <w:szCs w:val="24"/>
          <w:u w:val="single"/>
          <w:rtl/>
        </w:rPr>
      </w:pPr>
    </w:p>
    <w:p w14:paraId="189F5D1A" w14:textId="77777777" w:rsidR="00121F0B" w:rsidRDefault="00121F0B" w:rsidP="00C33648">
      <w:pPr>
        <w:pStyle w:val="P00"/>
        <w:spacing w:before="72"/>
        <w:ind w:left="0" w:right="1134"/>
        <w:jc w:val="center"/>
        <w:rPr>
          <w:rStyle w:val="default"/>
          <w:rFonts w:cs="David"/>
          <w:color w:val="0000FF"/>
          <w:szCs w:val="24"/>
          <w:u w:val="single"/>
          <w:rtl/>
        </w:rPr>
      </w:pPr>
    </w:p>
    <w:p w14:paraId="34C36E53" w14:textId="77777777" w:rsidR="00121F0B" w:rsidRDefault="00121F0B" w:rsidP="00121F0B">
      <w:pPr>
        <w:pStyle w:val="P00"/>
        <w:spacing w:before="72"/>
        <w:ind w:left="0" w:right="1134"/>
        <w:jc w:val="center"/>
        <w:rPr>
          <w:rStyle w:val="default"/>
          <w:rFonts w:cs="David"/>
          <w:color w:val="0000FF"/>
          <w:szCs w:val="24"/>
          <w:u w:val="single"/>
          <w:rtl/>
        </w:rPr>
      </w:pPr>
      <w:hyperlink r:id="rId9" w:history="1">
        <w:r>
          <w:rPr>
            <w:rStyle w:val="Hyperlink"/>
            <w:rFonts w:cs="David"/>
            <w:noProof w:val="0"/>
            <w:sz w:val="22"/>
            <w:szCs w:val="24"/>
            <w:rtl/>
          </w:rPr>
          <w:t>הודעה למנויים על עריכה ושינויים במסמכי פסיקה, חקיקה ועוד באתר נבו - הקש כאן</w:t>
        </w:r>
      </w:hyperlink>
    </w:p>
    <w:p w14:paraId="486C2701" w14:textId="77777777" w:rsidR="006E2876" w:rsidRPr="00121F0B" w:rsidRDefault="006E2876" w:rsidP="00121F0B">
      <w:pPr>
        <w:pStyle w:val="P00"/>
        <w:spacing w:before="72"/>
        <w:ind w:left="0" w:right="1134"/>
        <w:jc w:val="center"/>
        <w:rPr>
          <w:rStyle w:val="default"/>
          <w:rFonts w:cs="David"/>
          <w:color w:val="0000FF"/>
          <w:szCs w:val="24"/>
          <w:u w:val="single"/>
          <w:rtl/>
        </w:rPr>
      </w:pPr>
    </w:p>
    <w:sectPr w:rsidR="006E2876" w:rsidRPr="00121F0B">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E292D" w14:textId="77777777" w:rsidR="009E4945" w:rsidRDefault="009E4945">
      <w:r>
        <w:separator/>
      </w:r>
    </w:p>
  </w:endnote>
  <w:endnote w:type="continuationSeparator" w:id="0">
    <w:p w14:paraId="0D21E8AE" w14:textId="77777777" w:rsidR="009E4945" w:rsidRDefault="009E4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07633" w14:textId="77777777" w:rsidR="00BE05E1" w:rsidRDefault="00BE05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07343CA" w14:textId="77777777" w:rsidR="00BE05E1" w:rsidRDefault="00BE05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0FC7E3D" w14:textId="77777777" w:rsidR="00BE05E1" w:rsidRDefault="00BE05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33648">
      <w:rPr>
        <w:rFonts w:cs="TopType Jerushalmi"/>
        <w:noProof/>
        <w:color w:val="000000"/>
        <w:sz w:val="14"/>
        <w:szCs w:val="14"/>
      </w:rPr>
      <w:t>Z:\000-law\yael\2011\11-02-22\tav\500_448.doc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AB701" w14:textId="77777777" w:rsidR="00BE05E1" w:rsidRDefault="00BE05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21F0B">
      <w:rPr>
        <w:rFonts w:hAnsi="FrankRuehl" w:cs="FrankRuehl"/>
        <w:noProof/>
        <w:sz w:val="24"/>
        <w:szCs w:val="24"/>
        <w:rtl/>
      </w:rPr>
      <w:t>2</w:t>
    </w:r>
    <w:r>
      <w:rPr>
        <w:rFonts w:hAnsi="FrankRuehl" w:cs="FrankRuehl"/>
        <w:sz w:val="24"/>
        <w:szCs w:val="24"/>
        <w:rtl/>
      </w:rPr>
      <w:fldChar w:fldCharType="end"/>
    </w:r>
  </w:p>
  <w:p w14:paraId="455B7848" w14:textId="77777777" w:rsidR="00BE05E1" w:rsidRDefault="00BE05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122309B" w14:textId="77777777" w:rsidR="00BE05E1" w:rsidRDefault="00BE05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33648">
      <w:rPr>
        <w:rFonts w:cs="TopType Jerushalmi"/>
        <w:noProof/>
        <w:color w:val="000000"/>
        <w:sz w:val="14"/>
        <w:szCs w:val="14"/>
      </w:rPr>
      <w:t>Z:\000-law\yael\2011\11-02-22\tav\500_448.doc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77FF8" w14:textId="77777777" w:rsidR="009E4945" w:rsidRDefault="009E4945" w:rsidP="007C57AA">
      <w:pPr>
        <w:spacing w:before="60" w:line="240" w:lineRule="auto"/>
        <w:ind w:right="1134"/>
      </w:pPr>
      <w:r>
        <w:separator/>
      </w:r>
    </w:p>
  </w:footnote>
  <w:footnote w:type="continuationSeparator" w:id="0">
    <w:p w14:paraId="5888F612" w14:textId="77777777" w:rsidR="009E4945" w:rsidRDefault="009E4945">
      <w:pPr>
        <w:spacing w:before="60"/>
        <w:ind w:right="1134"/>
      </w:pPr>
      <w:r>
        <w:separator/>
      </w:r>
    </w:p>
  </w:footnote>
  <w:footnote w:id="1">
    <w:p w14:paraId="6C9500D5" w14:textId="77777777" w:rsidR="00C54108" w:rsidRDefault="00BE05E1" w:rsidP="00367B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455C8F">
        <w:rPr>
          <w:rFonts w:cs="FrankRuehl" w:hint="cs"/>
          <w:rtl/>
        </w:rPr>
        <w:t xml:space="preserve"> פורס</w:t>
      </w:r>
      <w:r w:rsidR="00367B5E">
        <w:rPr>
          <w:rFonts w:cs="FrankRuehl" w:hint="cs"/>
          <w:rtl/>
        </w:rPr>
        <w:t>מו</w:t>
      </w:r>
      <w:r>
        <w:rPr>
          <w:rFonts w:cs="FrankRuehl" w:hint="cs"/>
          <w:rtl/>
        </w:rPr>
        <w:t xml:space="preserve"> </w:t>
      </w:r>
      <w:hyperlink r:id="rId1" w:history="1">
        <w:r w:rsidRPr="00C54108">
          <w:rPr>
            <w:rStyle w:val="Hyperlink"/>
            <w:rFonts w:cs="FrankRuehl" w:hint="cs"/>
            <w:rtl/>
          </w:rPr>
          <w:t xml:space="preserve">ק"ת </w:t>
        </w:r>
        <w:r w:rsidR="00946F57" w:rsidRPr="00C54108">
          <w:rPr>
            <w:rStyle w:val="Hyperlink"/>
            <w:rFonts w:cs="FrankRuehl" w:hint="cs"/>
            <w:rtl/>
          </w:rPr>
          <w:t>תש</w:t>
        </w:r>
        <w:r w:rsidR="00C97C92" w:rsidRPr="00C54108">
          <w:rPr>
            <w:rStyle w:val="Hyperlink"/>
            <w:rFonts w:cs="FrankRuehl" w:hint="cs"/>
            <w:rtl/>
          </w:rPr>
          <w:t>ע"א</w:t>
        </w:r>
        <w:r w:rsidR="00946F57" w:rsidRPr="00C54108">
          <w:rPr>
            <w:rStyle w:val="Hyperlink"/>
            <w:rFonts w:cs="FrankRuehl" w:hint="cs"/>
            <w:rtl/>
          </w:rPr>
          <w:t xml:space="preserve"> מס' </w:t>
        </w:r>
        <w:r w:rsidR="00B10A5F" w:rsidRPr="00C54108">
          <w:rPr>
            <w:rStyle w:val="Hyperlink"/>
            <w:rFonts w:cs="FrankRuehl" w:hint="cs"/>
            <w:rtl/>
          </w:rPr>
          <w:t>6978</w:t>
        </w:r>
      </w:hyperlink>
      <w:r w:rsidR="00946F57">
        <w:rPr>
          <w:rFonts w:cs="FrankRuehl" w:hint="cs"/>
          <w:rtl/>
        </w:rPr>
        <w:t xml:space="preserve"> מיום </w:t>
      </w:r>
      <w:r w:rsidR="00B10A5F">
        <w:rPr>
          <w:rFonts w:cs="FrankRuehl" w:hint="cs"/>
          <w:rtl/>
        </w:rPr>
        <w:t>17</w:t>
      </w:r>
      <w:r w:rsidR="00C97C92">
        <w:rPr>
          <w:rFonts w:cs="FrankRuehl" w:hint="cs"/>
          <w:rtl/>
        </w:rPr>
        <w:t>.2.2011</w:t>
      </w:r>
      <w:r w:rsidR="00946F57">
        <w:rPr>
          <w:rFonts w:cs="FrankRuehl" w:hint="cs"/>
          <w:rtl/>
        </w:rPr>
        <w:t xml:space="preserve"> עמ' </w:t>
      </w:r>
      <w:r w:rsidR="00B10A5F">
        <w:rPr>
          <w:rFonts w:cs="FrankRuehl" w:hint="cs"/>
          <w:rtl/>
        </w:rPr>
        <w:t>704</w:t>
      </w:r>
      <w:r w:rsidR="00376DF7">
        <w:rPr>
          <w:rFonts w:cs="FrankRuehl" w:hint="cs"/>
          <w:rtl/>
        </w:rPr>
        <w:t>.</w:t>
      </w:r>
    </w:p>
    <w:p w14:paraId="2B4DE2AB" w14:textId="77777777" w:rsidR="001609B7" w:rsidRDefault="00367B5E" w:rsidP="001609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1609B7">
          <w:rPr>
            <w:rStyle w:val="Hyperlink"/>
            <w:rFonts w:cs="FrankRuehl" w:hint="cs"/>
            <w:rtl/>
          </w:rPr>
          <w:t>ק"ת תשע"ד מס' 7427</w:t>
        </w:r>
      </w:hyperlink>
      <w:r>
        <w:rPr>
          <w:rFonts w:cs="FrankRuehl" w:hint="cs"/>
          <w:rtl/>
        </w:rPr>
        <w:t xml:space="preserve"> מיום 23.9.2014 עמ' 1802 </w:t>
      </w:r>
      <w:r>
        <w:rPr>
          <w:rFonts w:cs="FrankRuehl"/>
          <w:rtl/>
        </w:rPr>
        <w:t>–</w:t>
      </w:r>
      <w:r>
        <w:rPr>
          <w:rFonts w:cs="FrankRuehl" w:hint="cs"/>
          <w:rtl/>
        </w:rPr>
        <w:t xml:space="preserve"> תק' תשע"ד-2014.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80125" w14:textId="77777777" w:rsidR="00BE05E1" w:rsidRDefault="00BE05E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5F0B397" w14:textId="77777777" w:rsidR="00BE05E1" w:rsidRDefault="00BE05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E26AF2D" w14:textId="77777777" w:rsidR="00BE05E1" w:rsidRDefault="00BE05E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99F02" w14:textId="77777777" w:rsidR="00BE05E1" w:rsidRDefault="00B10A5F" w:rsidP="00C97C9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ניירות ערך (הפחתה של סכומי עיצום כספי</w:t>
    </w:r>
    <w:r w:rsidR="00C97C92">
      <w:rPr>
        <w:rFonts w:hAnsi="FrankRuehl" w:cs="FrankRuehl" w:hint="cs"/>
        <w:color w:val="000000"/>
        <w:sz w:val="28"/>
        <w:szCs w:val="28"/>
        <w:rtl/>
      </w:rPr>
      <w:t>), תשע"א-2011</w:t>
    </w:r>
  </w:p>
  <w:p w14:paraId="3E75D2F0" w14:textId="77777777" w:rsidR="00BE05E1" w:rsidRDefault="00BE05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92A1867" w14:textId="77777777" w:rsidR="00BE05E1" w:rsidRDefault="00BE05E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097169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201C8"/>
    <w:rsid w:val="00023F17"/>
    <w:rsid w:val="0003312A"/>
    <w:rsid w:val="00046B7F"/>
    <w:rsid w:val="000619D9"/>
    <w:rsid w:val="00064468"/>
    <w:rsid w:val="000948CA"/>
    <w:rsid w:val="000A2BBE"/>
    <w:rsid w:val="000D4311"/>
    <w:rsid w:val="000D50FD"/>
    <w:rsid w:val="000D7097"/>
    <w:rsid w:val="000D7FBE"/>
    <w:rsid w:val="000E4761"/>
    <w:rsid w:val="000E6E54"/>
    <w:rsid w:val="0010753D"/>
    <w:rsid w:val="00112119"/>
    <w:rsid w:val="00120913"/>
    <w:rsid w:val="00121F0B"/>
    <w:rsid w:val="00122C2E"/>
    <w:rsid w:val="001275F0"/>
    <w:rsid w:val="001474C5"/>
    <w:rsid w:val="001609B7"/>
    <w:rsid w:val="001658BC"/>
    <w:rsid w:val="00186445"/>
    <w:rsid w:val="00186474"/>
    <w:rsid w:val="001A726F"/>
    <w:rsid w:val="001B5B76"/>
    <w:rsid w:val="001C4AB6"/>
    <w:rsid w:val="001E0FA8"/>
    <w:rsid w:val="0021690D"/>
    <w:rsid w:val="002216B6"/>
    <w:rsid w:val="002538D4"/>
    <w:rsid w:val="00271086"/>
    <w:rsid w:val="002840F8"/>
    <w:rsid w:val="00290DB6"/>
    <w:rsid w:val="002C1D2E"/>
    <w:rsid w:val="002C2884"/>
    <w:rsid w:val="002C7187"/>
    <w:rsid w:val="002E3E60"/>
    <w:rsid w:val="003105B2"/>
    <w:rsid w:val="003165E7"/>
    <w:rsid w:val="0033559B"/>
    <w:rsid w:val="00340CC2"/>
    <w:rsid w:val="00342C78"/>
    <w:rsid w:val="003528CA"/>
    <w:rsid w:val="00367B5E"/>
    <w:rsid w:val="00372BFF"/>
    <w:rsid w:val="00376DF7"/>
    <w:rsid w:val="003A23D8"/>
    <w:rsid w:val="003A24C9"/>
    <w:rsid w:val="003E10E3"/>
    <w:rsid w:val="003E17A4"/>
    <w:rsid w:val="003E74D6"/>
    <w:rsid w:val="003F2DEA"/>
    <w:rsid w:val="003F5C71"/>
    <w:rsid w:val="0041737A"/>
    <w:rsid w:val="00431CAA"/>
    <w:rsid w:val="004355B4"/>
    <w:rsid w:val="004555FD"/>
    <w:rsid w:val="00455C8F"/>
    <w:rsid w:val="00460500"/>
    <w:rsid w:val="00481443"/>
    <w:rsid w:val="00484974"/>
    <w:rsid w:val="00490D4B"/>
    <w:rsid w:val="004B6D66"/>
    <w:rsid w:val="004C0FF7"/>
    <w:rsid w:val="004C1575"/>
    <w:rsid w:val="004C3C1F"/>
    <w:rsid w:val="004F31AA"/>
    <w:rsid w:val="004F32A4"/>
    <w:rsid w:val="004F512C"/>
    <w:rsid w:val="005114C3"/>
    <w:rsid w:val="005416A0"/>
    <w:rsid w:val="00574BC7"/>
    <w:rsid w:val="005A091F"/>
    <w:rsid w:val="005A2068"/>
    <w:rsid w:val="005A4835"/>
    <w:rsid w:val="005C1086"/>
    <w:rsid w:val="005C17DB"/>
    <w:rsid w:val="005D2613"/>
    <w:rsid w:val="005E3B35"/>
    <w:rsid w:val="005E7167"/>
    <w:rsid w:val="00635CB5"/>
    <w:rsid w:val="00637D0B"/>
    <w:rsid w:val="00640B97"/>
    <w:rsid w:val="00642120"/>
    <w:rsid w:val="00646B15"/>
    <w:rsid w:val="00654667"/>
    <w:rsid w:val="00661977"/>
    <w:rsid w:val="00661E3B"/>
    <w:rsid w:val="006849D8"/>
    <w:rsid w:val="00687666"/>
    <w:rsid w:val="006E2876"/>
    <w:rsid w:val="00700FF2"/>
    <w:rsid w:val="00716D50"/>
    <w:rsid w:val="00720039"/>
    <w:rsid w:val="0076254E"/>
    <w:rsid w:val="00773B57"/>
    <w:rsid w:val="0077433A"/>
    <w:rsid w:val="0078071F"/>
    <w:rsid w:val="007B6045"/>
    <w:rsid w:val="007C0B21"/>
    <w:rsid w:val="007C57AA"/>
    <w:rsid w:val="00814BFC"/>
    <w:rsid w:val="008159FF"/>
    <w:rsid w:val="00852A6C"/>
    <w:rsid w:val="0085655A"/>
    <w:rsid w:val="0086107A"/>
    <w:rsid w:val="00861836"/>
    <w:rsid w:val="0087771D"/>
    <w:rsid w:val="0089792E"/>
    <w:rsid w:val="008A2810"/>
    <w:rsid w:val="008A41CD"/>
    <w:rsid w:val="008A638E"/>
    <w:rsid w:val="008C0C98"/>
    <w:rsid w:val="008C2526"/>
    <w:rsid w:val="008D4BF1"/>
    <w:rsid w:val="008E367E"/>
    <w:rsid w:val="00904EEA"/>
    <w:rsid w:val="00906581"/>
    <w:rsid w:val="00927A15"/>
    <w:rsid w:val="00946F57"/>
    <w:rsid w:val="00950392"/>
    <w:rsid w:val="00955AC8"/>
    <w:rsid w:val="009A4D88"/>
    <w:rsid w:val="009C2916"/>
    <w:rsid w:val="009E2AAC"/>
    <w:rsid w:val="009E4945"/>
    <w:rsid w:val="00A10AE2"/>
    <w:rsid w:val="00A141C3"/>
    <w:rsid w:val="00A14F70"/>
    <w:rsid w:val="00A249B5"/>
    <w:rsid w:val="00A40512"/>
    <w:rsid w:val="00A42C95"/>
    <w:rsid w:val="00A46782"/>
    <w:rsid w:val="00A9239A"/>
    <w:rsid w:val="00A92DCD"/>
    <w:rsid w:val="00AA558E"/>
    <w:rsid w:val="00AB45B5"/>
    <w:rsid w:val="00AC5034"/>
    <w:rsid w:val="00AC7B1B"/>
    <w:rsid w:val="00B00CDF"/>
    <w:rsid w:val="00B10A5F"/>
    <w:rsid w:val="00B12F53"/>
    <w:rsid w:val="00B136A6"/>
    <w:rsid w:val="00B15F50"/>
    <w:rsid w:val="00B17AF7"/>
    <w:rsid w:val="00B62BCF"/>
    <w:rsid w:val="00B80446"/>
    <w:rsid w:val="00B8400A"/>
    <w:rsid w:val="00B84C6D"/>
    <w:rsid w:val="00B87DA4"/>
    <w:rsid w:val="00BB0778"/>
    <w:rsid w:val="00BD2B33"/>
    <w:rsid w:val="00BE03B7"/>
    <w:rsid w:val="00BE05E1"/>
    <w:rsid w:val="00BE2052"/>
    <w:rsid w:val="00BF580C"/>
    <w:rsid w:val="00C17A30"/>
    <w:rsid w:val="00C33648"/>
    <w:rsid w:val="00C34AA6"/>
    <w:rsid w:val="00C53230"/>
    <w:rsid w:val="00C54108"/>
    <w:rsid w:val="00C6067A"/>
    <w:rsid w:val="00C76680"/>
    <w:rsid w:val="00C835EB"/>
    <w:rsid w:val="00C97C92"/>
    <w:rsid w:val="00CA174A"/>
    <w:rsid w:val="00CC7FEC"/>
    <w:rsid w:val="00CD6719"/>
    <w:rsid w:val="00CE099D"/>
    <w:rsid w:val="00D0530C"/>
    <w:rsid w:val="00D10BBD"/>
    <w:rsid w:val="00D25D5C"/>
    <w:rsid w:val="00D3243E"/>
    <w:rsid w:val="00D33D4D"/>
    <w:rsid w:val="00D3775C"/>
    <w:rsid w:val="00D4088D"/>
    <w:rsid w:val="00D5121D"/>
    <w:rsid w:val="00D55EBB"/>
    <w:rsid w:val="00D714B8"/>
    <w:rsid w:val="00D909F6"/>
    <w:rsid w:val="00DC20A3"/>
    <w:rsid w:val="00DD5B70"/>
    <w:rsid w:val="00DE393F"/>
    <w:rsid w:val="00DF1462"/>
    <w:rsid w:val="00E4449D"/>
    <w:rsid w:val="00E6596B"/>
    <w:rsid w:val="00E7431C"/>
    <w:rsid w:val="00E910DE"/>
    <w:rsid w:val="00E967BF"/>
    <w:rsid w:val="00EC6FC4"/>
    <w:rsid w:val="00ED50FD"/>
    <w:rsid w:val="00EE068A"/>
    <w:rsid w:val="00EE528E"/>
    <w:rsid w:val="00EE70B6"/>
    <w:rsid w:val="00EF1C64"/>
    <w:rsid w:val="00EF53E3"/>
    <w:rsid w:val="00F04717"/>
    <w:rsid w:val="00F23B49"/>
    <w:rsid w:val="00F6207C"/>
    <w:rsid w:val="00F630D7"/>
    <w:rsid w:val="00F67759"/>
    <w:rsid w:val="00F67F6D"/>
    <w:rsid w:val="00F750C5"/>
    <w:rsid w:val="00F774E6"/>
    <w:rsid w:val="00F810E4"/>
    <w:rsid w:val="00F87D85"/>
    <w:rsid w:val="00F97644"/>
    <w:rsid w:val="00FA1FFE"/>
    <w:rsid w:val="00FB27A7"/>
    <w:rsid w:val="00FC2BF4"/>
    <w:rsid w:val="00FC445F"/>
    <w:rsid w:val="00FC7723"/>
    <w:rsid w:val="00FE3E63"/>
    <w:rsid w:val="00FE7F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3B7C64E"/>
  <w15:chartTrackingRefBased/>
  <w15:docId w15:val="{23ED8194-C9EA-4B45-A533-BD9E9BB16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06/tak-7427.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427.pdf" TargetMode="External"/><Relationship Id="rId1" Type="http://schemas.openxmlformats.org/officeDocument/2006/relationships/hyperlink" Target="http://www.nevo.co.il/Law_word/law06/TAK-697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4150</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393283</vt:i4>
      </vt:variant>
      <vt:variant>
        <vt:i4>15</vt:i4>
      </vt:variant>
      <vt:variant>
        <vt:i4>0</vt:i4>
      </vt:variant>
      <vt:variant>
        <vt:i4>5</vt:i4>
      </vt:variant>
      <vt:variant>
        <vt:lpwstr>http://www.nevo.co.il/advertisements/nevo-100.doc</vt:lpwstr>
      </vt:variant>
      <vt:variant>
        <vt:lpwstr/>
      </vt:variant>
      <vt:variant>
        <vt:i4>8126475</vt:i4>
      </vt:variant>
      <vt:variant>
        <vt:i4>12</vt:i4>
      </vt:variant>
      <vt:variant>
        <vt:i4>0</vt:i4>
      </vt:variant>
      <vt:variant>
        <vt:i4>5</vt:i4>
      </vt:variant>
      <vt:variant>
        <vt:lpwstr>http://www.nevo.co.il/Law_word/law06/tak-7427.pdf</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8126475</vt:i4>
      </vt:variant>
      <vt:variant>
        <vt:i4>3</vt:i4>
      </vt:variant>
      <vt:variant>
        <vt:i4>0</vt:i4>
      </vt:variant>
      <vt:variant>
        <vt:i4>5</vt:i4>
      </vt:variant>
      <vt:variant>
        <vt:lpwstr>http://www.nevo.co.il/law_word/law06/tak-7427.pdf</vt:lpwstr>
      </vt:variant>
      <vt:variant>
        <vt:lpwstr/>
      </vt:variant>
      <vt:variant>
        <vt:i4>7864329</vt:i4>
      </vt:variant>
      <vt:variant>
        <vt:i4>0</vt:i4>
      </vt:variant>
      <vt:variant>
        <vt:i4>0</vt:i4>
      </vt:variant>
      <vt:variant>
        <vt:i4>5</vt:i4>
      </vt:variant>
      <vt:variant>
        <vt:lpwstr>http://www.nevo.co.il/Law_word/law06/TAK-6978.pdf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ניירות ערך (הפחתה של סכומי עיצום כספי), תשע"א-2011</vt:lpwstr>
  </property>
  <property fmtid="{D5CDD505-2E9C-101B-9397-08002B2CF9AE}" pid="4" name="LAWNUMBER">
    <vt:lpwstr>0448</vt:lpwstr>
  </property>
  <property fmtid="{D5CDD505-2E9C-101B-9397-08002B2CF9AE}" pid="5" name="TYPE">
    <vt:lpwstr>01</vt:lpwstr>
  </property>
  <property fmtid="{D5CDD505-2E9C-101B-9397-08002B2CF9AE}" pid="6" name="CHNAME">
    <vt:lpwstr>ניירות ערך</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NOSE11">
    <vt:lpwstr>משפט פרטי וכלכלה</vt:lpwstr>
  </property>
  <property fmtid="{D5CDD505-2E9C-101B-9397-08002B2CF9AE}" pid="23" name="NOSE21">
    <vt:lpwstr>תאגידים וניירות ערך</vt:lpwstr>
  </property>
  <property fmtid="{D5CDD505-2E9C-101B-9397-08002B2CF9AE}" pid="24" name="NOSE31">
    <vt:lpwstr>ניירות ערך</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כספים</vt:lpwstr>
  </property>
  <property fmtid="{D5CDD505-2E9C-101B-9397-08002B2CF9AE}" pid="28" name="NOSE32">
    <vt:lpwstr>שוק ההון</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ניירות ערך</vt:lpwstr>
  </property>
  <property fmtid="{D5CDD505-2E9C-101B-9397-08002B2CF9AE}" pid="63" name="MEKOR_SAIF1">
    <vt:lpwstr>52כXבX</vt:lpwstr>
  </property>
  <property fmtid="{D5CDD505-2E9C-101B-9397-08002B2CF9AE}" pid="64" name="MEKOR_NAME2">
    <vt:lpwstr>חוק השקעות משותפות בנאמנות</vt:lpwstr>
  </property>
  <property fmtid="{D5CDD505-2E9C-101B-9397-08002B2CF9AE}" pid="65" name="MEKOR_SAIF2">
    <vt:lpwstr>116XבX</vt:lpwstr>
  </property>
  <property fmtid="{D5CDD505-2E9C-101B-9397-08002B2CF9AE}" pid="66" name="MEKOR_NAME3">
    <vt:lpwstr>חוק להסדרת העיסוק בייעוץ השקעות, בשיווק השקעות ובניהול תיקי השקעות</vt:lpwstr>
  </property>
  <property fmtid="{D5CDD505-2E9C-101B-9397-08002B2CF9AE}" pid="67" name="MEKOR_SAIF3">
    <vt:lpwstr>38גXבX</vt:lpwstr>
  </property>
  <property fmtid="{D5CDD505-2E9C-101B-9397-08002B2CF9AE}" pid="68" name="LINKK1">
    <vt:lpwstr>http://www.nevo.co.il/Law_word/law06/TAK-6978.pdf;‎רשומות - תקנות כלליות#פורסם ק"ת תשע"א ‏מס' 6978# מיום 17.2.2011 עמ' 704‏</vt:lpwstr>
  </property>
  <property fmtid="{D5CDD505-2E9C-101B-9397-08002B2CF9AE}" pid="69" name="LINKK2">
    <vt:lpwstr>http://www.nevo.co.il/law_word/law06/tak-7427.pdf;‎רשומות - תקנות כלליות#תוקנו ק"ת תשע"ד מס' ‏‏7427 #מיום 23.9.2014 עמ' 1802 – תק' תשע"ד-2014‏</vt:lpwstr>
  </property>
</Properties>
</file>