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4845" w14:textId="77777777" w:rsidR="009C17D8" w:rsidRDefault="00B9282F" w:rsidP="006049FD">
      <w:pPr>
        <w:pStyle w:val="big-header"/>
        <w:ind w:left="0" w:right="1134"/>
        <w:rPr>
          <w:rFonts w:cs="FrankRuehl" w:hint="cs"/>
          <w:sz w:val="32"/>
          <w:rtl/>
        </w:rPr>
      </w:pPr>
      <w:r>
        <w:rPr>
          <w:rFonts w:cs="FrankRuehl" w:hint="cs"/>
          <w:sz w:val="32"/>
          <w:rtl/>
        </w:rPr>
        <w:t xml:space="preserve">תקנות </w:t>
      </w:r>
      <w:r w:rsidR="006049FD">
        <w:rPr>
          <w:rFonts w:cs="FrankRuehl" w:hint="cs"/>
          <w:sz w:val="32"/>
          <w:rtl/>
        </w:rPr>
        <w:t>ניירות ערך (ייצוב מחירים</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14:paraId="3484455A" w14:textId="77777777" w:rsidR="006049FD" w:rsidRPr="006049FD" w:rsidRDefault="006049FD" w:rsidP="006049FD">
      <w:pPr>
        <w:spacing w:line="320" w:lineRule="auto"/>
        <w:jc w:val="left"/>
        <w:rPr>
          <w:rFonts w:cs="FrankRuehl"/>
          <w:szCs w:val="26"/>
          <w:rtl/>
        </w:rPr>
      </w:pPr>
    </w:p>
    <w:p w14:paraId="51654FB5" w14:textId="77777777" w:rsidR="006049FD" w:rsidRDefault="006049FD" w:rsidP="006049FD">
      <w:pPr>
        <w:spacing w:line="320" w:lineRule="auto"/>
        <w:jc w:val="left"/>
        <w:rPr>
          <w:rtl/>
        </w:rPr>
      </w:pPr>
    </w:p>
    <w:p w14:paraId="36AFAD91" w14:textId="77777777" w:rsidR="006049FD" w:rsidRDefault="006049FD" w:rsidP="006049FD">
      <w:pPr>
        <w:spacing w:line="320" w:lineRule="auto"/>
        <w:jc w:val="left"/>
        <w:rPr>
          <w:rFonts w:cs="Miriam"/>
          <w:szCs w:val="22"/>
          <w:rtl/>
        </w:rPr>
      </w:pPr>
      <w:r w:rsidRPr="006049FD">
        <w:rPr>
          <w:rFonts w:cs="Miriam"/>
          <w:szCs w:val="22"/>
          <w:rtl/>
        </w:rPr>
        <w:t>משפט פרטי וכלכלה</w:t>
      </w:r>
      <w:r w:rsidRPr="006049FD">
        <w:rPr>
          <w:rFonts w:cs="FrankRuehl"/>
          <w:szCs w:val="26"/>
          <w:rtl/>
        </w:rPr>
        <w:t xml:space="preserve"> – תאגידים וניירות ערך – ניירות ערך</w:t>
      </w:r>
    </w:p>
    <w:p w14:paraId="0CA27336" w14:textId="77777777" w:rsidR="006049FD" w:rsidRPr="006049FD" w:rsidRDefault="006049FD" w:rsidP="006049FD">
      <w:pPr>
        <w:spacing w:line="320" w:lineRule="auto"/>
        <w:jc w:val="left"/>
        <w:rPr>
          <w:rFonts w:cs="Miriam" w:hint="cs"/>
          <w:szCs w:val="22"/>
          <w:rtl/>
        </w:rPr>
      </w:pPr>
      <w:r w:rsidRPr="006049FD">
        <w:rPr>
          <w:rFonts w:cs="Miriam"/>
          <w:szCs w:val="22"/>
          <w:rtl/>
        </w:rPr>
        <w:t>משפט פרטי וכלכלה</w:t>
      </w:r>
      <w:r w:rsidRPr="006049FD">
        <w:rPr>
          <w:rFonts w:cs="FrankRuehl"/>
          <w:szCs w:val="26"/>
          <w:rtl/>
        </w:rPr>
        <w:t xml:space="preserve"> – כספים – שוק ההון</w:t>
      </w:r>
    </w:p>
    <w:p w14:paraId="4F2AA8CC"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869A5" w:rsidRPr="00D869A5" w14:paraId="006805E1" w14:textId="77777777" w:rsidTr="00D869A5">
        <w:tblPrEx>
          <w:tblCellMar>
            <w:top w:w="0" w:type="dxa"/>
            <w:bottom w:w="0" w:type="dxa"/>
          </w:tblCellMar>
        </w:tblPrEx>
        <w:tc>
          <w:tcPr>
            <w:tcW w:w="1247" w:type="dxa"/>
          </w:tcPr>
          <w:p w14:paraId="329A6D35" w14:textId="77777777" w:rsidR="00D869A5" w:rsidRPr="00D869A5" w:rsidRDefault="00D869A5" w:rsidP="00D869A5">
            <w:pPr>
              <w:spacing w:line="240" w:lineRule="auto"/>
              <w:jc w:val="left"/>
              <w:rPr>
                <w:rFonts w:cs="Frankruhel"/>
                <w:sz w:val="24"/>
                <w:rtl/>
              </w:rPr>
            </w:pPr>
            <w:r>
              <w:rPr>
                <w:sz w:val="24"/>
                <w:rtl/>
              </w:rPr>
              <w:t xml:space="preserve">סעיף 1 </w:t>
            </w:r>
          </w:p>
        </w:tc>
        <w:tc>
          <w:tcPr>
            <w:tcW w:w="5669" w:type="dxa"/>
          </w:tcPr>
          <w:p w14:paraId="695C4E96" w14:textId="77777777" w:rsidR="00D869A5" w:rsidRPr="00D869A5" w:rsidRDefault="00D869A5" w:rsidP="00D869A5">
            <w:pPr>
              <w:spacing w:line="240" w:lineRule="auto"/>
              <w:jc w:val="left"/>
              <w:rPr>
                <w:rFonts w:cs="Frankruhel"/>
                <w:sz w:val="24"/>
                <w:rtl/>
              </w:rPr>
            </w:pPr>
            <w:r>
              <w:rPr>
                <w:sz w:val="24"/>
                <w:rtl/>
              </w:rPr>
              <w:t>הגדרות</w:t>
            </w:r>
          </w:p>
        </w:tc>
        <w:tc>
          <w:tcPr>
            <w:tcW w:w="567" w:type="dxa"/>
          </w:tcPr>
          <w:p w14:paraId="153FC383" w14:textId="77777777" w:rsidR="00D869A5" w:rsidRPr="00D869A5" w:rsidRDefault="00D869A5" w:rsidP="00D869A5">
            <w:pPr>
              <w:spacing w:line="240" w:lineRule="auto"/>
              <w:jc w:val="left"/>
              <w:rPr>
                <w:rStyle w:val="Hyperlink"/>
                <w:rtl/>
              </w:rPr>
            </w:pPr>
            <w:hyperlink w:anchor="Seif1" w:tooltip="הגדרות" w:history="1">
              <w:r w:rsidRPr="00D869A5">
                <w:rPr>
                  <w:rStyle w:val="Hyperlink"/>
                </w:rPr>
                <w:t>Go</w:t>
              </w:r>
            </w:hyperlink>
          </w:p>
        </w:tc>
        <w:tc>
          <w:tcPr>
            <w:tcW w:w="850" w:type="dxa"/>
          </w:tcPr>
          <w:p w14:paraId="4A3C2519"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869A5" w:rsidRPr="00D869A5" w14:paraId="3E9BC28D" w14:textId="77777777" w:rsidTr="00D869A5">
        <w:tblPrEx>
          <w:tblCellMar>
            <w:top w:w="0" w:type="dxa"/>
            <w:bottom w:w="0" w:type="dxa"/>
          </w:tblCellMar>
        </w:tblPrEx>
        <w:tc>
          <w:tcPr>
            <w:tcW w:w="1247" w:type="dxa"/>
          </w:tcPr>
          <w:p w14:paraId="31B63B64" w14:textId="77777777" w:rsidR="00D869A5" w:rsidRPr="00D869A5" w:rsidRDefault="00D869A5" w:rsidP="00D869A5">
            <w:pPr>
              <w:spacing w:line="240" w:lineRule="auto"/>
              <w:jc w:val="left"/>
              <w:rPr>
                <w:rFonts w:cs="Frankruhel"/>
                <w:sz w:val="24"/>
                <w:rtl/>
              </w:rPr>
            </w:pPr>
            <w:r>
              <w:rPr>
                <w:sz w:val="24"/>
                <w:rtl/>
              </w:rPr>
              <w:t xml:space="preserve">סעיף 2 </w:t>
            </w:r>
          </w:p>
        </w:tc>
        <w:tc>
          <w:tcPr>
            <w:tcW w:w="5669" w:type="dxa"/>
          </w:tcPr>
          <w:p w14:paraId="37113D14" w14:textId="77777777" w:rsidR="00D869A5" w:rsidRPr="00D869A5" w:rsidRDefault="00D869A5" w:rsidP="00D869A5">
            <w:pPr>
              <w:spacing w:line="240" w:lineRule="auto"/>
              <w:jc w:val="left"/>
              <w:rPr>
                <w:rFonts w:cs="Frankruhel"/>
                <w:sz w:val="24"/>
                <w:rtl/>
              </w:rPr>
            </w:pPr>
            <w:r>
              <w:rPr>
                <w:sz w:val="24"/>
                <w:rtl/>
              </w:rPr>
              <w:t>חזקה לעניין העדר תרמית</w:t>
            </w:r>
          </w:p>
        </w:tc>
        <w:tc>
          <w:tcPr>
            <w:tcW w:w="567" w:type="dxa"/>
          </w:tcPr>
          <w:p w14:paraId="2B60F0A6" w14:textId="77777777" w:rsidR="00D869A5" w:rsidRPr="00D869A5" w:rsidRDefault="00D869A5" w:rsidP="00D869A5">
            <w:pPr>
              <w:spacing w:line="240" w:lineRule="auto"/>
              <w:jc w:val="left"/>
              <w:rPr>
                <w:rStyle w:val="Hyperlink"/>
                <w:rtl/>
              </w:rPr>
            </w:pPr>
            <w:hyperlink w:anchor="Seif2" w:tooltip="חזקה לעניין העדר תרמית" w:history="1">
              <w:r w:rsidRPr="00D869A5">
                <w:rPr>
                  <w:rStyle w:val="Hyperlink"/>
                </w:rPr>
                <w:t>Go</w:t>
              </w:r>
            </w:hyperlink>
          </w:p>
        </w:tc>
        <w:tc>
          <w:tcPr>
            <w:tcW w:w="850" w:type="dxa"/>
          </w:tcPr>
          <w:p w14:paraId="40FCD59D"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869A5" w:rsidRPr="00D869A5" w14:paraId="44541F52" w14:textId="77777777" w:rsidTr="00D869A5">
        <w:tblPrEx>
          <w:tblCellMar>
            <w:top w:w="0" w:type="dxa"/>
            <w:bottom w:w="0" w:type="dxa"/>
          </w:tblCellMar>
        </w:tblPrEx>
        <w:tc>
          <w:tcPr>
            <w:tcW w:w="1247" w:type="dxa"/>
          </w:tcPr>
          <w:p w14:paraId="78835EE1" w14:textId="77777777" w:rsidR="00D869A5" w:rsidRPr="00D869A5" w:rsidRDefault="00D869A5" w:rsidP="00D869A5">
            <w:pPr>
              <w:spacing w:line="240" w:lineRule="auto"/>
              <w:jc w:val="left"/>
              <w:rPr>
                <w:rFonts w:cs="Frankruhel"/>
                <w:sz w:val="24"/>
                <w:rtl/>
              </w:rPr>
            </w:pPr>
            <w:r>
              <w:rPr>
                <w:sz w:val="24"/>
                <w:rtl/>
              </w:rPr>
              <w:t xml:space="preserve">סעיף 3 </w:t>
            </w:r>
          </w:p>
        </w:tc>
        <w:tc>
          <w:tcPr>
            <w:tcW w:w="5669" w:type="dxa"/>
          </w:tcPr>
          <w:p w14:paraId="62DBDEC3" w14:textId="77777777" w:rsidR="00D869A5" w:rsidRPr="00D869A5" w:rsidRDefault="00D869A5" w:rsidP="00D869A5">
            <w:pPr>
              <w:spacing w:line="240" w:lineRule="auto"/>
              <w:jc w:val="left"/>
              <w:rPr>
                <w:rFonts w:cs="Frankruhel"/>
                <w:sz w:val="24"/>
                <w:rtl/>
              </w:rPr>
            </w:pPr>
            <w:r>
              <w:rPr>
                <w:sz w:val="24"/>
                <w:rtl/>
              </w:rPr>
              <w:t>דיווח על אודות הייצוב</w:t>
            </w:r>
          </w:p>
        </w:tc>
        <w:tc>
          <w:tcPr>
            <w:tcW w:w="567" w:type="dxa"/>
          </w:tcPr>
          <w:p w14:paraId="27FDD6F4" w14:textId="77777777" w:rsidR="00D869A5" w:rsidRPr="00D869A5" w:rsidRDefault="00D869A5" w:rsidP="00D869A5">
            <w:pPr>
              <w:spacing w:line="240" w:lineRule="auto"/>
              <w:jc w:val="left"/>
              <w:rPr>
                <w:rStyle w:val="Hyperlink"/>
                <w:rtl/>
              </w:rPr>
            </w:pPr>
            <w:hyperlink w:anchor="Seif3" w:tooltip="דיווח על אודות הייצוב" w:history="1">
              <w:r w:rsidRPr="00D869A5">
                <w:rPr>
                  <w:rStyle w:val="Hyperlink"/>
                </w:rPr>
                <w:t>Go</w:t>
              </w:r>
            </w:hyperlink>
          </w:p>
        </w:tc>
        <w:tc>
          <w:tcPr>
            <w:tcW w:w="850" w:type="dxa"/>
          </w:tcPr>
          <w:p w14:paraId="502C08A2"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69A5" w:rsidRPr="00D869A5" w14:paraId="177AEA9E" w14:textId="77777777" w:rsidTr="00D869A5">
        <w:tblPrEx>
          <w:tblCellMar>
            <w:top w:w="0" w:type="dxa"/>
            <w:bottom w:w="0" w:type="dxa"/>
          </w:tblCellMar>
        </w:tblPrEx>
        <w:tc>
          <w:tcPr>
            <w:tcW w:w="1247" w:type="dxa"/>
          </w:tcPr>
          <w:p w14:paraId="6A4258EA" w14:textId="77777777" w:rsidR="00D869A5" w:rsidRPr="00D869A5" w:rsidRDefault="00D869A5" w:rsidP="00D869A5">
            <w:pPr>
              <w:spacing w:line="240" w:lineRule="auto"/>
              <w:jc w:val="left"/>
              <w:rPr>
                <w:rFonts w:cs="Frankruhel"/>
                <w:sz w:val="24"/>
                <w:rtl/>
              </w:rPr>
            </w:pPr>
            <w:r>
              <w:rPr>
                <w:sz w:val="24"/>
                <w:rtl/>
              </w:rPr>
              <w:t xml:space="preserve">סעיף 4 </w:t>
            </w:r>
          </w:p>
        </w:tc>
        <w:tc>
          <w:tcPr>
            <w:tcW w:w="5669" w:type="dxa"/>
          </w:tcPr>
          <w:p w14:paraId="0E59F7D5" w14:textId="77777777" w:rsidR="00D869A5" w:rsidRPr="00D869A5" w:rsidRDefault="00D869A5" w:rsidP="00D869A5">
            <w:pPr>
              <w:spacing w:line="240" w:lineRule="auto"/>
              <w:jc w:val="left"/>
              <w:rPr>
                <w:rFonts w:cs="Frankruhel"/>
                <w:sz w:val="24"/>
                <w:rtl/>
              </w:rPr>
            </w:pPr>
            <w:r>
              <w:rPr>
                <w:sz w:val="24"/>
                <w:rtl/>
              </w:rPr>
              <w:t>שמירת מסמכים ותיעוד</w:t>
            </w:r>
          </w:p>
        </w:tc>
        <w:tc>
          <w:tcPr>
            <w:tcW w:w="567" w:type="dxa"/>
          </w:tcPr>
          <w:p w14:paraId="2C854C4B" w14:textId="77777777" w:rsidR="00D869A5" w:rsidRPr="00D869A5" w:rsidRDefault="00D869A5" w:rsidP="00D869A5">
            <w:pPr>
              <w:spacing w:line="240" w:lineRule="auto"/>
              <w:jc w:val="left"/>
              <w:rPr>
                <w:rStyle w:val="Hyperlink"/>
                <w:rtl/>
              </w:rPr>
            </w:pPr>
            <w:hyperlink w:anchor="Seif4" w:tooltip="שמירת מסמכים ותיעוד" w:history="1">
              <w:r w:rsidRPr="00D869A5">
                <w:rPr>
                  <w:rStyle w:val="Hyperlink"/>
                </w:rPr>
                <w:t>Go</w:t>
              </w:r>
            </w:hyperlink>
          </w:p>
        </w:tc>
        <w:tc>
          <w:tcPr>
            <w:tcW w:w="850" w:type="dxa"/>
          </w:tcPr>
          <w:p w14:paraId="10CCAFA4"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69A5" w:rsidRPr="00D869A5" w14:paraId="1605DE4B" w14:textId="77777777" w:rsidTr="00D869A5">
        <w:tblPrEx>
          <w:tblCellMar>
            <w:top w:w="0" w:type="dxa"/>
            <w:bottom w:w="0" w:type="dxa"/>
          </w:tblCellMar>
        </w:tblPrEx>
        <w:tc>
          <w:tcPr>
            <w:tcW w:w="1247" w:type="dxa"/>
          </w:tcPr>
          <w:p w14:paraId="6187602D" w14:textId="77777777" w:rsidR="00D869A5" w:rsidRPr="00D869A5" w:rsidRDefault="00D869A5" w:rsidP="00D869A5">
            <w:pPr>
              <w:spacing w:line="240" w:lineRule="auto"/>
              <w:jc w:val="left"/>
              <w:rPr>
                <w:rFonts w:cs="Frankruhel"/>
                <w:sz w:val="24"/>
                <w:rtl/>
              </w:rPr>
            </w:pPr>
            <w:r>
              <w:rPr>
                <w:sz w:val="24"/>
                <w:rtl/>
              </w:rPr>
              <w:t xml:space="preserve">סעיף 5 </w:t>
            </w:r>
          </w:p>
        </w:tc>
        <w:tc>
          <w:tcPr>
            <w:tcW w:w="5669" w:type="dxa"/>
          </w:tcPr>
          <w:p w14:paraId="218181B4" w14:textId="77777777" w:rsidR="00D869A5" w:rsidRPr="00D869A5" w:rsidRDefault="00D869A5" w:rsidP="00D869A5">
            <w:pPr>
              <w:spacing w:line="240" w:lineRule="auto"/>
              <w:jc w:val="left"/>
              <w:rPr>
                <w:rFonts w:cs="Frankruhel"/>
                <w:sz w:val="24"/>
                <w:rtl/>
              </w:rPr>
            </w:pPr>
            <w:r>
              <w:rPr>
                <w:sz w:val="24"/>
                <w:rtl/>
              </w:rPr>
              <w:t>דיווח מיידי של המנפיק</w:t>
            </w:r>
          </w:p>
        </w:tc>
        <w:tc>
          <w:tcPr>
            <w:tcW w:w="567" w:type="dxa"/>
          </w:tcPr>
          <w:p w14:paraId="0059AAB0" w14:textId="77777777" w:rsidR="00D869A5" w:rsidRPr="00D869A5" w:rsidRDefault="00D869A5" w:rsidP="00D869A5">
            <w:pPr>
              <w:spacing w:line="240" w:lineRule="auto"/>
              <w:jc w:val="left"/>
              <w:rPr>
                <w:rStyle w:val="Hyperlink"/>
                <w:rtl/>
              </w:rPr>
            </w:pPr>
            <w:hyperlink w:anchor="Seif5" w:tooltip="דיווח מיידי של המנפיק" w:history="1">
              <w:r w:rsidRPr="00D869A5">
                <w:rPr>
                  <w:rStyle w:val="Hyperlink"/>
                </w:rPr>
                <w:t>Go</w:t>
              </w:r>
            </w:hyperlink>
          </w:p>
        </w:tc>
        <w:tc>
          <w:tcPr>
            <w:tcW w:w="850" w:type="dxa"/>
          </w:tcPr>
          <w:p w14:paraId="0AF5E2AE"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69A5" w:rsidRPr="00D869A5" w14:paraId="0C0005D6" w14:textId="77777777" w:rsidTr="00D869A5">
        <w:tblPrEx>
          <w:tblCellMar>
            <w:top w:w="0" w:type="dxa"/>
            <w:bottom w:w="0" w:type="dxa"/>
          </w:tblCellMar>
        </w:tblPrEx>
        <w:tc>
          <w:tcPr>
            <w:tcW w:w="1247" w:type="dxa"/>
          </w:tcPr>
          <w:p w14:paraId="7A2DA41F" w14:textId="77777777" w:rsidR="00D869A5" w:rsidRPr="00D869A5" w:rsidRDefault="00D869A5" w:rsidP="00D869A5">
            <w:pPr>
              <w:spacing w:line="240" w:lineRule="auto"/>
              <w:jc w:val="left"/>
              <w:rPr>
                <w:rFonts w:cs="Frankruhel"/>
                <w:sz w:val="24"/>
                <w:rtl/>
              </w:rPr>
            </w:pPr>
            <w:r>
              <w:rPr>
                <w:sz w:val="24"/>
                <w:rtl/>
              </w:rPr>
              <w:t xml:space="preserve">סעיף 6 </w:t>
            </w:r>
          </w:p>
        </w:tc>
        <w:tc>
          <w:tcPr>
            <w:tcW w:w="5669" w:type="dxa"/>
          </w:tcPr>
          <w:p w14:paraId="43FE35C1" w14:textId="77777777" w:rsidR="00D869A5" w:rsidRPr="00D869A5" w:rsidRDefault="00D869A5" w:rsidP="00D869A5">
            <w:pPr>
              <w:spacing w:line="240" w:lineRule="auto"/>
              <w:jc w:val="left"/>
              <w:rPr>
                <w:rFonts w:cs="Frankruhel"/>
                <w:sz w:val="24"/>
                <w:rtl/>
              </w:rPr>
            </w:pPr>
            <w:r>
              <w:rPr>
                <w:sz w:val="24"/>
                <w:rtl/>
              </w:rPr>
              <w:t>סיום ייצוב במהלך תקופת הייצוב</w:t>
            </w:r>
          </w:p>
        </w:tc>
        <w:tc>
          <w:tcPr>
            <w:tcW w:w="567" w:type="dxa"/>
          </w:tcPr>
          <w:p w14:paraId="0A611258" w14:textId="77777777" w:rsidR="00D869A5" w:rsidRPr="00D869A5" w:rsidRDefault="00D869A5" w:rsidP="00D869A5">
            <w:pPr>
              <w:spacing w:line="240" w:lineRule="auto"/>
              <w:jc w:val="left"/>
              <w:rPr>
                <w:rStyle w:val="Hyperlink"/>
                <w:rtl/>
              </w:rPr>
            </w:pPr>
            <w:hyperlink w:anchor="Seif6" w:tooltip="סיום ייצוב במהלך תקופת הייצוב" w:history="1">
              <w:r w:rsidRPr="00D869A5">
                <w:rPr>
                  <w:rStyle w:val="Hyperlink"/>
                </w:rPr>
                <w:t>Go</w:t>
              </w:r>
            </w:hyperlink>
          </w:p>
        </w:tc>
        <w:tc>
          <w:tcPr>
            <w:tcW w:w="850" w:type="dxa"/>
          </w:tcPr>
          <w:p w14:paraId="49097CA8"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869A5" w:rsidRPr="00D869A5" w14:paraId="32A021A0" w14:textId="77777777" w:rsidTr="00D869A5">
        <w:tblPrEx>
          <w:tblCellMar>
            <w:top w:w="0" w:type="dxa"/>
            <w:bottom w:w="0" w:type="dxa"/>
          </w:tblCellMar>
        </w:tblPrEx>
        <w:tc>
          <w:tcPr>
            <w:tcW w:w="1247" w:type="dxa"/>
          </w:tcPr>
          <w:p w14:paraId="77EC9D2F" w14:textId="77777777" w:rsidR="00D869A5" w:rsidRPr="00D869A5" w:rsidRDefault="00D869A5" w:rsidP="00D869A5">
            <w:pPr>
              <w:spacing w:line="240" w:lineRule="auto"/>
              <w:jc w:val="left"/>
              <w:rPr>
                <w:rFonts w:cs="Frankruhel"/>
                <w:sz w:val="24"/>
                <w:rtl/>
              </w:rPr>
            </w:pPr>
            <w:r>
              <w:rPr>
                <w:sz w:val="24"/>
                <w:rtl/>
              </w:rPr>
              <w:t xml:space="preserve">סעיף 7 </w:t>
            </w:r>
          </w:p>
        </w:tc>
        <w:tc>
          <w:tcPr>
            <w:tcW w:w="5669" w:type="dxa"/>
          </w:tcPr>
          <w:p w14:paraId="4B5707FD" w14:textId="77777777" w:rsidR="00D869A5" w:rsidRPr="00D869A5" w:rsidRDefault="00D869A5" w:rsidP="00D869A5">
            <w:pPr>
              <w:spacing w:line="240" w:lineRule="auto"/>
              <w:jc w:val="left"/>
              <w:rPr>
                <w:rFonts w:cs="Frankruhel"/>
                <w:sz w:val="24"/>
                <w:rtl/>
              </w:rPr>
            </w:pPr>
            <w:r>
              <w:rPr>
                <w:sz w:val="24"/>
                <w:rtl/>
              </w:rPr>
              <w:t>תחילה</w:t>
            </w:r>
          </w:p>
        </w:tc>
        <w:tc>
          <w:tcPr>
            <w:tcW w:w="567" w:type="dxa"/>
          </w:tcPr>
          <w:p w14:paraId="64DA4EBF" w14:textId="77777777" w:rsidR="00D869A5" w:rsidRPr="00D869A5" w:rsidRDefault="00D869A5" w:rsidP="00D869A5">
            <w:pPr>
              <w:spacing w:line="240" w:lineRule="auto"/>
              <w:jc w:val="left"/>
              <w:rPr>
                <w:rStyle w:val="Hyperlink"/>
                <w:rtl/>
              </w:rPr>
            </w:pPr>
            <w:hyperlink w:anchor="Seif7" w:tooltip="תחילה" w:history="1">
              <w:r w:rsidRPr="00D869A5">
                <w:rPr>
                  <w:rStyle w:val="Hyperlink"/>
                </w:rPr>
                <w:t>Go</w:t>
              </w:r>
            </w:hyperlink>
          </w:p>
        </w:tc>
        <w:tc>
          <w:tcPr>
            <w:tcW w:w="850" w:type="dxa"/>
          </w:tcPr>
          <w:p w14:paraId="260BED6C" w14:textId="77777777" w:rsidR="00D869A5" w:rsidRPr="00D869A5" w:rsidRDefault="00D869A5" w:rsidP="00D869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4436C55A" w14:textId="77777777" w:rsidR="009C17D8" w:rsidRDefault="009C17D8">
      <w:pPr>
        <w:pStyle w:val="big-header"/>
        <w:ind w:left="0" w:right="1134"/>
        <w:rPr>
          <w:rFonts w:cs="FrankRuehl"/>
          <w:sz w:val="32"/>
          <w:rtl/>
        </w:rPr>
      </w:pPr>
    </w:p>
    <w:p w14:paraId="043DD974" w14:textId="77777777" w:rsidR="009C17D8" w:rsidRDefault="009C17D8" w:rsidP="006049FD">
      <w:pPr>
        <w:pStyle w:val="big-header"/>
        <w:ind w:left="0" w:right="1134"/>
        <w:rPr>
          <w:rFonts w:cs="FrankRuehl" w:hint="cs"/>
          <w:sz w:val="32"/>
          <w:rtl/>
        </w:rPr>
      </w:pPr>
      <w:r>
        <w:rPr>
          <w:rtl/>
        </w:rPr>
        <w:br w:type="page"/>
      </w:r>
      <w:r w:rsidR="006049FD">
        <w:rPr>
          <w:rFonts w:cs="FrankRuehl" w:hint="cs"/>
          <w:sz w:val="32"/>
          <w:rtl/>
        </w:rPr>
        <w:lastRenderedPageBreak/>
        <w:t>תקנות ניירות ערך (ייצוב מחירים)</w:t>
      </w:r>
      <w:r w:rsidR="006049FD">
        <w:rPr>
          <w:rFonts w:cs="FrankRuehl"/>
          <w:sz w:val="32"/>
          <w:rtl/>
        </w:rPr>
        <w:t xml:space="preserve">, </w:t>
      </w:r>
      <w:r w:rsidR="006049FD">
        <w:rPr>
          <w:rFonts w:cs="FrankRuehl" w:hint="cs"/>
          <w:sz w:val="32"/>
          <w:rtl/>
        </w:rPr>
        <w:t>תשע"ג-2012</w:t>
      </w:r>
      <w:r w:rsidR="0084412B">
        <w:rPr>
          <w:rStyle w:val="a6"/>
          <w:rFonts w:cs="FrankRuehl"/>
          <w:sz w:val="32"/>
          <w:rtl/>
        </w:rPr>
        <w:footnoteReference w:customMarkFollows="1" w:id="1"/>
        <w:t>*</w:t>
      </w:r>
    </w:p>
    <w:p w14:paraId="53CBDCC1" w14:textId="77777777" w:rsidR="00FB679E" w:rsidRDefault="00FB679E" w:rsidP="00E4394C">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סמכותי לפי סעיפים </w:t>
      </w:r>
      <w:r w:rsidR="00E4394C">
        <w:rPr>
          <w:rStyle w:val="default"/>
          <w:rFonts w:cs="FrankRuehl" w:hint="cs"/>
          <w:rtl/>
        </w:rPr>
        <w:t>36 ו-56(א) ו-(ג)(3)</w:t>
      </w:r>
      <w:r w:rsidR="00646801">
        <w:rPr>
          <w:rStyle w:val="default"/>
          <w:rFonts w:cs="FrankRuehl" w:hint="cs"/>
          <w:rtl/>
        </w:rPr>
        <w:t xml:space="preserve"> לחוק </w:t>
      </w:r>
      <w:r w:rsidR="00E4394C">
        <w:rPr>
          <w:rStyle w:val="default"/>
          <w:rFonts w:cs="FrankRuehl" w:hint="cs"/>
          <w:rtl/>
        </w:rPr>
        <w:t>ניירות ערך, התשכ"ח-1968</w:t>
      </w:r>
      <w:r w:rsidR="00646801">
        <w:rPr>
          <w:rStyle w:val="default"/>
          <w:rFonts w:cs="FrankRuehl" w:hint="cs"/>
          <w:rtl/>
        </w:rPr>
        <w:t xml:space="preserve"> (להלן </w:t>
      </w:r>
      <w:r w:rsidR="00646801">
        <w:rPr>
          <w:rStyle w:val="default"/>
          <w:rFonts w:cs="FrankRuehl"/>
          <w:rtl/>
        </w:rPr>
        <w:t>–</w:t>
      </w:r>
      <w:r w:rsidR="00646801">
        <w:rPr>
          <w:rStyle w:val="default"/>
          <w:rFonts w:cs="FrankRuehl" w:hint="cs"/>
          <w:rtl/>
        </w:rPr>
        <w:t xml:space="preserve"> החוק), </w:t>
      </w:r>
      <w:r w:rsidR="00E4394C">
        <w:rPr>
          <w:rStyle w:val="default"/>
          <w:rFonts w:cs="FrankRuehl" w:hint="cs"/>
          <w:rtl/>
        </w:rPr>
        <w:t xml:space="preserve">בהתייעצות עם שר המשפטים ועם הרשות, ובאישור ועדת הכספים של הכנסת, </w:t>
      </w:r>
      <w:r w:rsidR="00646801">
        <w:rPr>
          <w:rStyle w:val="default"/>
          <w:rFonts w:cs="FrankRuehl" w:hint="cs"/>
          <w:rtl/>
        </w:rPr>
        <w:t>אני מתקין תקנות אלה:</w:t>
      </w:r>
    </w:p>
    <w:p w14:paraId="4EE0B8FF" w14:textId="77777777" w:rsidR="009C17D8" w:rsidRDefault="009C17D8" w:rsidP="00646801">
      <w:pPr>
        <w:pStyle w:val="P00"/>
        <w:spacing w:before="72"/>
        <w:ind w:left="0" w:right="1134"/>
        <w:rPr>
          <w:rStyle w:val="default"/>
          <w:rFonts w:cs="FrankRuehl" w:hint="cs"/>
          <w:rtl/>
        </w:rPr>
      </w:pPr>
      <w:bookmarkStart w:id="0" w:name="Seif1"/>
      <w:bookmarkEnd w:id="0"/>
      <w:r>
        <w:rPr>
          <w:lang w:val="he-IL"/>
        </w:rPr>
        <w:pict w14:anchorId="33AA27B8">
          <v:rect id="_x0000_s1026" style="position:absolute;left:0;text-align:left;margin-left:464.5pt;margin-top:8.05pt;width:75.05pt;height:13pt;z-index:251654144" o:allowincell="f" filled="f" stroked="f" strokecolor="lime" strokeweight=".25pt">
            <v:textbox inset="0,0,0,0">
              <w:txbxContent>
                <w:p w14:paraId="7731C9A3" w14:textId="77777777" w:rsidR="00550515" w:rsidRDefault="0055051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sidR="00646801">
        <w:rPr>
          <w:rStyle w:val="default"/>
          <w:rFonts w:cs="FrankRuehl" w:hint="cs"/>
          <w:rtl/>
        </w:rPr>
        <w:t>בתקנות אלה</w:t>
      </w:r>
      <w:r>
        <w:rPr>
          <w:rStyle w:val="default"/>
          <w:rFonts w:cs="FrankRuehl" w:hint="cs"/>
          <w:rtl/>
        </w:rPr>
        <w:t xml:space="preserve"> </w:t>
      </w:r>
      <w:r w:rsidR="0084412B">
        <w:rPr>
          <w:rStyle w:val="default"/>
          <w:rFonts w:cs="FrankRuehl"/>
          <w:rtl/>
        </w:rPr>
        <w:t>–</w:t>
      </w:r>
    </w:p>
    <w:p w14:paraId="1E25E329" w14:textId="77777777" w:rsidR="00E4394C" w:rsidRDefault="00E4394C" w:rsidP="00646801">
      <w:pPr>
        <w:pStyle w:val="P00"/>
        <w:spacing w:before="72"/>
        <w:ind w:left="0" w:right="1134"/>
        <w:rPr>
          <w:rStyle w:val="default"/>
          <w:rFonts w:cs="FrankRuehl" w:hint="cs"/>
          <w:rtl/>
        </w:rPr>
      </w:pPr>
      <w:r>
        <w:rPr>
          <w:rStyle w:val="default"/>
          <w:rFonts w:cs="FrankRuehl" w:hint="cs"/>
          <w:rtl/>
        </w:rPr>
        <w:tab/>
        <w:t xml:space="preserve">"גוף מקורב" </w:t>
      </w:r>
      <w:r>
        <w:rPr>
          <w:rStyle w:val="default"/>
          <w:rFonts w:cs="FrankRuehl"/>
          <w:rtl/>
        </w:rPr>
        <w:t>–</w:t>
      </w:r>
      <w:r>
        <w:rPr>
          <w:rStyle w:val="default"/>
          <w:rFonts w:cs="FrankRuehl" w:hint="cs"/>
          <w:rtl/>
        </w:rPr>
        <w:t xml:space="preserve"> כהגדרתו בתקנות החיתום;</w:t>
      </w:r>
    </w:p>
    <w:p w14:paraId="2E884B2D" w14:textId="77777777" w:rsidR="00E4394C" w:rsidRDefault="00E4394C" w:rsidP="00646801">
      <w:pPr>
        <w:pStyle w:val="P00"/>
        <w:spacing w:before="72"/>
        <w:ind w:left="0" w:right="1134"/>
        <w:rPr>
          <w:rStyle w:val="default"/>
          <w:rFonts w:cs="FrankRuehl" w:hint="cs"/>
          <w:rtl/>
        </w:rPr>
      </w:pPr>
      <w:r>
        <w:rPr>
          <w:rStyle w:val="default"/>
          <w:rFonts w:cs="FrankRuehl" w:hint="cs"/>
          <w:rtl/>
        </w:rPr>
        <w:tab/>
        <w:t xml:space="preserve">"יחידת הנפקה" </w:t>
      </w:r>
      <w:r>
        <w:rPr>
          <w:rStyle w:val="default"/>
          <w:rFonts w:cs="FrankRuehl"/>
          <w:rtl/>
        </w:rPr>
        <w:t>–</w:t>
      </w:r>
      <w:r>
        <w:rPr>
          <w:rStyle w:val="default"/>
          <w:rFonts w:cs="FrankRuehl" w:hint="cs"/>
          <w:rtl/>
        </w:rPr>
        <w:t xml:space="preserve"> כהגדרתה בתקנה 15(א)(5) לתקנות החיתום;</w:t>
      </w:r>
    </w:p>
    <w:p w14:paraId="3DB8C86D" w14:textId="77777777" w:rsidR="00E4394C" w:rsidRDefault="00E4394C" w:rsidP="00646801">
      <w:pPr>
        <w:pStyle w:val="P00"/>
        <w:spacing w:before="72"/>
        <w:ind w:left="0" w:right="1134"/>
        <w:rPr>
          <w:rStyle w:val="default"/>
          <w:rFonts w:cs="FrankRuehl" w:hint="cs"/>
          <w:rtl/>
        </w:rPr>
      </w:pPr>
      <w:r>
        <w:rPr>
          <w:rStyle w:val="default"/>
          <w:rFonts w:cs="FrankRuehl" w:hint="cs"/>
          <w:rtl/>
        </w:rPr>
        <w:tab/>
        <w:t xml:space="preserve">"ייצוב" </w:t>
      </w:r>
      <w:r>
        <w:rPr>
          <w:rStyle w:val="default"/>
          <w:rFonts w:cs="FrankRuehl"/>
          <w:rtl/>
        </w:rPr>
        <w:t>–</w:t>
      </w:r>
      <w:r>
        <w:rPr>
          <w:rStyle w:val="default"/>
          <w:rFonts w:cs="FrankRuehl" w:hint="cs"/>
          <w:rtl/>
        </w:rPr>
        <w:t xml:space="preserve"> פקודת קנייה בבורסה של נייר ערך לשם מניעה או האטה של ירידה במחירו;</w:t>
      </w:r>
    </w:p>
    <w:p w14:paraId="74EDD795" w14:textId="77777777" w:rsidR="00E4394C" w:rsidRDefault="00E4394C" w:rsidP="00646801">
      <w:pPr>
        <w:pStyle w:val="P00"/>
        <w:spacing w:before="72"/>
        <w:ind w:left="0" w:right="1134"/>
        <w:rPr>
          <w:rStyle w:val="default"/>
          <w:rFonts w:cs="FrankRuehl" w:hint="cs"/>
          <w:rtl/>
        </w:rPr>
      </w:pPr>
      <w:r>
        <w:rPr>
          <w:rStyle w:val="default"/>
          <w:rFonts w:cs="FrankRuehl" w:hint="cs"/>
          <w:rtl/>
        </w:rPr>
        <w:tab/>
        <w:t xml:space="preserve">"משתתף במכירה" </w:t>
      </w:r>
      <w:r>
        <w:rPr>
          <w:rStyle w:val="default"/>
          <w:rFonts w:cs="FrankRuehl"/>
          <w:rtl/>
        </w:rPr>
        <w:t>–</w:t>
      </w:r>
      <w:r>
        <w:rPr>
          <w:rStyle w:val="default"/>
          <w:rFonts w:cs="FrankRuehl" w:hint="cs"/>
          <w:rtl/>
        </w:rPr>
        <w:t xml:space="preserve"> כל אחד מהמשתתפים בהליך המכירה לציבור, לרבות חתם, מפיץ, מנפיק או מציע, המשתתפים במכירה או גוף מקורב אליו;</w:t>
      </w:r>
    </w:p>
    <w:p w14:paraId="63747519" w14:textId="77777777" w:rsidR="00E4394C" w:rsidRDefault="00E4394C" w:rsidP="00646801">
      <w:pPr>
        <w:pStyle w:val="P00"/>
        <w:spacing w:before="72"/>
        <w:ind w:left="0" w:right="1134"/>
        <w:rPr>
          <w:rStyle w:val="default"/>
          <w:rFonts w:cs="FrankRuehl" w:hint="cs"/>
          <w:rtl/>
        </w:rPr>
      </w:pPr>
      <w:r>
        <w:rPr>
          <w:rStyle w:val="default"/>
          <w:rFonts w:cs="FrankRuehl" w:hint="cs"/>
          <w:rtl/>
        </w:rPr>
        <w:tab/>
        <w:t xml:space="preserve">"תקנות החיתום" </w:t>
      </w:r>
      <w:r>
        <w:rPr>
          <w:rStyle w:val="default"/>
          <w:rFonts w:cs="FrankRuehl"/>
          <w:rtl/>
        </w:rPr>
        <w:t>–</w:t>
      </w:r>
      <w:r>
        <w:rPr>
          <w:rStyle w:val="default"/>
          <w:rFonts w:cs="FrankRuehl" w:hint="cs"/>
          <w:rtl/>
        </w:rPr>
        <w:t xml:space="preserve"> תקנות ניירות ערך (חיתום), התשס"ז-2007.</w:t>
      </w:r>
    </w:p>
    <w:p w14:paraId="05BD3799" w14:textId="77777777" w:rsidR="009C17D8" w:rsidRDefault="009C17D8" w:rsidP="00E4394C">
      <w:pPr>
        <w:pStyle w:val="P00"/>
        <w:spacing w:before="72"/>
        <w:ind w:left="0" w:right="1134"/>
        <w:rPr>
          <w:rStyle w:val="default"/>
          <w:rFonts w:cs="FrankRuehl" w:hint="cs"/>
          <w:rtl/>
        </w:rPr>
      </w:pPr>
      <w:bookmarkStart w:id="1" w:name="Seif2"/>
      <w:bookmarkEnd w:id="1"/>
      <w:r>
        <w:rPr>
          <w:lang w:val="he-IL"/>
        </w:rPr>
        <w:pict w14:anchorId="21C283FB">
          <v:rect id="_x0000_s1027" style="position:absolute;left:0;text-align:left;margin-left:464.5pt;margin-top:8.05pt;width:75.05pt;height:19.45pt;z-index:251655168" o:allowincell="f" filled="f" stroked="f" strokecolor="lime" strokeweight=".25pt">
            <v:textbox inset="0,0,0,0">
              <w:txbxContent>
                <w:p w14:paraId="55AF9569" w14:textId="77777777" w:rsidR="00550515" w:rsidRDefault="00E4394C">
                  <w:pPr>
                    <w:spacing w:line="160" w:lineRule="exact"/>
                    <w:jc w:val="left"/>
                    <w:rPr>
                      <w:rFonts w:cs="Miriam" w:hint="cs"/>
                      <w:noProof/>
                      <w:sz w:val="18"/>
                      <w:szCs w:val="18"/>
                      <w:rtl/>
                    </w:rPr>
                  </w:pPr>
                  <w:r>
                    <w:rPr>
                      <w:rFonts w:cs="Miriam" w:hint="cs"/>
                      <w:sz w:val="18"/>
                      <w:szCs w:val="18"/>
                      <w:rtl/>
                    </w:rPr>
                    <w:t>חזקה לעניין העדר תרמית</w:t>
                  </w:r>
                </w:p>
              </w:txbxContent>
            </v:textbox>
            <w10:anchorlock/>
          </v:rect>
        </w:pict>
      </w:r>
      <w:r>
        <w:rPr>
          <w:rStyle w:val="big-number"/>
          <w:rFonts w:cs="Miriam"/>
          <w:rtl/>
        </w:rPr>
        <w:t>2.</w:t>
      </w:r>
      <w:r>
        <w:rPr>
          <w:rStyle w:val="big-number"/>
          <w:rFonts w:cs="Miriam"/>
          <w:rtl/>
        </w:rPr>
        <w:tab/>
      </w:r>
      <w:r w:rsidR="00E4394C">
        <w:rPr>
          <w:rStyle w:val="default"/>
          <w:rFonts w:cs="FrankRuehl" w:hint="cs"/>
          <w:rtl/>
        </w:rPr>
        <w:t>חזקה כי ייצוב אינו השפעה בדרכי תרמית על תנודות השער של ניירות ערך, כאמור בסעיף 54(א)(2) לחוק, אם התקיימו כל אלה:</w:t>
      </w:r>
    </w:p>
    <w:p w14:paraId="470A9131" w14:textId="77777777" w:rsidR="00E4394C" w:rsidRDefault="00E4394C" w:rsidP="00E4394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ניירות ערך נושא הייצוב אינם חלק מיחידת הנפקה, כהגדרתה בתקנה 15(א)(5) לתקנות החיתום, או שהם חלק מיחידת הנפקה כאמור, אשר נקבע בשלו מחיר תקרת ייצוב בהתאם לפסקה (5)(א);</w:t>
      </w:r>
    </w:p>
    <w:p w14:paraId="7B70EFDF" w14:textId="77777777" w:rsidR="00E4394C" w:rsidRDefault="00E4394C" w:rsidP="00E4394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המייצב הוא החתם המתמחר; היה יותר מחתם מתמחר אחד, רשאי לייצב רק אחד מהחתמים המתמחרים כפי שנקבע בתשקיף, בלא שינוי במהלך תקופת הייצוב (להלן </w:t>
      </w:r>
      <w:r>
        <w:rPr>
          <w:rStyle w:val="default"/>
          <w:rFonts w:cs="FrankRuehl"/>
          <w:rtl/>
        </w:rPr>
        <w:t>–</w:t>
      </w:r>
      <w:r>
        <w:rPr>
          <w:rStyle w:val="default"/>
          <w:rFonts w:cs="FrankRuehl" w:hint="cs"/>
          <w:rtl/>
        </w:rPr>
        <w:t xml:space="preserve"> החתם המייצב);</w:t>
      </w:r>
    </w:p>
    <w:p w14:paraId="36AF2D82" w14:textId="77777777" w:rsidR="00E4394C" w:rsidRDefault="00E4394C" w:rsidP="00E4394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הייצוב נעשה בפרק הזמן החל בסיום התקופה להגשת הזמנות ולא יאוחר מתום 30 ימים לאחר מכן, בכל משך הזמן האמור או בחלקים ממנו (להלן </w:t>
      </w:r>
      <w:r>
        <w:rPr>
          <w:rStyle w:val="default"/>
          <w:rFonts w:cs="FrankRuehl"/>
          <w:rtl/>
        </w:rPr>
        <w:t>–</w:t>
      </w:r>
      <w:r>
        <w:rPr>
          <w:rStyle w:val="default"/>
          <w:rFonts w:cs="FrankRuehl" w:hint="cs"/>
          <w:rtl/>
        </w:rPr>
        <w:t xml:space="preserve"> תקופת הייצוב);</w:t>
      </w:r>
    </w:p>
    <w:p w14:paraId="7971927D" w14:textId="77777777" w:rsidR="00E4394C" w:rsidRDefault="00E4394C" w:rsidP="00E4394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זהותו של מוכר נייר הערך נושא פקודת הקניה אינה ידועה לחתם המייצב;</w:t>
      </w:r>
    </w:p>
    <w:p w14:paraId="150DC371" w14:textId="77777777" w:rsidR="00E4394C" w:rsidRDefault="00E4394C" w:rsidP="00E4394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מחיר הייצוב לא עלה על הנמוך מבין אלה:</w:t>
      </w:r>
    </w:p>
    <w:p w14:paraId="4C0F8D9B" w14:textId="77777777" w:rsidR="00E4394C" w:rsidRDefault="00E4394C" w:rsidP="00E4394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מחיר המכירה לציבור </w:t>
      </w:r>
      <w:r>
        <w:rPr>
          <w:rStyle w:val="default"/>
          <w:rFonts w:cs="FrankRuehl"/>
          <w:rtl/>
        </w:rPr>
        <w:t>–</w:t>
      </w:r>
      <w:r>
        <w:rPr>
          <w:rStyle w:val="default"/>
          <w:rFonts w:cs="FrankRuehl" w:hint="cs"/>
          <w:rtl/>
        </w:rPr>
        <w:t xml:space="preserve"> מחיר המכירה בהצעה אחידה או מחיר המכירה בהצעה לא אחידה, כמשמעותם בתקנות 2 ו-11(ב) לתקנות ניירות ערך (אופן הצעת ניירות ערך לציבור), התשס"ז-2007, לפי העניין; היו ניירות הערך נושא הייצוב חלק מיחידת הנפקה </w:t>
      </w:r>
      <w:r>
        <w:rPr>
          <w:rStyle w:val="default"/>
          <w:rFonts w:cs="FrankRuehl"/>
          <w:rtl/>
        </w:rPr>
        <w:t>–</w:t>
      </w:r>
      <w:r>
        <w:rPr>
          <w:rStyle w:val="default"/>
          <w:rFonts w:cs="FrankRuehl" w:hint="cs"/>
          <w:rtl/>
        </w:rPr>
        <w:t xml:space="preserve"> המחיר שנקבע כתקרת הייצוב במסגרת התשקיף ובלבד שלא עולה על המחיר האפקטיבי של אותם ניירות ערך ושמחיר כאמור מוגדר לפי תקנון הבורסה והנחיותיה;</w:t>
      </w:r>
    </w:p>
    <w:p w14:paraId="0BB85F0F" w14:textId="77777777" w:rsidR="00E4394C" w:rsidRDefault="00E4394C" w:rsidP="00E4394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המחיר בעסקה האחרונה בבורסה, ובלבד שלמיטב ידיעת החתם המייצב המחיר האמור לא נקבע בעסקה שמשתתף במכירה צד לה, במישרין או בעקיפין;</w:t>
      </w:r>
    </w:p>
    <w:p w14:paraId="3B237D91" w14:textId="77777777" w:rsidR="00E4394C" w:rsidRDefault="00E4394C" w:rsidP="00E4394C">
      <w:pPr>
        <w:pStyle w:val="P00"/>
        <w:spacing w:before="72"/>
        <w:ind w:left="1021" w:right="1134"/>
        <w:rPr>
          <w:rStyle w:val="default"/>
          <w:rFonts w:cs="FrankRuehl" w:hint="cs"/>
          <w:rtl/>
        </w:rPr>
      </w:pPr>
      <w:r>
        <w:rPr>
          <w:rStyle w:val="default"/>
          <w:rFonts w:cs="FrankRuehl" w:hint="cs"/>
          <w:rtl/>
        </w:rPr>
        <w:t xml:space="preserve">לעניין פסקה זו, "מחיר" </w:t>
      </w:r>
      <w:r>
        <w:rPr>
          <w:rStyle w:val="default"/>
          <w:rFonts w:cs="FrankRuehl"/>
          <w:rtl/>
        </w:rPr>
        <w:t>–</w:t>
      </w:r>
      <w:r>
        <w:rPr>
          <w:rStyle w:val="default"/>
          <w:rFonts w:cs="FrankRuehl" w:hint="cs"/>
          <w:rtl/>
        </w:rPr>
        <w:t xml:space="preserve"> בכפוף להתאמות מותרות לשערי בסיס לפי תקנות הבורסה והנחיותיה;</w:t>
      </w:r>
    </w:p>
    <w:p w14:paraId="5B950994" w14:textId="77777777" w:rsidR="00E4394C" w:rsidRDefault="00E4394C" w:rsidP="00FF39C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הייצוב לא נעשה כנגד מכירת ניירות ערך למשתתף במכירה או כנגד מכירה לאחר שמשתתף במכירה גרם לה;</w:t>
      </w:r>
    </w:p>
    <w:p w14:paraId="7F9D4DCD" w14:textId="77777777" w:rsidR="00E4394C" w:rsidRDefault="00E4394C" w:rsidP="00FF39C4">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FF39C4">
        <w:rPr>
          <w:rStyle w:val="default"/>
          <w:rFonts w:cs="FrankRuehl" w:hint="cs"/>
          <w:rtl/>
        </w:rPr>
        <w:t xml:space="preserve">משתתף במכירה, או אחר מטעמו או בעבורו, לא זיכה, אף אדם בטובת הנאה, בקשר עם הייצוב; לעניין זה, "טובת הנאה" </w:t>
      </w:r>
      <w:r w:rsidR="00FF39C4">
        <w:rPr>
          <w:rStyle w:val="default"/>
          <w:rFonts w:cs="FrankRuehl"/>
          <w:rtl/>
        </w:rPr>
        <w:t>–</w:t>
      </w:r>
      <w:r w:rsidR="00FF39C4">
        <w:rPr>
          <w:rStyle w:val="default"/>
          <w:rFonts w:cs="FrankRuehl" w:hint="cs"/>
          <w:rtl/>
        </w:rPr>
        <w:t xml:space="preserve"> לרבות שיפוי ומעט תשלום עמלת חיתום קבועה, סבירה ומקובלת שנקבעה בתשקיף, אשר עשויה להיגזר מהאפשרות לביצוע ייצוב על ידי החתם המייצב ובלבד שזו קבועה מראש ואינה נגזרת מאירועים שלאחר מועד ההנפקה, לרבות מפעולות שיבצע החתם המייצב או גוף מקורב אליו, במישרין או בעקיפין לאחר סיום ההנפקה; לא יראו תקבוליים המתקבלים בידי החתם המייצב מאת החתמים האחרים </w:t>
      </w:r>
      <w:r w:rsidR="00FF39C4">
        <w:rPr>
          <w:rStyle w:val="default"/>
          <w:rFonts w:cs="FrankRuehl" w:hint="cs"/>
          <w:rtl/>
        </w:rPr>
        <w:lastRenderedPageBreak/>
        <w:t>שהתחייבו בהתחייבות חיתומית בהנפקה כטובת הנאה, לעניין זה, ובלבד שהחתמים האחרים לא ייטלו חלק בהחלטות הייצוב ובייצוב עצמו ושהכללים ביחס להסכמה כאמור יפורטו בתשקיף;</w:t>
      </w:r>
    </w:p>
    <w:p w14:paraId="50BEA5E9" w14:textId="77777777" w:rsidR="00FF39C4" w:rsidRDefault="00FF39C4" w:rsidP="00FF39C4">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ניתן גילוי בתשקיף בדבר </w:t>
      </w:r>
      <w:r>
        <w:rPr>
          <w:rStyle w:val="default"/>
          <w:rFonts w:cs="FrankRuehl"/>
          <w:rtl/>
        </w:rPr>
        <w:t>–</w:t>
      </w:r>
    </w:p>
    <w:p w14:paraId="3CEFBFF9" w14:textId="77777777" w:rsidR="00FF39C4" w:rsidRDefault="00FF39C4" w:rsidP="002D470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אפשרות ייצוב בנייר הערך; היו ניירות הערך נושא הייצוב חלק מיחידת הנפקה </w:t>
      </w:r>
      <w:r>
        <w:rPr>
          <w:rStyle w:val="default"/>
          <w:rFonts w:cs="FrankRuehl"/>
          <w:rtl/>
        </w:rPr>
        <w:t>–</w:t>
      </w:r>
      <w:r>
        <w:rPr>
          <w:rStyle w:val="default"/>
          <w:rFonts w:cs="FrankRuehl" w:hint="cs"/>
          <w:rtl/>
        </w:rPr>
        <w:t xml:space="preserve"> המחיר שנקבע כתקרת הייצוב כאמור בפסקה (4);</w:t>
      </w:r>
    </w:p>
    <w:p w14:paraId="54A4959D" w14:textId="77777777" w:rsidR="00FF39C4" w:rsidRDefault="00FF39C4" w:rsidP="002D470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זהות החתם המייצב;</w:t>
      </w:r>
    </w:p>
    <w:p w14:paraId="490C7FED" w14:textId="77777777" w:rsidR="00FF39C4" w:rsidRDefault="00FF39C4" w:rsidP="002D470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מועד תחילת תקופת הייצוב האפשרית על פי תקנות אלה ומועד סיומה;</w:t>
      </w:r>
    </w:p>
    <w:p w14:paraId="7F948368" w14:textId="77777777" w:rsidR="00FF39C4" w:rsidRDefault="00FF39C4" w:rsidP="002D470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משמעות הייצוב, באשר לאפשרות השפעתו על מחיר נייר הערך נושא הייצוב;</w:t>
      </w:r>
    </w:p>
    <w:p w14:paraId="7F822497" w14:textId="77777777" w:rsidR="00FF39C4" w:rsidRDefault="00FF39C4" w:rsidP="002D470E">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תנאי הייצוב, ובכלל זה עובדת יכולתו של החתם המייצב להפסיק ולחדש את הייצוב במהלך תקופת הייצוב;</w:t>
      </w:r>
    </w:p>
    <w:p w14:paraId="3EC29FC7" w14:textId="77777777" w:rsidR="00FF39C4" w:rsidRDefault="00FF39C4" w:rsidP="002D470E">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אופן הגילוי השוטף בדבר הייצוב, כמפורט בפסקה (10);</w:t>
      </w:r>
    </w:p>
    <w:p w14:paraId="4B7876ED" w14:textId="77777777" w:rsidR="00FF39C4" w:rsidRDefault="00FF39C4" w:rsidP="002D470E">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מידע נוסף בקשר עם הייצוב ככל שידוע במועד התשקיף, לרבות היקף פעילות הייצוב הצפויה, או שיש ביחס אליה התחייבות ולרבות כמות ניירות ערך שבכוונת החתם המייצב לרכוש או סך הכסף שבכוונתו להשקיע ברכישות כאמור;</w:t>
      </w:r>
    </w:p>
    <w:p w14:paraId="67772F92" w14:textId="77777777" w:rsidR="00FF39C4" w:rsidRDefault="00FF39C4" w:rsidP="002D470E">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2D470E">
        <w:rPr>
          <w:rStyle w:val="default"/>
          <w:rFonts w:cs="FrankRuehl" w:hint="cs"/>
          <w:rtl/>
        </w:rPr>
        <w:t>החתם המייצב דיווח על אודות הייצוב בהתאם לתקנה 3;</w:t>
      </w:r>
    </w:p>
    <w:p w14:paraId="6268ED32" w14:textId="77777777" w:rsidR="002D470E" w:rsidRDefault="002D470E" w:rsidP="002D470E">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החתם המייצב לא מסר לאחר כל מידע הקשור לייצוב שביצע או שבכוונתו לבצע, זולת בדרך של פרסום דוח מיידי.</w:t>
      </w:r>
    </w:p>
    <w:p w14:paraId="6E608C59" w14:textId="77777777" w:rsidR="009C17D8" w:rsidRDefault="009C17D8" w:rsidP="002D470E">
      <w:pPr>
        <w:pStyle w:val="P00"/>
        <w:spacing w:before="72"/>
        <w:ind w:left="0" w:right="1134"/>
        <w:rPr>
          <w:rStyle w:val="default"/>
          <w:rFonts w:cs="FrankRuehl" w:hint="cs"/>
          <w:rtl/>
        </w:rPr>
      </w:pPr>
      <w:bookmarkStart w:id="2" w:name="Seif3"/>
      <w:bookmarkEnd w:id="2"/>
      <w:r>
        <w:rPr>
          <w:lang w:val="he-IL"/>
        </w:rPr>
        <w:pict w14:anchorId="3E4DE842">
          <v:rect id="_x0000_s1028" style="position:absolute;left:0;text-align:left;margin-left:464.5pt;margin-top:8.05pt;width:75.05pt;height:20.95pt;z-index:251656192" o:allowincell="f" filled="f" stroked="f" strokecolor="lime" strokeweight=".25pt">
            <v:textbox inset="0,0,0,0">
              <w:txbxContent>
                <w:p w14:paraId="47F9B76A" w14:textId="77777777" w:rsidR="00550515" w:rsidRDefault="002D470E" w:rsidP="0084412B">
                  <w:pPr>
                    <w:spacing w:line="160" w:lineRule="exact"/>
                    <w:jc w:val="left"/>
                    <w:rPr>
                      <w:rFonts w:cs="Miriam" w:hint="cs"/>
                      <w:noProof/>
                      <w:sz w:val="18"/>
                      <w:szCs w:val="18"/>
                      <w:rtl/>
                    </w:rPr>
                  </w:pPr>
                  <w:r>
                    <w:rPr>
                      <w:rFonts w:cs="Miriam" w:hint="cs"/>
                      <w:sz w:val="18"/>
                      <w:szCs w:val="18"/>
                      <w:rtl/>
                    </w:rPr>
                    <w:t>דיווח על אודות הייצוב</w:t>
                  </w:r>
                </w:p>
              </w:txbxContent>
            </v:textbox>
            <w10:anchorlock/>
          </v:rect>
        </w:pict>
      </w:r>
      <w:r>
        <w:rPr>
          <w:rStyle w:val="big-number"/>
          <w:rFonts w:cs="Miriam"/>
          <w:rtl/>
        </w:rPr>
        <w:t>3.</w:t>
      </w:r>
      <w:r>
        <w:rPr>
          <w:rStyle w:val="big-number"/>
          <w:rFonts w:cs="Miriam"/>
          <w:rtl/>
        </w:rPr>
        <w:tab/>
      </w:r>
      <w:r w:rsidR="00857B6B">
        <w:rPr>
          <w:rStyle w:val="default"/>
          <w:rFonts w:cs="FrankRuehl" w:hint="cs"/>
          <w:rtl/>
        </w:rPr>
        <w:t>(א)</w:t>
      </w:r>
      <w:r w:rsidR="00857B6B">
        <w:rPr>
          <w:rStyle w:val="default"/>
          <w:rFonts w:cs="FrankRuehl" w:hint="cs"/>
          <w:rtl/>
        </w:rPr>
        <w:tab/>
      </w:r>
      <w:r w:rsidR="002D470E">
        <w:rPr>
          <w:rStyle w:val="default"/>
          <w:rFonts w:cs="FrankRuehl" w:hint="cs"/>
          <w:rtl/>
        </w:rPr>
        <w:t xml:space="preserve">במהלך כל תקופת הייצוב </w:t>
      </w:r>
      <w:r w:rsidR="002D470E">
        <w:rPr>
          <w:rStyle w:val="default"/>
          <w:rFonts w:cs="FrankRuehl"/>
          <w:rtl/>
        </w:rPr>
        <w:t>–</w:t>
      </w:r>
      <w:r w:rsidR="002D470E">
        <w:rPr>
          <w:rStyle w:val="default"/>
          <w:rFonts w:cs="FrankRuehl" w:hint="cs"/>
          <w:rtl/>
        </w:rPr>
        <w:t xml:space="preserve"> יגיש החתם המייצב, לא יאוחר משעה אחת ממועד סיום כל יום מסחר, דוח מיידי ובו פירוט כל הפעולות שביצע בניירות הערך שהוצעו בהנפקה או בניירות ערך אחרים זהים לאלה שהוצעו בהנפקה, הן בבורסה והן מחוצה לה; כמו כן יפורטו כל העסקאות שביצע בקשר לניירות ערך אחרים שנייר הערך נושא הייצוב הוא נכס בסיס שלהם; לעניין זה </w:t>
      </w:r>
      <w:r w:rsidR="002D470E">
        <w:rPr>
          <w:rStyle w:val="default"/>
          <w:rFonts w:cs="FrankRuehl"/>
          <w:rtl/>
        </w:rPr>
        <w:t>–</w:t>
      </w:r>
    </w:p>
    <w:p w14:paraId="08F535D6" w14:textId="77777777" w:rsidR="002D470E" w:rsidRDefault="002D470E" w:rsidP="002D470E">
      <w:pPr>
        <w:pStyle w:val="P00"/>
        <w:spacing w:before="72"/>
        <w:ind w:left="0" w:right="1134"/>
        <w:rPr>
          <w:rStyle w:val="default"/>
          <w:rFonts w:cs="FrankRuehl" w:hint="cs"/>
          <w:rtl/>
        </w:rPr>
      </w:pPr>
      <w:r>
        <w:rPr>
          <w:rStyle w:val="default"/>
          <w:rFonts w:cs="FrankRuehl" w:hint="cs"/>
          <w:rtl/>
        </w:rPr>
        <w:tab/>
        <w:t xml:space="preserve">"נייר ערך" </w:t>
      </w:r>
      <w:r>
        <w:rPr>
          <w:rStyle w:val="default"/>
          <w:rFonts w:cs="FrankRuehl"/>
          <w:rtl/>
        </w:rPr>
        <w:t>–</w:t>
      </w:r>
      <w:r>
        <w:rPr>
          <w:rStyle w:val="default"/>
          <w:rFonts w:cs="FrankRuehl" w:hint="cs"/>
          <w:rtl/>
        </w:rPr>
        <w:t xml:space="preserve"> כהגדרתו בסעיף 52 לחוק;</w:t>
      </w:r>
    </w:p>
    <w:p w14:paraId="421EFDD3" w14:textId="77777777" w:rsidR="002D470E" w:rsidRDefault="002D470E" w:rsidP="002D470E">
      <w:pPr>
        <w:pStyle w:val="P00"/>
        <w:spacing w:before="72"/>
        <w:ind w:left="0" w:right="1134"/>
        <w:rPr>
          <w:rStyle w:val="default"/>
          <w:rFonts w:cs="FrankRuehl" w:hint="cs"/>
          <w:rtl/>
        </w:rPr>
      </w:pPr>
      <w:r>
        <w:rPr>
          <w:rStyle w:val="default"/>
          <w:rFonts w:cs="FrankRuehl" w:hint="cs"/>
          <w:rtl/>
        </w:rPr>
        <w:tab/>
        <w:t xml:space="preserve">"נכס בסיס" </w:t>
      </w:r>
      <w:r>
        <w:rPr>
          <w:rStyle w:val="default"/>
          <w:rFonts w:cs="FrankRuehl"/>
          <w:rtl/>
        </w:rPr>
        <w:t>–</w:t>
      </w:r>
      <w:r>
        <w:rPr>
          <w:rStyle w:val="default"/>
          <w:rFonts w:cs="FrankRuehl" w:hint="cs"/>
          <w:rtl/>
        </w:rPr>
        <w:t xml:space="preserve"> הנכס נושא ההתחייבות בנייר ערך.</w:t>
      </w:r>
    </w:p>
    <w:p w14:paraId="39FC7280" w14:textId="77777777" w:rsidR="002D470E" w:rsidRDefault="002D470E" w:rsidP="00AD5B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בימי המסחר </w:t>
      </w:r>
      <w:r w:rsidR="00AD5BFA">
        <w:rPr>
          <w:rStyle w:val="default"/>
          <w:rFonts w:cs="FrankRuehl" w:hint="cs"/>
          <w:rtl/>
        </w:rPr>
        <w:t xml:space="preserve">שבהם הגיש החתם המייצב פקודת ייצוב </w:t>
      </w:r>
      <w:r w:rsidR="00AD5BFA">
        <w:rPr>
          <w:rStyle w:val="default"/>
          <w:rFonts w:cs="FrankRuehl"/>
          <w:rtl/>
        </w:rPr>
        <w:t>–</w:t>
      </w:r>
      <w:r w:rsidR="00AD5BFA">
        <w:rPr>
          <w:rStyle w:val="default"/>
          <w:rFonts w:cs="FrankRuehl" w:hint="cs"/>
          <w:rtl/>
        </w:rPr>
        <w:t xml:space="preserve"> על החתם המייצב לפרט במסגרת הדוח המיידי המוגש לפי תקנת משנה (א), ובאופן נפרד, את כל פקודות הייצוב שהגיש באותו יום; ביחס לכל פקודה יפורטו זמן הגשתה, המחיר והכמות שנקבעו בה, המחיר והכמות שבוצעו בפועל וכן הזמן שבו נענתה הבקשה במלואה (להלן </w:t>
      </w:r>
      <w:r w:rsidR="00AD5BFA">
        <w:rPr>
          <w:rStyle w:val="default"/>
          <w:rFonts w:cs="FrankRuehl"/>
          <w:rtl/>
        </w:rPr>
        <w:t>–</w:t>
      </w:r>
      <w:r w:rsidR="00AD5BFA">
        <w:rPr>
          <w:rStyle w:val="default"/>
          <w:rFonts w:cs="FrankRuehl" w:hint="cs"/>
          <w:rtl/>
        </w:rPr>
        <w:t xml:space="preserve"> מועד סיום הבקשה); </w:t>
      </w:r>
      <w:r w:rsidR="00E21731">
        <w:rPr>
          <w:rStyle w:val="default"/>
          <w:rFonts w:cs="FrankRuehl" w:hint="cs"/>
          <w:rtl/>
        </w:rPr>
        <w:t>לא נענתה הבקשה במלואה ביום המסחר שבו ניתנה, יצוין כמועד סיום הבקשה סוף אותו יום מסחר; כמו כן תצוין בדוח הכמות המצטברת של כל פקודות הייצוב שהוגשו עד לאותו מועד ביחס לאותה מכירה לציבור.</w:t>
      </w:r>
    </w:p>
    <w:p w14:paraId="24C17317" w14:textId="77777777" w:rsidR="00E21731" w:rsidRDefault="0091103F" w:rsidP="0091103F">
      <w:pPr>
        <w:pStyle w:val="P00"/>
        <w:spacing w:before="72"/>
        <w:ind w:left="0" w:right="1134"/>
        <w:rPr>
          <w:rStyle w:val="default"/>
          <w:rFonts w:cs="FrankRuehl" w:hint="cs"/>
          <w:rtl/>
        </w:rPr>
      </w:pPr>
      <w:r>
        <w:rPr>
          <w:rFonts w:cs="FrankRuehl" w:hint="cs"/>
          <w:sz w:val="26"/>
          <w:rtl/>
          <w:lang w:eastAsia="en-US"/>
        </w:rPr>
        <w:pict w14:anchorId="4DD40F08">
          <v:shapetype id="_x0000_t202" coordsize="21600,21600" o:spt="202" path="m,l,21600r21600,l21600,xe">
            <v:stroke joinstyle="miter"/>
            <v:path gradientshapeok="t" o:connecttype="rect"/>
          </v:shapetype>
          <v:shape id="_x0000_s1073" type="#_x0000_t202" style="position:absolute;left:0;text-align:left;margin-left:470.25pt;margin-top:7.1pt;width:1in;height:12.65pt;z-index:251661312" filled="f" stroked="f">
            <v:textbox inset="1mm,0,1mm,0">
              <w:txbxContent>
                <w:p w14:paraId="287924DC" w14:textId="77777777" w:rsidR="0091103F" w:rsidRDefault="0091103F" w:rsidP="0091103F">
                  <w:pPr>
                    <w:spacing w:line="160" w:lineRule="exact"/>
                    <w:jc w:val="left"/>
                    <w:rPr>
                      <w:rFonts w:cs="Miriam"/>
                      <w:noProof/>
                      <w:sz w:val="18"/>
                      <w:szCs w:val="18"/>
                      <w:rtl/>
                    </w:rPr>
                  </w:pPr>
                  <w:r>
                    <w:rPr>
                      <w:rFonts w:cs="Miriam" w:hint="cs"/>
                      <w:sz w:val="18"/>
                      <w:szCs w:val="18"/>
                      <w:rtl/>
                    </w:rPr>
                    <w:t>ת"ט תשע"ג-2012</w:t>
                  </w:r>
                </w:p>
              </w:txbxContent>
            </v:textbox>
          </v:shape>
        </w:pict>
      </w:r>
      <w:r w:rsidR="00E21731">
        <w:rPr>
          <w:rStyle w:val="default"/>
          <w:rFonts w:cs="FrankRuehl" w:hint="cs"/>
          <w:rtl/>
        </w:rPr>
        <w:tab/>
        <w:t>(ג)</w:t>
      </w:r>
      <w:r w:rsidR="00E21731">
        <w:rPr>
          <w:rStyle w:val="default"/>
          <w:rFonts w:cs="FrankRuehl" w:hint="cs"/>
          <w:rtl/>
        </w:rPr>
        <w:tab/>
        <w:t xml:space="preserve">בדוח מיידי כאמור בתקנה </w:t>
      </w:r>
      <w:r>
        <w:rPr>
          <w:rStyle w:val="default"/>
          <w:rFonts w:cs="FrankRuehl" w:hint="cs"/>
          <w:rtl/>
        </w:rPr>
        <w:t>זו</w:t>
      </w:r>
      <w:r w:rsidR="00E21731">
        <w:rPr>
          <w:rStyle w:val="default"/>
          <w:rFonts w:cs="FrankRuehl" w:hint="cs"/>
          <w:rtl/>
        </w:rPr>
        <w:t>, ייכללו גם פרטים נוספים, לפי דרישת הרשות.</w:t>
      </w:r>
    </w:p>
    <w:p w14:paraId="2C6903FC" w14:textId="77777777" w:rsidR="0091103F" w:rsidRPr="0091103F" w:rsidRDefault="0091103F" w:rsidP="0091103F">
      <w:pPr>
        <w:pStyle w:val="P00"/>
        <w:spacing w:before="0"/>
        <w:ind w:left="0" w:right="1134"/>
        <w:rPr>
          <w:rStyle w:val="default"/>
          <w:rFonts w:cs="FrankRuehl" w:hint="cs"/>
          <w:vanish/>
          <w:color w:val="FF0000"/>
          <w:sz w:val="20"/>
          <w:szCs w:val="20"/>
          <w:shd w:val="clear" w:color="auto" w:fill="FFFF99"/>
          <w:rtl/>
        </w:rPr>
      </w:pPr>
      <w:bookmarkStart w:id="3" w:name="Rov9"/>
      <w:r w:rsidRPr="0091103F">
        <w:rPr>
          <w:rStyle w:val="default"/>
          <w:rFonts w:cs="FrankRuehl" w:hint="cs"/>
          <w:vanish/>
          <w:color w:val="FF0000"/>
          <w:sz w:val="20"/>
          <w:szCs w:val="20"/>
          <w:shd w:val="clear" w:color="auto" w:fill="FFFF99"/>
          <w:rtl/>
        </w:rPr>
        <w:t>מיום 20.11.2012</w:t>
      </w:r>
    </w:p>
    <w:p w14:paraId="53CAB117" w14:textId="77777777" w:rsidR="0091103F" w:rsidRPr="0091103F" w:rsidRDefault="0091103F" w:rsidP="0091103F">
      <w:pPr>
        <w:pStyle w:val="P00"/>
        <w:spacing w:before="0"/>
        <w:ind w:left="0" w:right="1134"/>
        <w:rPr>
          <w:rStyle w:val="default"/>
          <w:rFonts w:cs="FrankRuehl" w:hint="cs"/>
          <w:vanish/>
          <w:sz w:val="20"/>
          <w:szCs w:val="20"/>
          <w:shd w:val="clear" w:color="auto" w:fill="FFFF99"/>
          <w:rtl/>
        </w:rPr>
      </w:pPr>
      <w:r w:rsidRPr="0091103F">
        <w:rPr>
          <w:rStyle w:val="default"/>
          <w:rFonts w:cs="FrankRuehl" w:hint="cs"/>
          <w:b/>
          <w:bCs/>
          <w:vanish/>
          <w:sz w:val="20"/>
          <w:szCs w:val="20"/>
          <w:shd w:val="clear" w:color="auto" w:fill="FFFF99"/>
          <w:rtl/>
        </w:rPr>
        <w:t>ת"ט תשע"ג-2012</w:t>
      </w:r>
    </w:p>
    <w:p w14:paraId="21F89154" w14:textId="77777777" w:rsidR="0091103F" w:rsidRPr="0091103F" w:rsidRDefault="0091103F" w:rsidP="0091103F">
      <w:pPr>
        <w:pStyle w:val="P00"/>
        <w:spacing w:before="0"/>
        <w:ind w:left="0" w:right="1134"/>
        <w:rPr>
          <w:rStyle w:val="default"/>
          <w:rFonts w:cs="FrankRuehl" w:hint="cs"/>
          <w:vanish/>
          <w:sz w:val="20"/>
          <w:szCs w:val="20"/>
          <w:shd w:val="clear" w:color="auto" w:fill="FFFF99"/>
          <w:rtl/>
        </w:rPr>
      </w:pPr>
      <w:hyperlink r:id="rId6" w:history="1">
        <w:r w:rsidRPr="0091103F">
          <w:rPr>
            <w:rStyle w:val="Hyperlink"/>
            <w:rFonts w:cs="FrankRuehl" w:hint="cs"/>
            <w:vanish/>
            <w:szCs w:val="20"/>
            <w:shd w:val="clear" w:color="auto" w:fill="FFFF99"/>
            <w:rtl/>
          </w:rPr>
          <w:t>ק"ת תשע"ג מס' 7183</w:t>
        </w:r>
      </w:hyperlink>
      <w:r w:rsidRPr="0091103F">
        <w:rPr>
          <w:rStyle w:val="default"/>
          <w:rFonts w:cs="FrankRuehl" w:hint="cs"/>
          <w:vanish/>
          <w:sz w:val="20"/>
          <w:szCs w:val="20"/>
          <w:shd w:val="clear" w:color="auto" w:fill="FFFF99"/>
          <w:rtl/>
        </w:rPr>
        <w:t xml:space="preserve"> מיום 20.11.2012 עמ' 208</w:t>
      </w:r>
    </w:p>
    <w:p w14:paraId="57EC126A" w14:textId="77777777" w:rsidR="0091103F" w:rsidRPr="0091103F" w:rsidRDefault="0091103F" w:rsidP="0091103F">
      <w:pPr>
        <w:pStyle w:val="P00"/>
        <w:ind w:left="0" w:right="1134"/>
        <w:rPr>
          <w:rStyle w:val="default"/>
          <w:rFonts w:cs="FrankRuehl" w:hint="cs"/>
          <w:sz w:val="2"/>
          <w:szCs w:val="2"/>
          <w:rtl/>
        </w:rPr>
      </w:pPr>
      <w:r w:rsidRPr="0091103F">
        <w:rPr>
          <w:rStyle w:val="default"/>
          <w:rFonts w:cs="FrankRuehl" w:hint="cs"/>
          <w:vanish/>
          <w:sz w:val="22"/>
          <w:szCs w:val="22"/>
          <w:shd w:val="clear" w:color="auto" w:fill="FFFF99"/>
          <w:rtl/>
        </w:rPr>
        <w:tab/>
        <w:t>(ג)</w:t>
      </w:r>
      <w:r w:rsidRPr="0091103F">
        <w:rPr>
          <w:rStyle w:val="default"/>
          <w:rFonts w:cs="FrankRuehl" w:hint="cs"/>
          <w:vanish/>
          <w:sz w:val="22"/>
          <w:szCs w:val="22"/>
          <w:shd w:val="clear" w:color="auto" w:fill="FFFF99"/>
          <w:rtl/>
        </w:rPr>
        <w:tab/>
        <w:t xml:space="preserve">בדוח מיידי </w:t>
      </w:r>
      <w:r w:rsidRPr="0091103F">
        <w:rPr>
          <w:rStyle w:val="default"/>
          <w:rFonts w:cs="FrankRuehl" w:hint="cs"/>
          <w:strike/>
          <w:vanish/>
          <w:sz w:val="22"/>
          <w:szCs w:val="22"/>
          <w:shd w:val="clear" w:color="auto" w:fill="FFFF99"/>
          <w:rtl/>
        </w:rPr>
        <w:t>כאמור בתקנה 15</w:t>
      </w:r>
      <w:r w:rsidRPr="0091103F">
        <w:rPr>
          <w:rStyle w:val="default"/>
          <w:rFonts w:cs="FrankRuehl" w:hint="cs"/>
          <w:vanish/>
          <w:sz w:val="22"/>
          <w:szCs w:val="22"/>
          <w:shd w:val="clear" w:color="auto" w:fill="FFFF99"/>
          <w:rtl/>
        </w:rPr>
        <w:t xml:space="preserve"> </w:t>
      </w:r>
      <w:r w:rsidRPr="0091103F">
        <w:rPr>
          <w:rStyle w:val="default"/>
          <w:rFonts w:cs="FrankRuehl" w:hint="cs"/>
          <w:vanish/>
          <w:sz w:val="22"/>
          <w:szCs w:val="22"/>
          <w:u w:val="single"/>
          <w:shd w:val="clear" w:color="auto" w:fill="FFFF99"/>
          <w:rtl/>
        </w:rPr>
        <w:t>כאמור בתקנה זו</w:t>
      </w:r>
      <w:r w:rsidRPr="0091103F">
        <w:rPr>
          <w:rStyle w:val="default"/>
          <w:rFonts w:cs="FrankRuehl" w:hint="cs"/>
          <w:vanish/>
          <w:sz w:val="22"/>
          <w:szCs w:val="22"/>
          <w:shd w:val="clear" w:color="auto" w:fill="FFFF99"/>
          <w:rtl/>
        </w:rPr>
        <w:t>, ייכללו גם פרטים נוספים, לפי דרישת הרשות.</w:t>
      </w:r>
      <w:bookmarkEnd w:id="3"/>
    </w:p>
    <w:p w14:paraId="168B509D" w14:textId="77777777" w:rsidR="009C17D8" w:rsidRDefault="009C17D8" w:rsidP="00E21731">
      <w:pPr>
        <w:pStyle w:val="P00"/>
        <w:spacing w:before="72"/>
        <w:ind w:left="0" w:right="1134"/>
        <w:rPr>
          <w:rStyle w:val="default"/>
          <w:rFonts w:cs="FrankRuehl" w:hint="cs"/>
          <w:rtl/>
        </w:rPr>
      </w:pPr>
      <w:bookmarkStart w:id="4" w:name="Seif4"/>
      <w:bookmarkEnd w:id="4"/>
      <w:r>
        <w:rPr>
          <w:lang w:val="he-IL"/>
        </w:rPr>
        <w:pict w14:anchorId="5B5184B0">
          <v:rect id="_x0000_s1029" style="position:absolute;left:0;text-align:left;margin-left:464.5pt;margin-top:8.05pt;width:75.05pt;height:17.45pt;z-index:251657216" o:allowincell="f" filled="f" stroked="f" strokecolor="lime" strokeweight=".25pt">
            <v:textbox inset="0,0,0,0">
              <w:txbxContent>
                <w:p w14:paraId="20000A1E" w14:textId="77777777" w:rsidR="00550515" w:rsidRDefault="00E21731" w:rsidP="007844C4">
                  <w:pPr>
                    <w:spacing w:line="160" w:lineRule="exact"/>
                    <w:jc w:val="left"/>
                    <w:rPr>
                      <w:rFonts w:cs="Miriam"/>
                      <w:noProof/>
                      <w:sz w:val="18"/>
                      <w:szCs w:val="18"/>
                      <w:rtl/>
                    </w:rPr>
                  </w:pPr>
                  <w:r>
                    <w:rPr>
                      <w:rFonts w:cs="Miriam" w:hint="cs"/>
                      <w:sz w:val="18"/>
                      <w:szCs w:val="18"/>
                      <w:rtl/>
                    </w:rPr>
                    <w:t>שמירת מסמכים ותיעוד</w:t>
                  </w:r>
                </w:p>
              </w:txbxContent>
            </v:textbox>
            <w10:anchorlock/>
          </v:rect>
        </w:pict>
      </w:r>
      <w:r>
        <w:rPr>
          <w:rStyle w:val="big-number"/>
          <w:rFonts w:cs="Miriam"/>
          <w:rtl/>
        </w:rPr>
        <w:t>4.</w:t>
      </w:r>
      <w:r>
        <w:rPr>
          <w:rStyle w:val="big-number"/>
          <w:rFonts w:cs="Miriam"/>
          <w:rtl/>
        </w:rPr>
        <w:tab/>
      </w:r>
      <w:r w:rsidR="00441725">
        <w:rPr>
          <w:rStyle w:val="default"/>
          <w:rFonts w:cs="FrankRuehl" w:hint="cs"/>
          <w:rtl/>
        </w:rPr>
        <w:t>(א)</w:t>
      </w:r>
      <w:r w:rsidR="00441725">
        <w:rPr>
          <w:rStyle w:val="default"/>
          <w:rFonts w:cs="FrankRuehl" w:hint="cs"/>
          <w:rtl/>
        </w:rPr>
        <w:tab/>
      </w:r>
      <w:r w:rsidR="00E21731">
        <w:rPr>
          <w:rStyle w:val="default"/>
          <w:rFonts w:cs="FrankRuehl" w:hint="cs"/>
          <w:rtl/>
        </w:rPr>
        <w:t>חתם מייצב ינהל רישום של כל ייצוב שביצע; הרישום יכלול את כל פרטי הייצוב וייערך במועדים אלה:</w:t>
      </w:r>
    </w:p>
    <w:p w14:paraId="79A06448" w14:textId="77777777" w:rsidR="00E21731" w:rsidRDefault="00E21731" w:rsidP="00E217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בסמוך לפני ביצוע הייצוב </w:t>
      </w:r>
      <w:r>
        <w:rPr>
          <w:rStyle w:val="default"/>
          <w:rFonts w:cs="FrankRuehl"/>
          <w:rtl/>
        </w:rPr>
        <w:t>–</w:t>
      </w:r>
      <w:r>
        <w:rPr>
          <w:rStyle w:val="default"/>
          <w:rFonts w:cs="FrankRuehl" w:hint="cs"/>
          <w:rtl/>
        </w:rPr>
        <w:t xml:space="preserve"> מועד הגשת פקודת הייצוב, מחיר הפקודה והכמות הקבועה בה;</w:t>
      </w:r>
    </w:p>
    <w:p w14:paraId="193428C7" w14:textId="77777777" w:rsidR="00E21731" w:rsidRDefault="00E21731" w:rsidP="00E217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בתוך זמן סביר לאחר ביצוע הייצוב </w:t>
      </w:r>
      <w:r>
        <w:rPr>
          <w:rStyle w:val="default"/>
          <w:rFonts w:cs="FrankRuehl"/>
          <w:rtl/>
        </w:rPr>
        <w:t>–</w:t>
      </w:r>
      <w:r>
        <w:rPr>
          <w:rStyle w:val="default"/>
          <w:rFonts w:cs="FrankRuehl" w:hint="cs"/>
          <w:rtl/>
        </w:rPr>
        <w:t xml:space="preserve"> כל פרט נוסף ביחס לייצוב, לרבות כמויות שרכש בפועל.</w:t>
      </w:r>
    </w:p>
    <w:p w14:paraId="010D0F45" w14:textId="77777777" w:rsidR="00E21731" w:rsidRDefault="00E21731" w:rsidP="00E217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2563F">
        <w:rPr>
          <w:rStyle w:val="default"/>
          <w:rFonts w:cs="FrankRuehl" w:hint="cs"/>
          <w:rtl/>
        </w:rPr>
        <w:t>החתם המייצב ישמור רישומים כאמור לתקופה של שבע שנים.</w:t>
      </w:r>
    </w:p>
    <w:p w14:paraId="6D0F8DA6" w14:textId="77777777" w:rsidR="009C17D8" w:rsidRDefault="009C17D8" w:rsidP="0032563F">
      <w:pPr>
        <w:pStyle w:val="P00"/>
        <w:spacing w:before="72"/>
        <w:ind w:left="0" w:right="1134"/>
        <w:rPr>
          <w:rStyle w:val="default"/>
          <w:rFonts w:cs="FrankRuehl" w:hint="cs"/>
          <w:rtl/>
        </w:rPr>
      </w:pPr>
      <w:bookmarkStart w:id="5" w:name="Seif5"/>
      <w:bookmarkEnd w:id="5"/>
      <w:r>
        <w:rPr>
          <w:lang w:val="he-IL"/>
        </w:rPr>
        <w:pict w14:anchorId="615C4B85">
          <v:rect id="_x0000_s1030" style="position:absolute;left:0;text-align:left;margin-left:464.5pt;margin-top:8.05pt;width:75.05pt;height:16.35pt;z-index:251658240" o:allowincell="f" filled="f" stroked="f" strokecolor="lime" strokeweight=".25pt">
            <v:textbox inset="0,0,0,0">
              <w:txbxContent>
                <w:p w14:paraId="20579D30" w14:textId="77777777" w:rsidR="00550515" w:rsidRDefault="0032563F">
                  <w:pPr>
                    <w:spacing w:line="160" w:lineRule="exact"/>
                    <w:jc w:val="left"/>
                    <w:rPr>
                      <w:rFonts w:cs="Miriam" w:hint="cs"/>
                      <w:noProof/>
                      <w:sz w:val="18"/>
                      <w:szCs w:val="18"/>
                      <w:rtl/>
                    </w:rPr>
                  </w:pPr>
                  <w:r>
                    <w:rPr>
                      <w:rFonts w:cs="Miriam" w:hint="cs"/>
                      <w:sz w:val="18"/>
                      <w:szCs w:val="18"/>
                      <w:rtl/>
                    </w:rPr>
                    <w:t>דיווח מיידי של המנפיק</w:t>
                  </w:r>
                </w:p>
              </w:txbxContent>
            </v:textbox>
            <w10:anchorlock/>
          </v:rect>
        </w:pict>
      </w:r>
      <w:r>
        <w:rPr>
          <w:rStyle w:val="big-number"/>
          <w:rFonts w:cs="Miriam"/>
          <w:rtl/>
        </w:rPr>
        <w:t>5.</w:t>
      </w:r>
      <w:r>
        <w:rPr>
          <w:rStyle w:val="big-number"/>
          <w:rFonts w:cs="Miriam"/>
          <w:rtl/>
        </w:rPr>
        <w:tab/>
      </w:r>
      <w:r w:rsidR="0032563F">
        <w:rPr>
          <w:rStyle w:val="default"/>
          <w:rFonts w:cs="FrankRuehl" w:hint="cs"/>
          <w:rtl/>
        </w:rPr>
        <w:t>הוגש דוח מיידי לפי תקנה 3(ב) יגיש התאגיד שניירות ערך שלו הם נושא הייצוב, עד תחילת יום המסחר העוקב אחרי יום הגשת הדוח על ידי החתם המייצב, דוח מיידי בדבר הגשת הדוח האמור על ידי החתם המייצב, תוך ציון שמו של החתם המייצב ושאר פרטיהם הכלולים בדוח האמור</w:t>
      </w:r>
      <w:r>
        <w:rPr>
          <w:rStyle w:val="default"/>
          <w:rFonts w:cs="FrankRuehl" w:hint="cs"/>
          <w:rtl/>
        </w:rPr>
        <w:t>.</w:t>
      </w:r>
    </w:p>
    <w:p w14:paraId="08BA135E" w14:textId="77777777" w:rsidR="009C17D8" w:rsidRDefault="009C17D8" w:rsidP="0032563F">
      <w:pPr>
        <w:pStyle w:val="P00"/>
        <w:spacing w:before="72"/>
        <w:ind w:left="0" w:right="1134"/>
        <w:rPr>
          <w:rStyle w:val="default"/>
          <w:rFonts w:cs="FrankRuehl" w:hint="cs"/>
          <w:rtl/>
        </w:rPr>
      </w:pPr>
      <w:bookmarkStart w:id="6" w:name="Seif6"/>
      <w:bookmarkEnd w:id="6"/>
      <w:r>
        <w:rPr>
          <w:lang w:val="he-IL"/>
        </w:rPr>
        <w:pict w14:anchorId="2CCA29A0">
          <v:rect id="_x0000_s1031" style="position:absolute;left:0;text-align:left;margin-left:464.5pt;margin-top:8.05pt;width:75.05pt;height:20.85pt;z-index:251659264" o:allowincell="f" filled="f" stroked="f" strokecolor="lime" strokeweight=".25pt">
            <v:textbox inset="0,0,0,0">
              <w:txbxContent>
                <w:p w14:paraId="1FE02E8C" w14:textId="77777777" w:rsidR="00550515" w:rsidRDefault="0032563F">
                  <w:pPr>
                    <w:spacing w:line="160" w:lineRule="exact"/>
                    <w:jc w:val="left"/>
                    <w:rPr>
                      <w:rFonts w:cs="Miriam" w:hint="cs"/>
                      <w:noProof/>
                      <w:sz w:val="18"/>
                      <w:szCs w:val="18"/>
                      <w:rtl/>
                    </w:rPr>
                  </w:pPr>
                  <w:r>
                    <w:rPr>
                      <w:rFonts w:cs="Miriam" w:hint="cs"/>
                      <w:sz w:val="18"/>
                      <w:szCs w:val="18"/>
                      <w:rtl/>
                    </w:rPr>
                    <w:t>סיום ייצוב במהלך תקופת הייצוב</w:t>
                  </w:r>
                </w:p>
              </w:txbxContent>
            </v:textbox>
            <w10:anchorlock/>
          </v:rect>
        </w:pict>
      </w:r>
      <w:r>
        <w:rPr>
          <w:rStyle w:val="big-number"/>
          <w:rFonts w:cs="Miriam"/>
          <w:rtl/>
        </w:rPr>
        <w:t>6.</w:t>
      </w:r>
      <w:r>
        <w:rPr>
          <w:rStyle w:val="big-number"/>
          <w:rFonts w:cs="Miriam"/>
          <w:rtl/>
        </w:rPr>
        <w:tab/>
      </w:r>
      <w:r w:rsidR="0032563F">
        <w:rPr>
          <w:rStyle w:val="default"/>
          <w:rFonts w:cs="FrankRuehl" w:hint="cs"/>
          <w:rtl/>
        </w:rPr>
        <w:t>חתם מייצב רשאי לפרסם דוח מיידי במהלך תקופת הייצוב ובו להודיע על כך, שעל אף האמור בתשקיף, הוא חדל מלבצע ייצוב ומפסיק לדווח בהתאם לתקנות אלה, ולפיכך החזקה הקבועה בסעיף 54(א)(2) לחוק, לא מתקיימת לגביו עוד.</w:t>
      </w:r>
    </w:p>
    <w:p w14:paraId="6585B81D" w14:textId="77777777" w:rsidR="009C17D8" w:rsidRDefault="009C17D8" w:rsidP="0032563F">
      <w:pPr>
        <w:pStyle w:val="P00"/>
        <w:spacing w:before="72"/>
        <w:ind w:left="0" w:right="1134"/>
        <w:rPr>
          <w:rStyle w:val="default"/>
          <w:rFonts w:cs="FrankRuehl" w:hint="cs"/>
          <w:rtl/>
        </w:rPr>
      </w:pPr>
      <w:bookmarkStart w:id="7" w:name="Seif7"/>
      <w:bookmarkEnd w:id="7"/>
      <w:r>
        <w:rPr>
          <w:lang w:val="he-IL"/>
        </w:rPr>
        <w:pict w14:anchorId="62AB9FB6">
          <v:rect id="_x0000_s1032" style="position:absolute;left:0;text-align:left;margin-left:464.5pt;margin-top:8.05pt;width:75.05pt;height:9.15pt;z-index:251660288" o:allowincell="f" filled="f" stroked="f" strokecolor="lime" strokeweight=".25pt">
            <v:textbox inset="0,0,0,0">
              <w:txbxContent>
                <w:p w14:paraId="540107EF" w14:textId="77777777" w:rsidR="00550515" w:rsidRDefault="0032563F">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7.</w:t>
      </w:r>
      <w:r>
        <w:rPr>
          <w:rStyle w:val="big-number"/>
          <w:rFonts w:cs="Miriam"/>
          <w:rtl/>
        </w:rPr>
        <w:tab/>
      </w:r>
      <w:r w:rsidR="0032563F">
        <w:rPr>
          <w:rStyle w:val="default"/>
          <w:rFonts w:cs="FrankRuehl" w:hint="cs"/>
          <w:rtl/>
        </w:rPr>
        <w:t>תחילתן של תקנות אלה 30 ימים מיום פרסומן</w:t>
      </w:r>
      <w:r w:rsidR="005F07DD">
        <w:rPr>
          <w:rStyle w:val="default"/>
          <w:rFonts w:cs="FrankRuehl" w:hint="cs"/>
          <w:rtl/>
        </w:rPr>
        <w:t>.</w:t>
      </w:r>
    </w:p>
    <w:p w14:paraId="55F52EDD" w14:textId="77777777" w:rsidR="00FB679E" w:rsidRDefault="00FB679E">
      <w:pPr>
        <w:pStyle w:val="P00"/>
        <w:spacing w:before="72"/>
        <w:ind w:left="0" w:right="1134"/>
        <w:rPr>
          <w:rStyle w:val="default"/>
          <w:rFonts w:cs="FrankRuehl" w:hint="cs"/>
          <w:rtl/>
        </w:rPr>
      </w:pPr>
    </w:p>
    <w:p w14:paraId="3A13B791" w14:textId="77777777" w:rsidR="0084412B" w:rsidRDefault="0084412B">
      <w:pPr>
        <w:pStyle w:val="P00"/>
        <w:spacing w:before="72"/>
        <w:ind w:left="0" w:right="1134"/>
        <w:rPr>
          <w:rStyle w:val="default"/>
          <w:rFonts w:cs="FrankRuehl" w:hint="cs"/>
          <w:rtl/>
        </w:rPr>
      </w:pPr>
    </w:p>
    <w:p w14:paraId="21760301" w14:textId="77777777" w:rsidR="007C05C4" w:rsidRDefault="0032563F" w:rsidP="0032563F">
      <w:pPr>
        <w:pStyle w:val="sig-0"/>
        <w:tabs>
          <w:tab w:val="clear" w:pos="4820"/>
          <w:tab w:val="center" w:pos="5670"/>
        </w:tabs>
        <w:spacing w:before="72"/>
        <w:ind w:left="0" w:right="1134"/>
        <w:rPr>
          <w:rFonts w:cs="FrankRuehl" w:hint="cs"/>
          <w:sz w:val="26"/>
          <w:rtl/>
        </w:rPr>
      </w:pPr>
      <w:r>
        <w:rPr>
          <w:rFonts w:cs="FrankRuehl" w:hint="cs"/>
          <w:sz w:val="26"/>
          <w:rtl/>
        </w:rPr>
        <w:t>כ"א</w:t>
      </w:r>
      <w:r w:rsidR="008A7C1C">
        <w:rPr>
          <w:rFonts w:cs="FrankRuehl" w:hint="cs"/>
          <w:sz w:val="26"/>
          <w:rtl/>
        </w:rPr>
        <w:t xml:space="preserve"> בחשוון התשע"ג (</w:t>
      </w:r>
      <w:r>
        <w:rPr>
          <w:rFonts w:cs="FrankRuehl" w:hint="cs"/>
          <w:sz w:val="26"/>
          <w:rtl/>
        </w:rPr>
        <w:t>6 בנובמבר</w:t>
      </w:r>
      <w:r w:rsidR="008A7C1C">
        <w:rPr>
          <w:rFonts w:cs="FrankRuehl" w:hint="cs"/>
          <w:sz w:val="26"/>
          <w:rtl/>
        </w:rPr>
        <w:t xml:space="preserve"> 2012)</w:t>
      </w:r>
      <w:r w:rsidR="00857B6B">
        <w:rPr>
          <w:rFonts w:cs="FrankRuehl" w:hint="cs"/>
          <w:sz w:val="26"/>
          <w:rtl/>
        </w:rPr>
        <w:tab/>
      </w:r>
      <w:r>
        <w:rPr>
          <w:rFonts w:cs="FrankRuehl" w:hint="cs"/>
          <w:sz w:val="26"/>
          <w:rtl/>
        </w:rPr>
        <w:t>יובל שטייניץ</w:t>
      </w:r>
    </w:p>
    <w:p w14:paraId="475E0239" w14:textId="77777777" w:rsidR="007C05C4" w:rsidRDefault="008A7C1C" w:rsidP="0032563F">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32563F">
        <w:rPr>
          <w:rFonts w:cs="FrankRuehl" w:hint="cs"/>
          <w:sz w:val="22"/>
          <w:rtl/>
        </w:rPr>
        <w:t>שר האוצר</w:t>
      </w:r>
    </w:p>
    <w:p w14:paraId="7C881BC5" w14:textId="77777777" w:rsidR="006049FD" w:rsidRPr="0084412B" w:rsidRDefault="006049FD" w:rsidP="0084412B">
      <w:pPr>
        <w:pStyle w:val="P00"/>
        <w:spacing w:before="72"/>
        <w:ind w:left="0" w:right="1134"/>
        <w:rPr>
          <w:rStyle w:val="default"/>
          <w:rFonts w:cs="FrankRuehl" w:hint="cs"/>
          <w:rtl/>
        </w:rPr>
      </w:pPr>
    </w:p>
    <w:p w14:paraId="0C9E5752" w14:textId="77777777" w:rsidR="0084412B" w:rsidRPr="0084412B" w:rsidRDefault="0084412B" w:rsidP="0084412B">
      <w:pPr>
        <w:pStyle w:val="P00"/>
        <w:spacing w:before="72"/>
        <w:ind w:left="0" w:right="1134"/>
        <w:rPr>
          <w:rStyle w:val="default"/>
          <w:rFonts w:cs="FrankRuehl"/>
          <w:rtl/>
        </w:rPr>
      </w:pPr>
    </w:p>
    <w:p w14:paraId="318896EB" w14:textId="77777777" w:rsidR="009C17D8" w:rsidRPr="0084412B" w:rsidRDefault="009C17D8" w:rsidP="0084412B">
      <w:pPr>
        <w:pStyle w:val="P00"/>
        <w:spacing w:before="72"/>
        <w:ind w:left="0" w:right="1134"/>
        <w:rPr>
          <w:rStyle w:val="default"/>
          <w:rFonts w:cs="FrankRuehl"/>
          <w:rtl/>
        </w:rPr>
      </w:pPr>
      <w:bookmarkStart w:id="8" w:name="LawPartEnd"/>
    </w:p>
    <w:bookmarkEnd w:id="8"/>
    <w:p w14:paraId="60127CB4" w14:textId="77777777" w:rsidR="00D869A5" w:rsidRDefault="00D869A5" w:rsidP="0084412B">
      <w:pPr>
        <w:pStyle w:val="P00"/>
        <w:spacing w:before="72"/>
        <w:ind w:left="0" w:right="1134"/>
        <w:rPr>
          <w:rStyle w:val="default"/>
          <w:rFonts w:cs="FrankRuehl"/>
          <w:rtl/>
        </w:rPr>
      </w:pPr>
    </w:p>
    <w:p w14:paraId="4046DC3C" w14:textId="77777777" w:rsidR="00D869A5" w:rsidRDefault="00D869A5" w:rsidP="0084412B">
      <w:pPr>
        <w:pStyle w:val="P00"/>
        <w:spacing w:before="72"/>
        <w:ind w:left="0" w:right="1134"/>
        <w:rPr>
          <w:rStyle w:val="default"/>
          <w:rFonts w:cs="FrankRuehl"/>
          <w:rtl/>
        </w:rPr>
      </w:pPr>
    </w:p>
    <w:p w14:paraId="797BB146" w14:textId="77777777" w:rsidR="00D869A5" w:rsidRDefault="00D869A5" w:rsidP="00D869A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194CD593" w14:textId="77777777" w:rsidR="009C17D8" w:rsidRPr="00D869A5" w:rsidRDefault="009C17D8" w:rsidP="00D869A5">
      <w:pPr>
        <w:pStyle w:val="P00"/>
        <w:spacing w:before="72"/>
        <w:ind w:left="0" w:right="1134"/>
        <w:jc w:val="center"/>
        <w:rPr>
          <w:rStyle w:val="default"/>
          <w:rFonts w:cs="David"/>
          <w:color w:val="0000FF"/>
          <w:szCs w:val="24"/>
          <w:u w:val="single"/>
          <w:rtl/>
        </w:rPr>
      </w:pPr>
    </w:p>
    <w:sectPr w:rsidR="009C17D8" w:rsidRPr="00D869A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8233" w14:textId="77777777" w:rsidR="00574E3C" w:rsidRDefault="00574E3C">
      <w:pPr>
        <w:spacing w:line="240" w:lineRule="auto"/>
      </w:pPr>
      <w:r>
        <w:separator/>
      </w:r>
    </w:p>
  </w:endnote>
  <w:endnote w:type="continuationSeparator" w:id="0">
    <w:p w14:paraId="2AF7EF95" w14:textId="77777777" w:rsidR="00574E3C" w:rsidRDefault="00574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4E6E" w14:textId="77777777" w:rsidR="00550515" w:rsidRDefault="005505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62970B" w14:textId="77777777" w:rsidR="00550515" w:rsidRDefault="005505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497B5B" w14:textId="77777777" w:rsidR="00550515" w:rsidRDefault="005505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9A5">
      <w:rPr>
        <w:rFonts w:cs="TopType Jerushalmi"/>
        <w:noProof/>
        <w:color w:val="000000"/>
        <w:sz w:val="14"/>
        <w:szCs w:val="14"/>
      </w:rPr>
      <w:t>Z:\000-law\yael\2012\2012-11-21\TAV\500_789.doc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4151" w14:textId="77777777" w:rsidR="00550515" w:rsidRDefault="005505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6D6D">
      <w:rPr>
        <w:rFonts w:hAnsi="FrankRuehl" w:cs="FrankRuehl"/>
        <w:noProof/>
        <w:sz w:val="24"/>
        <w:szCs w:val="24"/>
        <w:rtl/>
      </w:rPr>
      <w:t>2</w:t>
    </w:r>
    <w:r>
      <w:rPr>
        <w:rFonts w:hAnsi="FrankRuehl" w:cs="FrankRuehl"/>
        <w:sz w:val="24"/>
        <w:szCs w:val="24"/>
        <w:rtl/>
      </w:rPr>
      <w:fldChar w:fldCharType="end"/>
    </w:r>
  </w:p>
  <w:p w14:paraId="119B93AD" w14:textId="77777777" w:rsidR="00550515" w:rsidRDefault="005505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7CFFC2" w14:textId="77777777" w:rsidR="00550515" w:rsidRDefault="005505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69A5">
      <w:rPr>
        <w:rFonts w:cs="TopType Jerushalmi"/>
        <w:noProof/>
        <w:color w:val="000000"/>
        <w:sz w:val="14"/>
        <w:szCs w:val="14"/>
      </w:rPr>
      <w:t>Z:\000-law\yael\2012\2012-11-21\TAV\500_789.doc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F8FC" w14:textId="77777777" w:rsidR="00574E3C" w:rsidRDefault="00574E3C" w:rsidP="0084412B">
      <w:pPr>
        <w:spacing w:before="60" w:line="240" w:lineRule="auto"/>
        <w:ind w:right="1134"/>
      </w:pPr>
      <w:r>
        <w:separator/>
      </w:r>
    </w:p>
  </w:footnote>
  <w:footnote w:type="continuationSeparator" w:id="0">
    <w:p w14:paraId="1C283C18" w14:textId="77777777" w:rsidR="00574E3C" w:rsidRDefault="00574E3C">
      <w:pPr>
        <w:spacing w:line="240" w:lineRule="auto"/>
      </w:pPr>
      <w:r>
        <w:continuationSeparator/>
      </w:r>
    </w:p>
  </w:footnote>
  <w:footnote w:id="1">
    <w:p w14:paraId="1EA493BF" w14:textId="77777777" w:rsidR="00AA4A50" w:rsidRDefault="00550515" w:rsidP="00AA4A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AA4A50">
          <w:rPr>
            <w:rStyle w:val="Hyperlink"/>
            <w:rFonts w:cs="FrankRuehl" w:hint="cs"/>
            <w:rtl/>
          </w:rPr>
          <w:t>ק"ת תשע"ג מס' 718</w:t>
        </w:r>
        <w:r w:rsidR="006049FD" w:rsidRPr="00AA4A50">
          <w:rPr>
            <w:rStyle w:val="Hyperlink"/>
            <w:rFonts w:cs="FrankRuehl" w:hint="cs"/>
            <w:rtl/>
          </w:rPr>
          <w:t>2</w:t>
        </w:r>
      </w:hyperlink>
      <w:r>
        <w:rPr>
          <w:rFonts w:cs="FrankRuehl" w:hint="cs"/>
          <w:rtl/>
        </w:rPr>
        <w:t xml:space="preserve"> מיום 1</w:t>
      </w:r>
      <w:r w:rsidR="006049FD">
        <w:rPr>
          <w:rFonts w:cs="FrankRuehl" w:hint="cs"/>
          <w:rtl/>
        </w:rPr>
        <w:t>8</w:t>
      </w:r>
      <w:r>
        <w:rPr>
          <w:rFonts w:cs="FrankRuehl" w:hint="cs"/>
          <w:rtl/>
        </w:rPr>
        <w:t xml:space="preserve">.11.2012 עמ' </w:t>
      </w:r>
      <w:r w:rsidR="006049FD">
        <w:rPr>
          <w:rFonts w:cs="FrankRuehl" w:hint="cs"/>
          <w:rtl/>
        </w:rPr>
        <w:t>193</w:t>
      </w:r>
      <w:r>
        <w:rPr>
          <w:rFonts w:cs="FrankRuehl" w:hint="cs"/>
          <w:rtl/>
        </w:rPr>
        <w:t>.</w:t>
      </w:r>
    </w:p>
    <w:p w14:paraId="2AC4B644" w14:textId="77777777" w:rsidR="00FF57FF" w:rsidRPr="0084412B" w:rsidRDefault="0091103F" w:rsidP="00FF5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FF57FF">
          <w:rPr>
            <w:rStyle w:val="Hyperlink"/>
            <w:rFonts w:cs="FrankRuehl" w:hint="cs"/>
            <w:rtl/>
          </w:rPr>
          <w:t>ק"ת תשע"ג מס' 7183</w:t>
        </w:r>
      </w:hyperlink>
      <w:r>
        <w:rPr>
          <w:rFonts w:cs="FrankRuehl" w:hint="cs"/>
          <w:rtl/>
        </w:rPr>
        <w:t xml:space="preserve"> מיום 20.11.2012 עמ' 208.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2111" w14:textId="77777777" w:rsidR="00550515" w:rsidRDefault="005505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1EB47214" w14:textId="77777777" w:rsidR="00550515" w:rsidRDefault="005505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892822" w14:textId="77777777" w:rsidR="00550515" w:rsidRDefault="005505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436F" w14:textId="77777777" w:rsidR="00550515" w:rsidRDefault="00550515" w:rsidP="006049F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6049FD">
      <w:rPr>
        <w:rFonts w:hAnsi="FrankRuehl" w:cs="FrankRuehl" w:hint="cs"/>
        <w:color w:val="000000"/>
        <w:sz w:val="28"/>
        <w:szCs w:val="28"/>
        <w:rtl/>
      </w:rPr>
      <w:t>ניירות ערך (ייצוב מחירים</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תשע"ג-2012</w:t>
    </w:r>
  </w:p>
  <w:p w14:paraId="3C38DA22" w14:textId="77777777" w:rsidR="00550515" w:rsidRDefault="005505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1517E6" w14:textId="77777777" w:rsidR="00550515" w:rsidRDefault="0055051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64B17"/>
    <w:rsid w:val="00074C94"/>
    <w:rsid w:val="00093C28"/>
    <w:rsid w:val="000D36BB"/>
    <w:rsid w:val="00137793"/>
    <w:rsid w:val="00146863"/>
    <w:rsid w:val="001C1DA1"/>
    <w:rsid w:val="001C2FD5"/>
    <w:rsid w:val="001D25BF"/>
    <w:rsid w:val="001E1B0F"/>
    <w:rsid w:val="00220467"/>
    <w:rsid w:val="00266AD7"/>
    <w:rsid w:val="002B6729"/>
    <w:rsid w:val="002C2AB0"/>
    <w:rsid w:val="002D470E"/>
    <w:rsid w:val="002F6EDE"/>
    <w:rsid w:val="0032563F"/>
    <w:rsid w:val="00341FDA"/>
    <w:rsid w:val="00347FE6"/>
    <w:rsid w:val="00370279"/>
    <w:rsid w:val="00384AB5"/>
    <w:rsid w:val="003948B4"/>
    <w:rsid w:val="003A7077"/>
    <w:rsid w:val="003A76B8"/>
    <w:rsid w:val="003C5462"/>
    <w:rsid w:val="003C5A38"/>
    <w:rsid w:val="003D6ACA"/>
    <w:rsid w:val="00441725"/>
    <w:rsid w:val="00474979"/>
    <w:rsid w:val="004C3F37"/>
    <w:rsid w:val="00550515"/>
    <w:rsid w:val="00555508"/>
    <w:rsid w:val="0057148B"/>
    <w:rsid w:val="00574E3C"/>
    <w:rsid w:val="0058645D"/>
    <w:rsid w:val="005A4ED6"/>
    <w:rsid w:val="005B5BB0"/>
    <w:rsid w:val="005F07DD"/>
    <w:rsid w:val="006049FD"/>
    <w:rsid w:val="006231C4"/>
    <w:rsid w:val="006450B3"/>
    <w:rsid w:val="00646801"/>
    <w:rsid w:val="00667DFA"/>
    <w:rsid w:val="006729A1"/>
    <w:rsid w:val="0070315D"/>
    <w:rsid w:val="007305DB"/>
    <w:rsid w:val="00755D64"/>
    <w:rsid w:val="007844C4"/>
    <w:rsid w:val="007C05C4"/>
    <w:rsid w:val="00803F03"/>
    <w:rsid w:val="0084412B"/>
    <w:rsid w:val="008540B7"/>
    <w:rsid w:val="00857B6B"/>
    <w:rsid w:val="008A2D02"/>
    <w:rsid w:val="008A7C1C"/>
    <w:rsid w:val="008F21BE"/>
    <w:rsid w:val="00901322"/>
    <w:rsid w:val="00903DF0"/>
    <w:rsid w:val="009078CD"/>
    <w:rsid w:val="0091103F"/>
    <w:rsid w:val="00917017"/>
    <w:rsid w:val="00932D3C"/>
    <w:rsid w:val="00941EEB"/>
    <w:rsid w:val="00982510"/>
    <w:rsid w:val="00983432"/>
    <w:rsid w:val="009C17D8"/>
    <w:rsid w:val="009D3824"/>
    <w:rsid w:val="00A81FB0"/>
    <w:rsid w:val="00AA4A50"/>
    <w:rsid w:val="00AB02C4"/>
    <w:rsid w:val="00AC0676"/>
    <w:rsid w:val="00AD5BFA"/>
    <w:rsid w:val="00AF60A5"/>
    <w:rsid w:val="00B10C8B"/>
    <w:rsid w:val="00B164F6"/>
    <w:rsid w:val="00B307CE"/>
    <w:rsid w:val="00B31AA4"/>
    <w:rsid w:val="00B9282F"/>
    <w:rsid w:val="00BD0A21"/>
    <w:rsid w:val="00C71A46"/>
    <w:rsid w:val="00C734A4"/>
    <w:rsid w:val="00C7516E"/>
    <w:rsid w:val="00C932E5"/>
    <w:rsid w:val="00CC608F"/>
    <w:rsid w:val="00D2061A"/>
    <w:rsid w:val="00D233A2"/>
    <w:rsid w:val="00D37E1F"/>
    <w:rsid w:val="00D572FE"/>
    <w:rsid w:val="00D57928"/>
    <w:rsid w:val="00D775DC"/>
    <w:rsid w:val="00D8546F"/>
    <w:rsid w:val="00D869A5"/>
    <w:rsid w:val="00DA1611"/>
    <w:rsid w:val="00DD2974"/>
    <w:rsid w:val="00E21731"/>
    <w:rsid w:val="00E26D6D"/>
    <w:rsid w:val="00E32386"/>
    <w:rsid w:val="00E35950"/>
    <w:rsid w:val="00E4394C"/>
    <w:rsid w:val="00EA2B1B"/>
    <w:rsid w:val="00EC0302"/>
    <w:rsid w:val="00F423B9"/>
    <w:rsid w:val="00F647A2"/>
    <w:rsid w:val="00F82FCF"/>
    <w:rsid w:val="00FB679E"/>
    <w:rsid w:val="00FB7C67"/>
    <w:rsid w:val="00FC2067"/>
    <w:rsid w:val="00FC4A1F"/>
    <w:rsid w:val="00FF2743"/>
    <w:rsid w:val="00FF39C4"/>
    <w:rsid w:val="00FF57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93E687"/>
  <w15:chartTrackingRefBased/>
  <w15:docId w15:val="{5A33B308-4C20-41C9-B040-AC5467CE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18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83.pdf" TargetMode="External"/><Relationship Id="rId1" Type="http://schemas.openxmlformats.org/officeDocument/2006/relationships/hyperlink" Target="http://www.nevo.co.il/Law_word/law06/TAK-71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6483</CharactersWithSpaces>
  <SharedDoc>false</SharedDoc>
  <HLinks>
    <vt:vector size="66" baseType="variant">
      <vt:variant>
        <vt:i4>393283</vt:i4>
      </vt:variant>
      <vt:variant>
        <vt:i4>45</vt:i4>
      </vt:variant>
      <vt:variant>
        <vt:i4>0</vt:i4>
      </vt:variant>
      <vt:variant>
        <vt:i4>5</vt:i4>
      </vt:variant>
      <vt:variant>
        <vt:lpwstr>http://www.nevo.co.il/advertisements/nevo-100.doc</vt:lpwstr>
      </vt:variant>
      <vt:variant>
        <vt:lpwstr/>
      </vt:variant>
      <vt:variant>
        <vt:i4>7733258</vt:i4>
      </vt:variant>
      <vt:variant>
        <vt:i4>42</vt:i4>
      </vt:variant>
      <vt:variant>
        <vt:i4>0</vt:i4>
      </vt:variant>
      <vt:variant>
        <vt:i4>5</vt:i4>
      </vt:variant>
      <vt:variant>
        <vt:lpwstr>http://www.nevo.co.il/Law_word/law06/tak-7183.pdf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7733258</vt:i4>
      </vt:variant>
      <vt:variant>
        <vt:i4>3</vt:i4>
      </vt:variant>
      <vt:variant>
        <vt:i4>0</vt:i4>
      </vt:variant>
      <vt:variant>
        <vt:i4>5</vt:i4>
      </vt:variant>
      <vt:variant>
        <vt:lpwstr>http://www.nevo.co.il/Law_word/law06/TAK-7183.pdf</vt:lpwstr>
      </vt:variant>
      <vt:variant>
        <vt:lpwstr/>
      </vt:variant>
      <vt:variant>
        <vt:i4>7733259</vt:i4>
      </vt:variant>
      <vt:variant>
        <vt:i4>0</vt:i4>
      </vt:variant>
      <vt:variant>
        <vt:i4>0</vt:i4>
      </vt:variant>
      <vt:variant>
        <vt:i4>5</vt:i4>
      </vt:variant>
      <vt:variant>
        <vt:lpwstr>http://www.nevo.co.il/Law_word/law06/TAK-7182.pdf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ניירות ערך</vt:lpwstr>
  </property>
  <property fmtid="{D5CDD505-2E9C-101B-9397-08002B2CF9AE}" pid="4" name="LAWNAME">
    <vt:lpwstr>תקנות ניירות ערך (ייצוב מחירים), תשע"ג-2012</vt:lpwstr>
  </property>
  <property fmtid="{D5CDD505-2E9C-101B-9397-08002B2CF9AE}" pid="5" name="LAWNUMBER">
    <vt:lpwstr>0789</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ניירות ערך</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שוק ההון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ניירות ערך</vt:lpwstr>
  </property>
  <property fmtid="{D5CDD505-2E9C-101B-9397-08002B2CF9AE}" pid="48" name="MEKOR_SAIF1">
    <vt:lpwstr>36X;56XאX;56XגX3X</vt:lpwstr>
  </property>
  <property fmtid="{D5CDD505-2E9C-101B-9397-08002B2CF9AE}" pid="49" name="MEKORSAMCHUT">
    <vt:lpwstr/>
  </property>
  <property fmtid="{D5CDD505-2E9C-101B-9397-08002B2CF9AE}" pid="50" name="LINKK1">
    <vt:lpwstr>http://www.nevo.co.il/Law_word/law06/TAK-7182.pdf;רשומות - תקנות כלליות#פורסמו ק"ת תשע"ג מס' 7182# מיום 18.11.2012 עמ' 193</vt:lpwstr>
  </property>
  <property fmtid="{D5CDD505-2E9C-101B-9397-08002B2CF9AE}" pid="51" name="LINKK2">
    <vt:lpwstr>http://www.nevo.co.il/Law_word/law06/TAK-7183.pdf;רשומות - תקנות כלליות#ת"ט ק"ת תשע"ג מס' 7183 #מיום 20.11.2012 עמ' 208</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