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B0B" w:rsidRDefault="0025777C" w:rsidP="0025777C">
      <w:pPr>
        <w:pStyle w:val="big-header"/>
        <w:ind w:left="0" w:right="1134"/>
        <w:rPr>
          <w:rFonts w:cs="FrankRuehl"/>
          <w:sz w:val="32"/>
        </w:rPr>
      </w:pPr>
      <w:r>
        <w:rPr>
          <w:rFonts w:cs="FrankRuehl" w:hint="cs"/>
          <w:sz w:val="32"/>
          <w:rtl/>
        </w:rPr>
        <w:t>תקנות ניירות ערך (ניירות ערך מיוחדים</w:t>
      </w:r>
      <w:r w:rsidR="005E5479">
        <w:rPr>
          <w:rFonts w:cs="FrankRuehl" w:hint="cs"/>
          <w:sz w:val="32"/>
          <w:rtl/>
        </w:rPr>
        <w:t>)</w:t>
      </w:r>
      <w:r w:rsidR="00D36B0B">
        <w:rPr>
          <w:rFonts w:cs="FrankRuehl" w:hint="cs"/>
          <w:sz w:val="32"/>
          <w:rtl/>
        </w:rPr>
        <w:t>, תשס"ט-2008</w:t>
      </w:r>
    </w:p>
    <w:p w:rsidR="004824B4" w:rsidRPr="004824B4" w:rsidRDefault="004824B4" w:rsidP="004824B4">
      <w:pPr>
        <w:spacing w:line="320" w:lineRule="auto"/>
        <w:rPr>
          <w:rFonts w:cs="FrankRuehl"/>
          <w:szCs w:val="26"/>
          <w:rtl/>
        </w:rPr>
      </w:pPr>
    </w:p>
    <w:p w:rsidR="004824B4" w:rsidRDefault="004824B4" w:rsidP="004824B4">
      <w:pPr>
        <w:spacing w:line="320" w:lineRule="auto"/>
        <w:rPr>
          <w:rtl/>
        </w:rPr>
      </w:pPr>
    </w:p>
    <w:p w:rsidR="004824B4" w:rsidRPr="004824B4" w:rsidRDefault="004824B4" w:rsidP="004824B4">
      <w:pPr>
        <w:spacing w:line="320" w:lineRule="auto"/>
        <w:rPr>
          <w:rFonts w:cs="Miriam"/>
          <w:szCs w:val="22"/>
          <w:rtl/>
        </w:rPr>
      </w:pPr>
      <w:r w:rsidRPr="004824B4">
        <w:rPr>
          <w:rFonts w:cs="Miriam"/>
          <w:szCs w:val="22"/>
          <w:rtl/>
        </w:rPr>
        <w:t>משפט פרטי וכלכלה</w:t>
      </w:r>
      <w:r w:rsidRPr="004824B4">
        <w:rPr>
          <w:rFonts w:cs="FrankRuehl"/>
          <w:szCs w:val="26"/>
          <w:rtl/>
        </w:rPr>
        <w:t xml:space="preserve"> – תאגידים וניירות ערך – ניירות ערך</w:t>
      </w:r>
    </w:p>
    <w:p w:rsidR="001B270E" w:rsidRDefault="001B270E">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0E89" w:rsidRPr="00290E89">
        <w:tblPrEx>
          <w:tblCellMar>
            <w:top w:w="0" w:type="dxa"/>
            <w:bottom w:w="0" w:type="dxa"/>
          </w:tblCellMar>
        </w:tblPrEx>
        <w:tc>
          <w:tcPr>
            <w:tcW w:w="1247" w:type="dxa"/>
          </w:tcPr>
          <w:p w:rsidR="00290E89" w:rsidRPr="00290E89" w:rsidRDefault="00290E89" w:rsidP="00290E89">
            <w:pPr>
              <w:rPr>
                <w:rFonts w:cs="Frankruhel"/>
                <w:rtl/>
              </w:rPr>
            </w:pPr>
            <w:r>
              <w:rPr>
                <w:rtl/>
              </w:rPr>
              <w:t xml:space="preserve">סעיף 1 </w:t>
            </w:r>
          </w:p>
        </w:tc>
        <w:tc>
          <w:tcPr>
            <w:tcW w:w="5669" w:type="dxa"/>
          </w:tcPr>
          <w:p w:rsidR="00290E89" w:rsidRPr="00290E89" w:rsidRDefault="00290E89" w:rsidP="00290E89">
            <w:pPr>
              <w:rPr>
                <w:rFonts w:cs="Frankruhel"/>
                <w:rtl/>
              </w:rPr>
            </w:pPr>
            <w:r>
              <w:rPr>
                <w:rtl/>
              </w:rPr>
              <w:t>הגדרות</w:t>
            </w:r>
          </w:p>
        </w:tc>
        <w:tc>
          <w:tcPr>
            <w:tcW w:w="567" w:type="dxa"/>
          </w:tcPr>
          <w:p w:rsidR="00290E89" w:rsidRPr="00290E89" w:rsidRDefault="00290E89" w:rsidP="00290E89">
            <w:pPr>
              <w:rPr>
                <w:rStyle w:val="Hyperlink"/>
                <w:rtl/>
              </w:rPr>
            </w:pPr>
            <w:hyperlink w:anchor="Seif1" w:tooltip="הגדרות" w:history="1">
              <w:r w:rsidRPr="00290E89">
                <w:rPr>
                  <w:rStyle w:val="Hyperlink"/>
                </w:rPr>
                <w:t>Go</w:t>
              </w:r>
            </w:hyperlink>
          </w:p>
        </w:tc>
        <w:tc>
          <w:tcPr>
            <w:tcW w:w="850" w:type="dxa"/>
          </w:tcPr>
          <w:p w:rsidR="00290E89" w:rsidRPr="00290E89" w:rsidRDefault="00290E89" w:rsidP="00290E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90E89" w:rsidRPr="00290E89">
        <w:tblPrEx>
          <w:tblCellMar>
            <w:top w:w="0" w:type="dxa"/>
            <w:bottom w:w="0" w:type="dxa"/>
          </w:tblCellMar>
        </w:tblPrEx>
        <w:tc>
          <w:tcPr>
            <w:tcW w:w="1247" w:type="dxa"/>
          </w:tcPr>
          <w:p w:rsidR="00290E89" w:rsidRPr="00290E89" w:rsidRDefault="00290E89" w:rsidP="00290E89">
            <w:pPr>
              <w:rPr>
                <w:rFonts w:cs="Frankruhel"/>
                <w:rtl/>
              </w:rPr>
            </w:pPr>
            <w:r>
              <w:rPr>
                <w:rtl/>
              </w:rPr>
              <w:t xml:space="preserve">סעיף 2 </w:t>
            </w:r>
          </w:p>
        </w:tc>
        <w:tc>
          <w:tcPr>
            <w:tcW w:w="5669" w:type="dxa"/>
          </w:tcPr>
          <w:p w:rsidR="00290E89" w:rsidRPr="00290E89" w:rsidRDefault="00290E89" w:rsidP="00290E89">
            <w:pPr>
              <w:rPr>
                <w:rFonts w:cs="Frankruhel"/>
                <w:rtl/>
              </w:rPr>
            </w:pPr>
            <w:r>
              <w:rPr>
                <w:rtl/>
              </w:rPr>
              <w:t>פרטי מסמך הצעה לציבור</w:t>
            </w:r>
          </w:p>
        </w:tc>
        <w:tc>
          <w:tcPr>
            <w:tcW w:w="567" w:type="dxa"/>
          </w:tcPr>
          <w:p w:rsidR="00290E89" w:rsidRPr="00290E89" w:rsidRDefault="00290E89" w:rsidP="00290E89">
            <w:pPr>
              <w:rPr>
                <w:rStyle w:val="Hyperlink"/>
                <w:rtl/>
              </w:rPr>
            </w:pPr>
            <w:hyperlink w:anchor="Seif2" w:tooltip="פרטי מסמך הצעה לציבור" w:history="1">
              <w:r w:rsidRPr="00290E89">
                <w:rPr>
                  <w:rStyle w:val="Hyperlink"/>
                </w:rPr>
                <w:t>Go</w:t>
              </w:r>
            </w:hyperlink>
          </w:p>
        </w:tc>
        <w:tc>
          <w:tcPr>
            <w:tcW w:w="850" w:type="dxa"/>
          </w:tcPr>
          <w:p w:rsidR="00290E89" w:rsidRPr="00290E89" w:rsidRDefault="00290E89" w:rsidP="00290E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90E89" w:rsidRPr="00290E89">
        <w:tblPrEx>
          <w:tblCellMar>
            <w:top w:w="0" w:type="dxa"/>
            <w:bottom w:w="0" w:type="dxa"/>
          </w:tblCellMar>
        </w:tblPrEx>
        <w:tc>
          <w:tcPr>
            <w:tcW w:w="1247" w:type="dxa"/>
          </w:tcPr>
          <w:p w:rsidR="00290E89" w:rsidRPr="00290E89" w:rsidRDefault="00290E89" w:rsidP="00290E89">
            <w:pPr>
              <w:rPr>
                <w:rFonts w:cs="Frankruhel"/>
                <w:rtl/>
              </w:rPr>
            </w:pPr>
            <w:r>
              <w:rPr>
                <w:rtl/>
              </w:rPr>
              <w:t xml:space="preserve">סעיף 3 </w:t>
            </w:r>
          </w:p>
        </w:tc>
        <w:tc>
          <w:tcPr>
            <w:tcW w:w="5669" w:type="dxa"/>
          </w:tcPr>
          <w:p w:rsidR="00290E89" w:rsidRPr="00290E89" w:rsidRDefault="00290E89" w:rsidP="00290E89">
            <w:pPr>
              <w:rPr>
                <w:rFonts w:cs="Frankruhel"/>
                <w:rtl/>
              </w:rPr>
            </w:pPr>
            <w:r>
              <w:rPr>
                <w:rtl/>
              </w:rPr>
              <w:t>דוחות תקופתיים ומיידיים</w:t>
            </w:r>
          </w:p>
        </w:tc>
        <w:tc>
          <w:tcPr>
            <w:tcW w:w="567" w:type="dxa"/>
          </w:tcPr>
          <w:p w:rsidR="00290E89" w:rsidRPr="00290E89" w:rsidRDefault="00290E89" w:rsidP="00290E89">
            <w:pPr>
              <w:rPr>
                <w:rStyle w:val="Hyperlink"/>
                <w:rtl/>
              </w:rPr>
            </w:pPr>
            <w:hyperlink w:anchor="Seif3" w:tooltip="דוחות תקופתיים ומיידיים" w:history="1">
              <w:r w:rsidRPr="00290E89">
                <w:rPr>
                  <w:rStyle w:val="Hyperlink"/>
                </w:rPr>
                <w:t>Go</w:t>
              </w:r>
            </w:hyperlink>
          </w:p>
        </w:tc>
        <w:tc>
          <w:tcPr>
            <w:tcW w:w="850" w:type="dxa"/>
          </w:tcPr>
          <w:p w:rsidR="00290E89" w:rsidRPr="00290E89" w:rsidRDefault="00290E89" w:rsidP="00290E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90E89" w:rsidRPr="00290E89">
        <w:tblPrEx>
          <w:tblCellMar>
            <w:top w:w="0" w:type="dxa"/>
            <w:bottom w:w="0" w:type="dxa"/>
          </w:tblCellMar>
        </w:tblPrEx>
        <w:tc>
          <w:tcPr>
            <w:tcW w:w="1247" w:type="dxa"/>
          </w:tcPr>
          <w:p w:rsidR="00290E89" w:rsidRPr="00290E89" w:rsidRDefault="00290E89" w:rsidP="00290E89">
            <w:pPr>
              <w:rPr>
                <w:rFonts w:cs="Frankruhel"/>
                <w:rtl/>
              </w:rPr>
            </w:pPr>
            <w:r>
              <w:rPr>
                <w:rtl/>
              </w:rPr>
              <w:t xml:space="preserve">סעיף 4 </w:t>
            </w:r>
          </w:p>
        </w:tc>
        <w:tc>
          <w:tcPr>
            <w:tcW w:w="5669" w:type="dxa"/>
          </w:tcPr>
          <w:p w:rsidR="00290E89" w:rsidRPr="00290E89" w:rsidRDefault="00290E89" w:rsidP="00290E89">
            <w:pPr>
              <w:rPr>
                <w:rFonts w:cs="Frankruhel"/>
                <w:rtl/>
              </w:rPr>
            </w:pPr>
            <w:r>
              <w:rPr>
                <w:rtl/>
              </w:rPr>
              <w:t>ביטול</w:t>
            </w:r>
          </w:p>
        </w:tc>
        <w:tc>
          <w:tcPr>
            <w:tcW w:w="567" w:type="dxa"/>
          </w:tcPr>
          <w:p w:rsidR="00290E89" w:rsidRPr="00290E89" w:rsidRDefault="00290E89" w:rsidP="00290E89">
            <w:pPr>
              <w:rPr>
                <w:rStyle w:val="Hyperlink"/>
                <w:rtl/>
              </w:rPr>
            </w:pPr>
            <w:hyperlink w:anchor="Seif4" w:tooltip="ביטול" w:history="1">
              <w:r w:rsidRPr="00290E89">
                <w:rPr>
                  <w:rStyle w:val="Hyperlink"/>
                </w:rPr>
                <w:t>Go</w:t>
              </w:r>
            </w:hyperlink>
          </w:p>
        </w:tc>
        <w:tc>
          <w:tcPr>
            <w:tcW w:w="850" w:type="dxa"/>
          </w:tcPr>
          <w:p w:rsidR="00290E89" w:rsidRPr="00290E89" w:rsidRDefault="00290E89" w:rsidP="00290E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rsidR="001B270E" w:rsidRDefault="001B270E">
      <w:pPr>
        <w:pStyle w:val="big-header"/>
        <w:ind w:left="0" w:right="1134"/>
        <w:rPr>
          <w:rtl/>
        </w:rPr>
      </w:pPr>
    </w:p>
    <w:p w:rsidR="001B270E" w:rsidRDefault="001B270E" w:rsidP="004824B4">
      <w:pPr>
        <w:pStyle w:val="big-header"/>
        <w:ind w:left="0" w:right="1134"/>
        <w:rPr>
          <w:rFonts w:cs="FrankRuehl" w:hint="cs"/>
          <w:sz w:val="32"/>
          <w:rtl/>
        </w:rPr>
      </w:pPr>
      <w:r>
        <w:rPr>
          <w:rtl/>
        </w:rPr>
        <w:br w:type="page"/>
      </w:r>
      <w:r w:rsidR="0025777C">
        <w:rPr>
          <w:rFonts w:cs="FrankRuehl" w:hint="cs"/>
          <w:sz w:val="32"/>
          <w:rtl/>
        </w:rPr>
        <w:lastRenderedPageBreak/>
        <w:t>תקנות ניירות ערך (ניירות ערך מיוחדים), תשס"ט-2008</w:t>
      </w:r>
      <w:r>
        <w:rPr>
          <w:rStyle w:val="default"/>
          <w:sz w:val="22"/>
          <w:szCs w:val="22"/>
          <w:rtl/>
        </w:rPr>
        <w:footnoteReference w:customMarkFollows="1" w:id="1"/>
        <w:t>*</w:t>
      </w:r>
    </w:p>
    <w:p w:rsidR="001B270E" w:rsidRDefault="001B270E" w:rsidP="0025777C">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סמכותי לפי </w:t>
      </w:r>
      <w:r w:rsidR="0025777C">
        <w:rPr>
          <w:rStyle w:val="default"/>
          <w:rFonts w:cs="FrankRuehl" w:hint="cs"/>
          <w:rtl/>
        </w:rPr>
        <w:t xml:space="preserve">סעיפים 35לה(א), 35לז(ג) ו-56(א) לחוק ניירות ערך, התשכ"ח-1968 (להלן </w:t>
      </w:r>
      <w:r w:rsidR="0025777C">
        <w:rPr>
          <w:rStyle w:val="default"/>
          <w:rFonts w:cs="FrankRuehl"/>
          <w:rtl/>
        </w:rPr>
        <w:t>–</w:t>
      </w:r>
      <w:r w:rsidR="0025777C">
        <w:rPr>
          <w:rStyle w:val="default"/>
          <w:rFonts w:cs="FrankRuehl" w:hint="cs"/>
          <w:rtl/>
        </w:rPr>
        <w:t xml:space="preserve"> החוק), לפי הצעת הרשות ובאישור ועדת הכספים של הכנסת, אני מתקין תקנות אלה</w:t>
      </w:r>
      <w:r>
        <w:rPr>
          <w:rStyle w:val="default"/>
          <w:rFonts w:cs="FrankRuehl"/>
          <w:rtl/>
        </w:rPr>
        <w:t>:</w:t>
      </w:r>
    </w:p>
    <w:p w:rsidR="001B270E" w:rsidRDefault="001B270E" w:rsidP="0025777C">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0pt;z-index:251656192" o:allowincell="f" filled="f" stroked="f" strokecolor="lime" strokeweight=".25pt">
            <v:textbox inset="0,0,0,0">
              <w:txbxContent>
                <w:p w:rsidR="000B3202" w:rsidRDefault="000B320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5777C">
        <w:rPr>
          <w:rStyle w:val="default"/>
          <w:rFonts w:cs="FrankRuehl" w:hint="cs"/>
          <w:rtl/>
        </w:rPr>
        <w:t>בתקנות</w:t>
      </w:r>
      <w:r>
        <w:rPr>
          <w:rStyle w:val="default"/>
          <w:rFonts w:cs="FrankRuehl" w:hint="cs"/>
          <w:rtl/>
        </w:rPr>
        <w:t xml:space="preserve"> אלה </w:t>
      </w:r>
      <w:r>
        <w:rPr>
          <w:rStyle w:val="default"/>
          <w:rFonts w:cs="FrankRuehl"/>
          <w:rtl/>
        </w:rPr>
        <w:t>–</w:t>
      </w:r>
    </w:p>
    <w:p w:rsidR="0025777C" w:rsidRDefault="0025777C" w:rsidP="0025777C">
      <w:pPr>
        <w:pStyle w:val="P00"/>
        <w:spacing w:before="72"/>
        <w:ind w:left="0" w:right="1134"/>
        <w:rPr>
          <w:rStyle w:val="default"/>
          <w:rFonts w:cs="FrankRuehl" w:hint="cs"/>
          <w:rtl/>
        </w:rPr>
      </w:pPr>
      <w:r>
        <w:rPr>
          <w:rStyle w:val="default"/>
          <w:rFonts w:cs="FrankRuehl" w:hint="cs"/>
          <w:rtl/>
        </w:rPr>
        <w:tab/>
        <w:t xml:space="preserve">"הדין הזר המיוחד" </w:t>
      </w:r>
      <w:r>
        <w:rPr>
          <w:rStyle w:val="default"/>
          <w:rFonts w:cs="FrankRuehl"/>
          <w:rtl/>
        </w:rPr>
        <w:t>–</w:t>
      </w:r>
      <w:r>
        <w:rPr>
          <w:rStyle w:val="default"/>
          <w:rFonts w:cs="FrankRuehl" w:hint="cs"/>
          <w:rtl/>
        </w:rPr>
        <w:t xml:space="preserve"> הדין הזר החל על הבנק העולמי או הדין הזר החל על הבנק האירופי להשקעות, לפי העניין, לעניין חובות רישום או דיווח;</w:t>
      </w:r>
    </w:p>
    <w:p w:rsidR="0025777C" w:rsidRDefault="0025777C" w:rsidP="0025777C">
      <w:pPr>
        <w:pStyle w:val="P00"/>
        <w:spacing w:before="72"/>
        <w:ind w:left="0" w:right="1134"/>
        <w:rPr>
          <w:rStyle w:val="default"/>
          <w:rFonts w:cs="FrankRuehl" w:hint="cs"/>
          <w:sz w:val="20"/>
          <w:rtl/>
        </w:rPr>
      </w:pPr>
      <w:r>
        <w:rPr>
          <w:rStyle w:val="default"/>
          <w:rFonts w:cs="FrankRuehl" w:hint="cs"/>
          <w:rtl/>
        </w:rPr>
        <w:tab/>
        <w:t xml:space="preserve">"הדין הזר החל על הבנק העולמי" </w:t>
      </w:r>
      <w:r>
        <w:rPr>
          <w:rStyle w:val="default"/>
          <w:rFonts w:cs="FrankRuehl"/>
          <w:rtl/>
        </w:rPr>
        <w:t>–</w:t>
      </w:r>
      <w:r>
        <w:rPr>
          <w:rStyle w:val="default"/>
          <w:rFonts w:cs="FrankRuehl" w:hint="cs"/>
          <w:rtl/>
        </w:rPr>
        <w:t xml:space="preserve"> הדין החל על הבנק העולמי, לעניין חובות רישום או דיווח, שקבעה רשות ניירות ערך בארצות הברית של אמריקה </w:t>
      </w:r>
      <w:r>
        <w:rPr>
          <w:rStyle w:val="default"/>
          <w:rFonts w:cs="FrankRuehl"/>
          <w:sz w:val="20"/>
        </w:rPr>
        <w:t>U.S. Securities and Exchange (Commission)</w:t>
      </w:r>
      <w:r>
        <w:rPr>
          <w:rStyle w:val="default"/>
          <w:rFonts w:cs="FrankRuehl" w:hint="cs"/>
          <w:sz w:val="20"/>
          <w:rtl/>
        </w:rPr>
        <w:t>;</w:t>
      </w:r>
    </w:p>
    <w:p w:rsidR="0025777C" w:rsidRPr="0025777C" w:rsidRDefault="0025777C" w:rsidP="0025777C">
      <w:pPr>
        <w:pStyle w:val="P00"/>
        <w:spacing w:before="72"/>
        <w:ind w:left="0" w:right="1134"/>
        <w:rPr>
          <w:rStyle w:val="default"/>
          <w:rFonts w:cs="FrankRuehl" w:hint="cs"/>
          <w:sz w:val="20"/>
          <w:rtl/>
        </w:rPr>
      </w:pPr>
      <w:r>
        <w:rPr>
          <w:rStyle w:val="default"/>
          <w:rFonts w:cs="FrankRuehl" w:hint="cs"/>
          <w:sz w:val="20"/>
          <w:rtl/>
        </w:rPr>
        <w:tab/>
        <w:t xml:space="preserve">"הדין הזר החל על הבנק האירופי להשקעות" </w:t>
      </w:r>
      <w:r>
        <w:rPr>
          <w:rStyle w:val="default"/>
          <w:rFonts w:cs="FrankRuehl"/>
          <w:sz w:val="20"/>
          <w:rtl/>
        </w:rPr>
        <w:t>–</w:t>
      </w:r>
      <w:r>
        <w:rPr>
          <w:rStyle w:val="default"/>
          <w:rFonts w:cs="FrankRuehl" w:hint="cs"/>
          <w:sz w:val="20"/>
          <w:rtl/>
        </w:rPr>
        <w:t xml:space="preserve"> הדין החל באנגליה לעניין חובות רישום או דיווח של הבנק האירופי להשקעות, בהתאם לדיני האיחוד האירופי.</w:t>
      </w:r>
    </w:p>
    <w:p w:rsidR="001B270E" w:rsidRDefault="001B270E" w:rsidP="0025777C">
      <w:pPr>
        <w:pStyle w:val="P00"/>
        <w:spacing w:before="72"/>
        <w:ind w:left="0" w:right="1134"/>
        <w:rPr>
          <w:rStyle w:val="default"/>
          <w:rFonts w:cs="FrankRuehl" w:hint="cs"/>
          <w:rtl/>
        </w:rPr>
      </w:pPr>
      <w:bookmarkStart w:id="1" w:name="Seif2"/>
      <w:bookmarkEnd w:id="1"/>
      <w:r>
        <w:rPr>
          <w:rFonts w:cs="Miriam"/>
          <w:lang w:val="he-IL"/>
        </w:rPr>
        <w:pict>
          <v:rect id="_x0000_s1032" style="position:absolute;left:0;text-align:left;margin-left:464.5pt;margin-top:8.05pt;width:75.05pt;height:20.3pt;z-index:251657216" o:allowincell="f" filled="f" stroked="f" strokecolor="lime" strokeweight=".25pt">
            <v:textbox style="mso-next-textbox:#_x0000_s1032" inset="0,0,0,0">
              <w:txbxContent>
                <w:p w:rsidR="000B3202" w:rsidRDefault="0025777C">
                  <w:pPr>
                    <w:spacing w:line="160" w:lineRule="exact"/>
                    <w:rPr>
                      <w:rFonts w:cs="Miriam" w:hint="cs"/>
                      <w:noProof/>
                      <w:sz w:val="18"/>
                      <w:szCs w:val="18"/>
                      <w:rtl/>
                    </w:rPr>
                  </w:pPr>
                  <w:r>
                    <w:rPr>
                      <w:rFonts w:cs="Miriam" w:hint="cs"/>
                      <w:sz w:val="18"/>
                      <w:szCs w:val="18"/>
                      <w:rtl/>
                    </w:rPr>
                    <w:t>פרטי מסמך הצעה לציבור</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25777C">
        <w:rPr>
          <w:rStyle w:val="default"/>
          <w:rFonts w:cs="FrankRuehl" w:hint="cs"/>
          <w:rtl/>
        </w:rPr>
        <w:t xml:space="preserve">על מסמך הצעה לציבור של מנפיק ניירות ערך מיוחדים יחולו תקנות ניירות ערך (פרטי מסמך רישום, מבנהו וצורתו), התשס"א-2000 (להלן </w:t>
      </w:r>
      <w:r w:rsidR="0025777C">
        <w:rPr>
          <w:rStyle w:val="default"/>
          <w:rFonts w:cs="FrankRuehl"/>
          <w:rtl/>
        </w:rPr>
        <w:t>–</w:t>
      </w:r>
      <w:r w:rsidR="0025777C">
        <w:rPr>
          <w:rStyle w:val="default"/>
          <w:rFonts w:cs="FrankRuehl" w:hint="cs"/>
          <w:rtl/>
        </w:rPr>
        <w:t xml:space="preserve"> תקנות מסמך רישום), בשינויים המחויבים, ולרבות התאמות אלה:</w:t>
      </w:r>
    </w:p>
    <w:p w:rsidR="0025777C" w:rsidRDefault="0025777C" w:rsidP="0025777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תקנות 3(2)(ה), 9 ו-10 לתקנות מסמך רישום לא יחולו;</w:t>
      </w:r>
    </w:p>
    <w:p w:rsidR="0025777C" w:rsidRDefault="0025777C" w:rsidP="0025777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בכל מקום בתקנות מסמך רישום, יראו כאילו במקום "הדין הזר" בא "הדין הזר המיוחד" ובמקום "מסמך רישום" בא "מסמך הצעה לציבור של מנפיק ניירות ערך מיוחדים";</w:t>
      </w:r>
    </w:p>
    <w:p w:rsidR="0025777C" w:rsidRDefault="0025777C" w:rsidP="0025777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בתקנה 3(2)(א) לתקנות מסמך רישום, יראו כאילו במקום "שפרסם או הגיש התאגיד או שהיה חייב" בא "שחייב היה התאגיד", ובסופה בא "היה המנפיק הבנק העולמי </w:t>
      </w:r>
      <w:r>
        <w:rPr>
          <w:rStyle w:val="default"/>
          <w:rFonts w:cs="FrankRuehl"/>
          <w:rtl/>
        </w:rPr>
        <w:t>–</w:t>
      </w:r>
      <w:r>
        <w:rPr>
          <w:rStyle w:val="default"/>
          <w:rFonts w:cs="FrankRuehl" w:hint="cs"/>
          <w:rtl/>
        </w:rPr>
        <w:t xml:space="preserve"> גם דוח תקופתי אחרון שפרסם לציבור המשקיעים בארה"ב; היה המנפיק הבנק האירופי להשקעות </w:t>
      </w:r>
      <w:r>
        <w:rPr>
          <w:rStyle w:val="default"/>
          <w:rFonts w:cs="FrankRuehl"/>
          <w:rtl/>
        </w:rPr>
        <w:t>–</w:t>
      </w:r>
      <w:r>
        <w:rPr>
          <w:rStyle w:val="default"/>
          <w:rFonts w:cs="FrankRuehl" w:hint="cs"/>
          <w:rtl/>
        </w:rPr>
        <w:t xml:space="preserve"> גם דוח תקופתי אחרון שפרסם לציבור המשקיעים באיחוד האירופי.";</w:t>
      </w:r>
    </w:p>
    <w:p w:rsidR="0025777C" w:rsidRDefault="0025777C" w:rsidP="0025777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בתקנה 3(2)(ב) לתקנות מסמך רישום, יראו כאילו אחרי "מסמך ששימש להצעת ניירות ערך של התאגיד" בא "לפי הדין הזר המיוחד", ובכל מקום, במקום "בחו"ל" בא "בארה"ב </w:t>
      </w:r>
      <w:r>
        <w:rPr>
          <w:rStyle w:val="default"/>
          <w:rFonts w:cs="FrankRuehl"/>
          <w:rtl/>
        </w:rPr>
        <w:t>–</w:t>
      </w:r>
      <w:r>
        <w:rPr>
          <w:rStyle w:val="default"/>
          <w:rFonts w:cs="FrankRuehl" w:hint="cs"/>
          <w:rtl/>
        </w:rPr>
        <w:t xml:space="preserve"> אם מנפיק ניירות הערך המיוחדים הוא הבנק העולמי, ובאיחוד האירופי </w:t>
      </w:r>
      <w:r>
        <w:rPr>
          <w:rStyle w:val="default"/>
          <w:rFonts w:cs="FrankRuehl"/>
          <w:rtl/>
        </w:rPr>
        <w:t>–</w:t>
      </w:r>
      <w:r>
        <w:rPr>
          <w:rStyle w:val="default"/>
          <w:rFonts w:cs="FrankRuehl" w:hint="cs"/>
          <w:rtl/>
        </w:rPr>
        <w:t xml:space="preserve"> אם מנפיק ניירות הערך המיוחדים הוא הבנק האירופי להשקעות.";</w:t>
      </w:r>
    </w:p>
    <w:p w:rsidR="0025777C" w:rsidRDefault="0025777C" w:rsidP="0025777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בתקנה 3(2)(ג) לתקנות מסמך רישום, יראו כאילו המילים "שפרסם או הגיש התאגיד או" </w:t>
      </w:r>
      <w:r>
        <w:rPr>
          <w:rStyle w:val="default"/>
          <w:rFonts w:cs="FrankRuehl"/>
          <w:rtl/>
        </w:rPr>
        <w:t>–</w:t>
      </w:r>
      <w:r>
        <w:rPr>
          <w:rStyle w:val="default"/>
          <w:rFonts w:cs="FrankRuehl" w:hint="cs"/>
          <w:rtl/>
        </w:rPr>
        <w:t xml:space="preserve"> נמחקו, ובסופה בא "היה המנפיק הבנק העולמי </w:t>
      </w:r>
      <w:r>
        <w:rPr>
          <w:rStyle w:val="default"/>
          <w:rFonts w:cs="FrankRuehl"/>
          <w:rtl/>
        </w:rPr>
        <w:t>–</w:t>
      </w:r>
      <w:r>
        <w:rPr>
          <w:rStyle w:val="default"/>
          <w:rFonts w:cs="FrankRuehl" w:hint="cs"/>
          <w:rtl/>
        </w:rPr>
        <w:t xml:space="preserve"> גם כל דוח או הודעה אחרים שפרסם לציבור המשקיעים בארה"ב; היה המנפיק הבנק האירופי להשקעות </w:t>
      </w:r>
      <w:r>
        <w:rPr>
          <w:rStyle w:val="default"/>
          <w:rFonts w:cs="FrankRuehl"/>
          <w:rtl/>
        </w:rPr>
        <w:t>–</w:t>
      </w:r>
      <w:r>
        <w:rPr>
          <w:rStyle w:val="default"/>
          <w:rFonts w:cs="FrankRuehl" w:hint="cs"/>
          <w:rtl/>
        </w:rPr>
        <w:t xml:space="preserve"> גם כל דוח או הודעה אחרים שפרסם לציבור המשקיעים באיחוד האירופי".</w:t>
      </w:r>
    </w:p>
    <w:p w:rsidR="001B270E" w:rsidRDefault="001B270E" w:rsidP="0025777C">
      <w:pPr>
        <w:pStyle w:val="P00"/>
        <w:spacing w:before="72"/>
        <w:ind w:left="0" w:right="1134"/>
        <w:rPr>
          <w:rStyle w:val="default"/>
          <w:rFonts w:cs="FrankRuehl" w:hint="cs"/>
          <w:rtl/>
        </w:rPr>
      </w:pPr>
      <w:bookmarkStart w:id="2" w:name="Seif3"/>
      <w:bookmarkEnd w:id="2"/>
      <w:r>
        <w:rPr>
          <w:rFonts w:cs="Miriam"/>
          <w:lang w:val="he-IL"/>
        </w:rPr>
        <w:pict>
          <v:rect id="_x0000_s1036" style="position:absolute;left:0;text-align:left;margin-left:464.5pt;margin-top:8.05pt;width:75.05pt;height:17.15pt;z-index:251658240" o:allowincell="f" filled="f" stroked="f" strokecolor="lime" strokeweight=".25pt">
            <v:textbox style="mso-next-textbox:#_x0000_s1036" inset="0,0,0,0">
              <w:txbxContent>
                <w:p w:rsidR="000B3202" w:rsidRDefault="0025777C">
                  <w:pPr>
                    <w:spacing w:line="160" w:lineRule="exact"/>
                    <w:rPr>
                      <w:rFonts w:cs="Miriam" w:hint="cs"/>
                      <w:noProof/>
                      <w:sz w:val="18"/>
                      <w:szCs w:val="18"/>
                      <w:rtl/>
                    </w:rPr>
                  </w:pPr>
                  <w:r>
                    <w:rPr>
                      <w:rFonts w:cs="Miriam" w:hint="cs"/>
                      <w:sz w:val="18"/>
                      <w:szCs w:val="18"/>
                      <w:rtl/>
                    </w:rPr>
                    <w:t>דוחות תקופתיים ומיידיים</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25777C">
        <w:rPr>
          <w:rStyle w:val="default"/>
          <w:rFonts w:cs="FrankRuehl" w:hint="cs"/>
          <w:rtl/>
        </w:rPr>
        <w:t xml:space="preserve">מנפיק ניירות ערך מיוחדים יגיש לרשות ולבורסה כל דוח, הודעה או מסמך אחר אשר הוא חייב בהגשתם לפי הדין הזר המיוחד, ויחולו תקנות ניירות ערך (דוחות תקופתיים ומיידיים של תאגיד חוץ), התשס"א-2000, והכל בשינויים המחויבים, ובכל מקום בהן, יראו כאילו במקום "הדין הזר" בא "הדין הזר המיוחד", ובתקנות 2(ב), 3(ג), 4(א) ו-5, במקום "בחו"ל" בא "בארה"ב </w:t>
      </w:r>
      <w:r w:rsidR="0025777C">
        <w:rPr>
          <w:rStyle w:val="default"/>
          <w:rFonts w:cs="FrankRuehl"/>
          <w:rtl/>
        </w:rPr>
        <w:t>–</w:t>
      </w:r>
      <w:r w:rsidR="0025777C">
        <w:rPr>
          <w:rStyle w:val="default"/>
          <w:rFonts w:cs="FrankRuehl" w:hint="cs"/>
          <w:rtl/>
        </w:rPr>
        <w:t xml:space="preserve"> אם מנפיק ניירות הערך </w:t>
      </w:r>
      <w:r w:rsidR="00012D9F">
        <w:rPr>
          <w:rStyle w:val="default"/>
          <w:rFonts w:cs="FrankRuehl" w:hint="cs"/>
          <w:rtl/>
        </w:rPr>
        <w:t xml:space="preserve">המיוחדים הוא הבנק העולמי, ובאיחוד האירופי </w:t>
      </w:r>
      <w:r w:rsidR="00012D9F">
        <w:rPr>
          <w:rStyle w:val="default"/>
          <w:rFonts w:cs="FrankRuehl"/>
          <w:rtl/>
        </w:rPr>
        <w:t>–</w:t>
      </w:r>
      <w:r w:rsidR="00012D9F">
        <w:rPr>
          <w:rStyle w:val="default"/>
          <w:rFonts w:cs="FrankRuehl" w:hint="cs"/>
          <w:rtl/>
        </w:rPr>
        <w:t xml:space="preserve"> אם מנפיק ניירות הערך המיוחדים הוא הבנק האירופי להשקעות".</w:t>
      </w:r>
    </w:p>
    <w:p w:rsidR="00D36B0B" w:rsidRDefault="00D36B0B" w:rsidP="00012D9F">
      <w:pPr>
        <w:pStyle w:val="P00"/>
        <w:spacing w:before="72"/>
        <w:ind w:left="0" w:right="1134"/>
        <w:rPr>
          <w:rStyle w:val="default"/>
          <w:rFonts w:cs="FrankRuehl" w:hint="cs"/>
          <w:rtl/>
        </w:rPr>
      </w:pPr>
      <w:bookmarkStart w:id="3" w:name="Seif4"/>
      <w:bookmarkEnd w:id="3"/>
      <w:r>
        <w:rPr>
          <w:rFonts w:cs="Miriam"/>
          <w:lang w:val="he-IL"/>
        </w:rPr>
        <w:pict>
          <v:rect id="_x0000_s1049" style="position:absolute;left:0;text-align:left;margin-left:464.5pt;margin-top:8.05pt;width:75.05pt;height:17.15pt;z-index:251659264" o:allowincell="f" filled="f" stroked="f" strokecolor="lime" strokeweight=".25pt">
            <v:textbox style="mso-next-textbox:#_x0000_s1049" inset="0,0,0,0">
              <w:txbxContent>
                <w:p w:rsidR="000B3202" w:rsidRDefault="00012D9F" w:rsidP="00D36B0B">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012D9F">
        <w:rPr>
          <w:rStyle w:val="default"/>
          <w:rFonts w:cs="FrankRuehl" w:hint="cs"/>
          <w:rtl/>
        </w:rPr>
        <w:t xml:space="preserve">תקנות ניירות ערך (הבנק העולמי), התשס"ה-2005 </w:t>
      </w:r>
      <w:r w:rsidR="00012D9F">
        <w:rPr>
          <w:rStyle w:val="default"/>
          <w:rFonts w:cs="FrankRuehl"/>
          <w:rtl/>
        </w:rPr>
        <w:t>–</w:t>
      </w:r>
      <w:r w:rsidR="00012D9F">
        <w:rPr>
          <w:rStyle w:val="default"/>
          <w:rFonts w:cs="FrankRuehl" w:hint="cs"/>
          <w:rtl/>
        </w:rPr>
        <w:t xml:space="preserve"> בטלות.</w:t>
      </w:r>
    </w:p>
    <w:p w:rsidR="00D36B0B" w:rsidRDefault="00D36B0B" w:rsidP="006E4F1C">
      <w:pPr>
        <w:pStyle w:val="P00"/>
        <w:spacing w:before="72"/>
        <w:ind w:left="0" w:right="1134"/>
        <w:rPr>
          <w:rStyle w:val="default"/>
          <w:rFonts w:cs="FrankRuehl" w:hint="cs"/>
          <w:rtl/>
        </w:rPr>
      </w:pPr>
    </w:p>
    <w:p w:rsidR="001B270E" w:rsidRDefault="001B270E">
      <w:pPr>
        <w:pStyle w:val="P00"/>
        <w:spacing w:before="72"/>
        <w:ind w:left="0" w:right="1134"/>
        <w:rPr>
          <w:rStyle w:val="default"/>
          <w:rFonts w:cs="FrankRuehl"/>
          <w:rtl/>
        </w:rPr>
      </w:pPr>
    </w:p>
    <w:p w:rsidR="00712144" w:rsidRDefault="00012D9F" w:rsidP="00012D9F">
      <w:pPr>
        <w:pStyle w:val="sig-0"/>
        <w:tabs>
          <w:tab w:val="clear" w:pos="4820"/>
          <w:tab w:val="center" w:pos="5103"/>
        </w:tabs>
        <w:ind w:left="0" w:right="1134"/>
        <w:rPr>
          <w:rFonts w:cs="FrankRuehl" w:hint="cs"/>
          <w:sz w:val="26"/>
          <w:rtl/>
        </w:rPr>
      </w:pPr>
      <w:r>
        <w:rPr>
          <w:rFonts w:cs="FrankRuehl" w:hint="cs"/>
          <w:sz w:val="26"/>
          <w:rtl/>
        </w:rPr>
        <w:t>י"ד</w:t>
      </w:r>
      <w:r w:rsidR="00712144">
        <w:rPr>
          <w:rFonts w:cs="FrankRuehl" w:hint="cs"/>
          <w:sz w:val="26"/>
          <w:rtl/>
        </w:rPr>
        <w:t xml:space="preserve"> בחשוון התשס"ט (</w:t>
      </w:r>
      <w:r>
        <w:rPr>
          <w:rFonts w:cs="FrankRuehl" w:hint="cs"/>
          <w:sz w:val="26"/>
          <w:rtl/>
        </w:rPr>
        <w:t>12 בנובמבר</w:t>
      </w:r>
      <w:r w:rsidR="00712144">
        <w:rPr>
          <w:rFonts w:cs="FrankRuehl" w:hint="cs"/>
          <w:sz w:val="26"/>
          <w:rtl/>
        </w:rPr>
        <w:t xml:space="preserve"> 2008)</w:t>
      </w:r>
      <w:r w:rsidR="00712144">
        <w:rPr>
          <w:rFonts w:cs="FrankRuehl"/>
          <w:sz w:val="26"/>
          <w:rtl/>
        </w:rPr>
        <w:tab/>
      </w:r>
      <w:r>
        <w:rPr>
          <w:rFonts w:cs="FrankRuehl" w:hint="cs"/>
          <w:sz w:val="26"/>
          <w:rtl/>
        </w:rPr>
        <w:t>רוני בר-און</w:t>
      </w:r>
    </w:p>
    <w:p w:rsidR="00712144" w:rsidRDefault="00712144" w:rsidP="00012D9F">
      <w:pPr>
        <w:pStyle w:val="sig-1"/>
        <w:widowControl/>
        <w:tabs>
          <w:tab w:val="clear" w:pos="851"/>
          <w:tab w:val="clear" w:pos="2835"/>
          <w:tab w:val="clear" w:pos="4820"/>
          <w:tab w:val="center" w:pos="5103"/>
        </w:tabs>
        <w:ind w:left="0" w:right="1134"/>
        <w:rPr>
          <w:rFonts w:cs="FrankRuehl" w:hint="cs"/>
          <w:sz w:val="22"/>
          <w:rtl/>
        </w:rPr>
      </w:pPr>
      <w:r>
        <w:rPr>
          <w:rFonts w:cs="FrankRuehl"/>
          <w:sz w:val="22"/>
          <w:rtl/>
        </w:rPr>
        <w:tab/>
      </w:r>
      <w:r w:rsidR="00012D9F">
        <w:rPr>
          <w:rFonts w:cs="FrankRuehl" w:hint="cs"/>
          <w:sz w:val="22"/>
          <w:rtl/>
        </w:rPr>
        <w:t>שר האוצר</w:t>
      </w:r>
    </w:p>
    <w:p w:rsidR="0025777C" w:rsidRDefault="0025777C">
      <w:pPr>
        <w:pStyle w:val="P00"/>
        <w:spacing w:before="72"/>
        <w:ind w:left="0" w:right="1134"/>
        <w:rPr>
          <w:rStyle w:val="default"/>
          <w:rFonts w:cs="FrankRuehl" w:hint="cs"/>
          <w:rtl/>
        </w:rPr>
      </w:pPr>
    </w:p>
    <w:p w:rsidR="006E4F1C" w:rsidRDefault="006E4F1C">
      <w:pPr>
        <w:pStyle w:val="P00"/>
        <w:spacing w:before="72"/>
        <w:ind w:left="0" w:right="1134"/>
        <w:rPr>
          <w:rStyle w:val="default"/>
          <w:rFonts w:cs="FrankRuehl" w:hint="cs"/>
          <w:rtl/>
        </w:rPr>
      </w:pPr>
    </w:p>
    <w:p w:rsidR="001B270E" w:rsidRDefault="001B270E">
      <w:pPr>
        <w:pStyle w:val="P00"/>
        <w:spacing w:before="72"/>
        <w:ind w:left="0" w:right="1134"/>
        <w:rPr>
          <w:rStyle w:val="default"/>
          <w:rFonts w:cs="FrankRuehl" w:hint="cs"/>
          <w:rtl/>
        </w:rPr>
      </w:pPr>
    </w:p>
    <w:sectPr w:rsidR="001B270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7E35" w:rsidRDefault="00977E35">
      <w:r>
        <w:separator/>
      </w:r>
    </w:p>
  </w:endnote>
  <w:endnote w:type="continuationSeparator" w:id="0">
    <w:p w:rsidR="00977E35" w:rsidRDefault="0097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202" w:rsidRDefault="000B32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B3202" w:rsidRDefault="000B32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B3202" w:rsidRDefault="000B32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0E89">
      <w:rPr>
        <w:rFonts w:cs="TopType Jerushalmi"/>
        <w:noProof/>
        <w:color w:val="000000"/>
        <w:sz w:val="14"/>
        <w:szCs w:val="14"/>
      </w:rPr>
      <w:t>Z:\000000000000-law\yael\08-12-02\500_046.doc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202" w:rsidRDefault="000B32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24B4">
      <w:rPr>
        <w:rFonts w:hAnsi="FrankRuehl" w:cs="FrankRuehl"/>
        <w:noProof/>
        <w:sz w:val="24"/>
        <w:szCs w:val="24"/>
        <w:rtl/>
      </w:rPr>
      <w:t>1</w:t>
    </w:r>
    <w:r>
      <w:rPr>
        <w:rFonts w:hAnsi="FrankRuehl" w:cs="FrankRuehl"/>
        <w:sz w:val="24"/>
        <w:szCs w:val="24"/>
        <w:rtl/>
      </w:rPr>
      <w:fldChar w:fldCharType="end"/>
    </w:r>
  </w:p>
  <w:p w:rsidR="000B3202" w:rsidRDefault="000B32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B3202" w:rsidRDefault="000B32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0E89">
      <w:rPr>
        <w:rFonts w:cs="TopType Jerushalmi"/>
        <w:noProof/>
        <w:color w:val="000000"/>
        <w:sz w:val="14"/>
        <w:szCs w:val="14"/>
      </w:rPr>
      <w:t>Z:\000000000000-law\yael\08-12-02\500_046.doc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7E35" w:rsidRDefault="00977E35">
      <w:pPr>
        <w:spacing w:before="60"/>
        <w:ind w:right="1134"/>
      </w:pPr>
      <w:r>
        <w:separator/>
      </w:r>
    </w:p>
  </w:footnote>
  <w:footnote w:type="continuationSeparator" w:id="0">
    <w:p w:rsidR="00977E35" w:rsidRDefault="00977E35">
      <w:r>
        <w:continuationSeparator/>
      </w:r>
    </w:p>
  </w:footnote>
  <w:footnote w:id="1">
    <w:p w:rsidR="00114905" w:rsidRDefault="000B3202" w:rsidP="001149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14905">
          <w:rPr>
            <w:rStyle w:val="Hyperlink"/>
            <w:rFonts w:cs="FrankRuehl" w:hint="cs"/>
            <w:rtl/>
          </w:rPr>
          <w:t>ק"ת תשס"ט מס' 672</w:t>
        </w:r>
        <w:r w:rsidR="0025777C" w:rsidRPr="00114905">
          <w:rPr>
            <w:rStyle w:val="Hyperlink"/>
            <w:rFonts w:cs="FrankRuehl" w:hint="cs"/>
            <w:rtl/>
          </w:rPr>
          <w:t>5</w:t>
        </w:r>
      </w:hyperlink>
      <w:r>
        <w:rPr>
          <w:rFonts w:cs="FrankRuehl" w:hint="cs"/>
          <w:rtl/>
        </w:rPr>
        <w:t xml:space="preserve"> מיום </w:t>
      </w:r>
      <w:r w:rsidR="0025777C">
        <w:rPr>
          <w:rFonts w:cs="FrankRuehl" w:hint="cs"/>
          <w:rtl/>
        </w:rPr>
        <w:t>30</w:t>
      </w:r>
      <w:r>
        <w:rPr>
          <w:rFonts w:cs="FrankRuehl" w:hint="cs"/>
          <w:rtl/>
        </w:rPr>
        <w:t xml:space="preserve">.11.2008 עמ' </w:t>
      </w:r>
      <w:r w:rsidR="0025777C">
        <w:rPr>
          <w:rFonts w:cs="FrankRuehl" w:hint="cs"/>
          <w:rtl/>
        </w:rPr>
        <w:t>141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202" w:rsidRDefault="000B320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B3202" w:rsidRDefault="000B32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3202" w:rsidRDefault="000B320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202" w:rsidRDefault="0025777C" w:rsidP="00D36B0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(ניירות ערך מיוחדים)</w:t>
    </w:r>
    <w:r w:rsidR="000B3202">
      <w:rPr>
        <w:rFonts w:hAnsi="FrankRuehl" w:cs="FrankRuehl" w:hint="cs"/>
        <w:color w:val="000000"/>
        <w:sz w:val="28"/>
        <w:szCs w:val="28"/>
        <w:rtl/>
      </w:rPr>
      <w:t>, תשס"ט-2008</w:t>
    </w:r>
  </w:p>
  <w:p w:rsidR="000B3202" w:rsidRDefault="000B32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3202" w:rsidRDefault="000B320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1450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4F1C"/>
    <w:rsid w:val="000004F6"/>
    <w:rsid w:val="00012D9F"/>
    <w:rsid w:val="000B3202"/>
    <w:rsid w:val="00103CE7"/>
    <w:rsid w:val="00114905"/>
    <w:rsid w:val="00125242"/>
    <w:rsid w:val="00153B0D"/>
    <w:rsid w:val="001633B8"/>
    <w:rsid w:val="001A6B17"/>
    <w:rsid w:val="001B270E"/>
    <w:rsid w:val="001E010B"/>
    <w:rsid w:val="0024706C"/>
    <w:rsid w:val="0025465D"/>
    <w:rsid w:val="0025777C"/>
    <w:rsid w:val="00275A4D"/>
    <w:rsid w:val="00290E89"/>
    <w:rsid w:val="003A4547"/>
    <w:rsid w:val="004179A7"/>
    <w:rsid w:val="00425E5B"/>
    <w:rsid w:val="0047058A"/>
    <w:rsid w:val="004824B4"/>
    <w:rsid w:val="00521A34"/>
    <w:rsid w:val="0056139F"/>
    <w:rsid w:val="005806E0"/>
    <w:rsid w:val="005A3557"/>
    <w:rsid w:val="005E5479"/>
    <w:rsid w:val="006E4F1C"/>
    <w:rsid w:val="006F2DF0"/>
    <w:rsid w:val="006F4F3C"/>
    <w:rsid w:val="00712144"/>
    <w:rsid w:val="007D176F"/>
    <w:rsid w:val="0085728D"/>
    <w:rsid w:val="008C1D12"/>
    <w:rsid w:val="00977E35"/>
    <w:rsid w:val="00A712FF"/>
    <w:rsid w:val="00A9362C"/>
    <w:rsid w:val="00B925FC"/>
    <w:rsid w:val="00BD2A09"/>
    <w:rsid w:val="00C6322E"/>
    <w:rsid w:val="00D315B7"/>
    <w:rsid w:val="00D36B0B"/>
    <w:rsid w:val="00D45569"/>
    <w:rsid w:val="00DD74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E362BD84-E39F-4C29-858F-0AE90B83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6F2DF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2984</CharactersWithSpaces>
  <SharedDoc>false</SharedDoc>
  <HLinks>
    <vt:vector size="30" baseType="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8192010</vt:i4>
      </vt:variant>
      <vt:variant>
        <vt:i4>0</vt:i4>
      </vt:variant>
      <vt:variant>
        <vt:i4>0</vt:i4>
      </vt:variant>
      <vt:variant>
        <vt:i4>5</vt:i4>
      </vt:variant>
      <vt:variant>
        <vt:lpwstr>http://www.nevo.co.il/Law_word/law06/tak-6725.pdf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ניירות ערך (ניירות ערך מיוחדים), תשס"ט-2008</vt:lpwstr>
  </property>
  <property fmtid="{D5CDD505-2E9C-101B-9397-08002B2CF9AE}" pid="4" name="LAWNUMBER">
    <vt:lpwstr>0046</vt:lpwstr>
  </property>
  <property fmtid="{D5CDD505-2E9C-101B-9397-08002B2CF9AE}" pid="5" name="TYPE">
    <vt:lpwstr>01</vt:lpwstr>
  </property>
  <property fmtid="{D5CDD505-2E9C-101B-9397-08002B2CF9AE}" pid="6" name="CHNAME">
    <vt:lpwstr>ניירות ערך</vt:lpwstr>
  </property>
  <property fmtid="{D5CDD505-2E9C-101B-9397-08002B2CF9AE}" pid="7" name="MEKORSAMCHUT">
    <vt:lpwstr/>
  </property>
  <property fmtid="{D5CDD505-2E9C-101B-9397-08002B2CF9AE}" pid="8" name="LINKK1">
    <vt:lpwstr>http://www.nevo.co.il/Law_word/law06/tak-6725.pdf;‎רשומות - תקנות כלליות#פורסמו ק"ת ‏תשס"ט מס' 6725 #מיום 30.11.2008 עמ' 141‏</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ניירות ערך</vt:lpwstr>
  </property>
  <property fmtid="{D5CDD505-2E9C-101B-9397-08002B2CF9AE}" pid="24" name="MEKOR_SAIF1">
    <vt:lpwstr>35להXאX;35לזXגX;56XאX</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ניירות ערך</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