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3F8F" w:rsidRDefault="00473F8F">
      <w:pPr>
        <w:pStyle w:val="big-header"/>
        <w:ind w:left="0" w:right="1134"/>
        <w:rPr>
          <w:rFonts w:hint="cs"/>
          <w:rtl/>
        </w:rPr>
      </w:pPr>
      <w:r>
        <w:rPr>
          <w:rtl/>
        </w:rPr>
        <w:t xml:space="preserve">תקנות </w:t>
      </w:r>
      <w:r>
        <w:rPr>
          <w:rFonts w:hint="cs"/>
          <w:rtl/>
        </w:rPr>
        <w:t>ניירות ערך</w:t>
      </w:r>
      <w:r>
        <w:rPr>
          <w:rtl/>
        </w:rPr>
        <w:t xml:space="preserve"> (</w:t>
      </w:r>
      <w:r>
        <w:rPr>
          <w:rFonts w:hint="cs"/>
          <w:rtl/>
        </w:rPr>
        <w:t>סדרי דין</w:t>
      </w:r>
      <w:r>
        <w:rPr>
          <w:rtl/>
        </w:rPr>
        <w:t>), תשל"א</w:t>
      </w:r>
      <w:r>
        <w:rPr>
          <w:rFonts w:hint="cs"/>
          <w:rtl/>
        </w:rPr>
        <w:t>-</w:t>
      </w:r>
      <w:r>
        <w:rPr>
          <w:rtl/>
        </w:rPr>
        <w:t>1970</w:t>
      </w:r>
    </w:p>
    <w:p w:rsidR="00473F8F" w:rsidRDefault="00473F8F">
      <w:pPr>
        <w:pStyle w:val="big-header"/>
        <w:ind w:left="0" w:right="1134"/>
        <w:rPr>
          <w:color w:val="008000"/>
        </w:rPr>
      </w:pPr>
      <w:r>
        <w:rPr>
          <w:rFonts w:hint="cs"/>
          <w:color w:val="008000"/>
          <w:rtl/>
        </w:rPr>
        <w:t>רבדים בחקיקה</w:t>
      </w:r>
    </w:p>
    <w:p w:rsidR="00FA7A38" w:rsidRDefault="00FA7A38" w:rsidP="00FA7A38">
      <w:pPr>
        <w:spacing w:line="320" w:lineRule="auto"/>
        <w:jc w:val="left"/>
        <w:rPr>
          <w:rtl/>
        </w:rPr>
      </w:pPr>
    </w:p>
    <w:p w:rsidR="00FA7A38" w:rsidRPr="00FA7A38" w:rsidRDefault="00FA7A38" w:rsidP="00FA7A38">
      <w:pPr>
        <w:spacing w:line="320" w:lineRule="auto"/>
        <w:jc w:val="left"/>
        <w:rPr>
          <w:rFonts w:cs="Miriam"/>
          <w:szCs w:val="22"/>
          <w:rtl/>
        </w:rPr>
      </w:pPr>
      <w:r w:rsidRPr="00FA7A38">
        <w:rPr>
          <w:rFonts w:cs="Miriam"/>
          <w:szCs w:val="22"/>
          <w:rtl/>
        </w:rPr>
        <w:t>משפט פרטי וכלכלה</w:t>
      </w:r>
      <w:r w:rsidRPr="00FA7A38">
        <w:rPr>
          <w:rFonts w:cs="FrankRuehl"/>
          <w:szCs w:val="26"/>
          <w:rtl/>
        </w:rPr>
        <w:t xml:space="preserve"> – תאגידים וניירות ערך – ניירות ערך</w:t>
      </w:r>
    </w:p>
    <w:p w:rsidR="00473F8F" w:rsidRDefault="00473F8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פרק א': בקשת הרשות להגשת דו"ח</w:t>
            </w:r>
          </w:p>
        </w:tc>
        <w:tc>
          <w:tcPr>
            <w:tcW w:w="567" w:type="dxa"/>
          </w:tcPr>
          <w:p w:rsidR="00650C86" w:rsidRPr="00650C86" w:rsidRDefault="00650C86" w:rsidP="00650C86">
            <w:pPr>
              <w:spacing w:line="240" w:lineRule="auto"/>
              <w:jc w:val="left"/>
              <w:rPr>
                <w:rStyle w:val="Hyperlink"/>
                <w:rtl/>
              </w:rPr>
            </w:pPr>
            <w:hyperlink w:anchor="med0" w:tooltip="פרק א: בקשת הרשות להגשת דוח"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r>
              <w:rPr>
                <w:rFonts w:cs="Times New Roman"/>
                <w:sz w:val="24"/>
                <w:rtl/>
              </w:rPr>
              <w:t xml:space="preserve">סעיף 1 </w:t>
            </w: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בקשה לפי סעיף 38</w:t>
            </w:r>
          </w:p>
        </w:tc>
        <w:tc>
          <w:tcPr>
            <w:tcW w:w="567" w:type="dxa"/>
          </w:tcPr>
          <w:p w:rsidR="00650C86" w:rsidRPr="00650C86" w:rsidRDefault="00650C86" w:rsidP="00650C86">
            <w:pPr>
              <w:spacing w:line="240" w:lineRule="auto"/>
              <w:jc w:val="left"/>
              <w:rPr>
                <w:rStyle w:val="Hyperlink"/>
                <w:rtl/>
              </w:rPr>
            </w:pPr>
            <w:hyperlink w:anchor="Seif1" w:tooltip="בקשה לפי סעיף 38"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פרק ב': ערעור על החלטות הבורסה</w:t>
            </w:r>
          </w:p>
        </w:tc>
        <w:tc>
          <w:tcPr>
            <w:tcW w:w="567" w:type="dxa"/>
          </w:tcPr>
          <w:p w:rsidR="00650C86" w:rsidRPr="00650C86" w:rsidRDefault="00650C86" w:rsidP="00650C86">
            <w:pPr>
              <w:spacing w:line="240" w:lineRule="auto"/>
              <w:jc w:val="left"/>
              <w:rPr>
                <w:rStyle w:val="Hyperlink"/>
                <w:rtl/>
              </w:rPr>
            </w:pPr>
            <w:hyperlink w:anchor="med1" w:tooltip="פרק ב: ערעור על החלטות הבורסה"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r>
              <w:rPr>
                <w:rFonts w:cs="Times New Roman"/>
                <w:sz w:val="24"/>
                <w:rtl/>
              </w:rPr>
              <w:t xml:space="preserve">סעיף 2 </w:t>
            </w: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הגשת ערעור לפי סעיף 47</w:t>
            </w:r>
          </w:p>
        </w:tc>
        <w:tc>
          <w:tcPr>
            <w:tcW w:w="567" w:type="dxa"/>
          </w:tcPr>
          <w:p w:rsidR="00650C86" w:rsidRPr="00650C86" w:rsidRDefault="00650C86" w:rsidP="00650C86">
            <w:pPr>
              <w:spacing w:line="240" w:lineRule="auto"/>
              <w:jc w:val="left"/>
              <w:rPr>
                <w:rStyle w:val="Hyperlink"/>
                <w:rtl/>
              </w:rPr>
            </w:pPr>
            <w:hyperlink w:anchor="Seif2" w:tooltip="הגשת ערעור לפי סעיף 47"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r>
              <w:rPr>
                <w:rFonts w:cs="Times New Roman"/>
                <w:sz w:val="24"/>
                <w:rtl/>
              </w:rPr>
              <w:t xml:space="preserve">סעיף 3 </w:t>
            </w: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כתב ערעור</w:t>
            </w:r>
          </w:p>
        </w:tc>
        <w:tc>
          <w:tcPr>
            <w:tcW w:w="567" w:type="dxa"/>
          </w:tcPr>
          <w:p w:rsidR="00650C86" w:rsidRPr="00650C86" w:rsidRDefault="00650C86" w:rsidP="00650C86">
            <w:pPr>
              <w:spacing w:line="240" w:lineRule="auto"/>
              <w:jc w:val="left"/>
              <w:rPr>
                <w:rStyle w:val="Hyperlink"/>
                <w:rtl/>
              </w:rPr>
            </w:pPr>
            <w:hyperlink w:anchor="Seif3" w:tooltip="כתב ערעור"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r>
              <w:rPr>
                <w:rFonts w:cs="Times New Roman"/>
                <w:sz w:val="24"/>
                <w:rtl/>
              </w:rPr>
              <w:t xml:space="preserve">סעיף 4 </w:t>
            </w: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המשיבה</w:t>
            </w:r>
          </w:p>
        </w:tc>
        <w:tc>
          <w:tcPr>
            <w:tcW w:w="567" w:type="dxa"/>
          </w:tcPr>
          <w:p w:rsidR="00650C86" w:rsidRPr="00650C86" w:rsidRDefault="00650C86" w:rsidP="00650C86">
            <w:pPr>
              <w:spacing w:line="240" w:lineRule="auto"/>
              <w:jc w:val="left"/>
              <w:rPr>
                <w:rStyle w:val="Hyperlink"/>
                <w:rtl/>
              </w:rPr>
            </w:pPr>
            <w:hyperlink w:anchor="Seif4" w:tooltip="המשיבה"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r>
              <w:rPr>
                <w:rFonts w:cs="Times New Roman"/>
                <w:sz w:val="24"/>
                <w:rtl/>
              </w:rPr>
              <w:t xml:space="preserve">סעיף 5 </w:t>
            </w: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הגשת כתב הערעור</w:t>
            </w:r>
          </w:p>
        </w:tc>
        <w:tc>
          <w:tcPr>
            <w:tcW w:w="567" w:type="dxa"/>
          </w:tcPr>
          <w:p w:rsidR="00650C86" w:rsidRPr="00650C86" w:rsidRDefault="00650C86" w:rsidP="00650C86">
            <w:pPr>
              <w:spacing w:line="240" w:lineRule="auto"/>
              <w:jc w:val="left"/>
              <w:rPr>
                <w:rStyle w:val="Hyperlink"/>
                <w:rtl/>
              </w:rPr>
            </w:pPr>
            <w:hyperlink w:anchor="Seif5" w:tooltip="הגשת כתב הערעור"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r>
              <w:rPr>
                <w:rFonts w:cs="Times New Roman"/>
                <w:sz w:val="24"/>
                <w:rtl/>
              </w:rPr>
              <w:t xml:space="preserve">סעיף 6 </w:t>
            </w: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המצאת כתב הערעור</w:t>
            </w:r>
          </w:p>
        </w:tc>
        <w:tc>
          <w:tcPr>
            <w:tcW w:w="567" w:type="dxa"/>
          </w:tcPr>
          <w:p w:rsidR="00650C86" w:rsidRPr="00650C86" w:rsidRDefault="00650C86" w:rsidP="00650C86">
            <w:pPr>
              <w:spacing w:line="240" w:lineRule="auto"/>
              <w:jc w:val="left"/>
              <w:rPr>
                <w:rStyle w:val="Hyperlink"/>
                <w:rtl/>
              </w:rPr>
            </w:pPr>
            <w:hyperlink w:anchor="Seif6" w:tooltip="המצאת כתב הערעור"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r>
              <w:rPr>
                <w:rFonts w:cs="Times New Roman"/>
                <w:sz w:val="24"/>
                <w:rtl/>
              </w:rPr>
              <w:t xml:space="preserve">סעיף 7 </w:t>
            </w: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תשובה לערעור</w:t>
            </w:r>
          </w:p>
        </w:tc>
        <w:tc>
          <w:tcPr>
            <w:tcW w:w="567" w:type="dxa"/>
          </w:tcPr>
          <w:p w:rsidR="00650C86" w:rsidRPr="00650C86" w:rsidRDefault="00650C86" w:rsidP="00650C86">
            <w:pPr>
              <w:spacing w:line="240" w:lineRule="auto"/>
              <w:jc w:val="left"/>
              <w:rPr>
                <w:rStyle w:val="Hyperlink"/>
                <w:rtl/>
              </w:rPr>
            </w:pPr>
            <w:hyperlink w:anchor="Seif7" w:tooltip="תשובה לערעור"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r>
              <w:rPr>
                <w:rFonts w:cs="Times New Roman"/>
                <w:sz w:val="24"/>
                <w:rtl/>
              </w:rPr>
              <w:t xml:space="preserve">סעיף 8 </w:t>
            </w: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בהעדר תשובה</w:t>
            </w:r>
          </w:p>
        </w:tc>
        <w:tc>
          <w:tcPr>
            <w:tcW w:w="567" w:type="dxa"/>
          </w:tcPr>
          <w:p w:rsidR="00650C86" w:rsidRPr="00650C86" w:rsidRDefault="00650C86" w:rsidP="00650C86">
            <w:pPr>
              <w:spacing w:line="240" w:lineRule="auto"/>
              <w:jc w:val="left"/>
              <w:rPr>
                <w:rStyle w:val="Hyperlink"/>
                <w:rtl/>
              </w:rPr>
            </w:pPr>
            <w:hyperlink w:anchor="Seif8" w:tooltip="בהעדר תשובה"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r>
              <w:rPr>
                <w:rFonts w:cs="Times New Roman"/>
                <w:sz w:val="24"/>
                <w:rtl/>
              </w:rPr>
              <w:t xml:space="preserve">סעיף 9 </w:t>
            </w: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תחולת תקנות סדר הדין האזרחי</w:t>
            </w:r>
          </w:p>
        </w:tc>
        <w:tc>
          <w:tcPr>
            <w:tcW w:w="567" w:type="dxa"/>
          </w:tcPr>
          <w:p w:rsidR="00650C86" w:rsidRPr="00650C86" w:rsidRDefault="00650C86" w:rsidP="00650C86">
            <w:pPr>
              <w:spacing w:line="240" w:lineRule="auto"/>
              <w:jc w:val="left"/>
              <w:rPr>
                <w:rStyle w:val="Hyperlink"/>
                <w:rtl/>
              </w:rPr>
            </w:pPr>
            <w:hyperlink w:anchor="Seif9" w:tooltip="תחולת תקנות סדר הדין האזרחי"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פרק ג': שונות</w:t>
            </w:r>
          </w:p>
        </w:tc>
        <w:tc>
          <w:tcPr>
            <w:tcW w:w="567" w:type="dxa"/>
          </w:tcPr>
          <w:p w:rsidR="00650C86" w:rsidRPr="00650C86" w:rsidRDefault="00650C86" w:rsidP="00650C86">
            <w:pPr>
              <w:spacing w:line="240" w:lineRule="auto"/>
              <w:jc w:val="left"/>
              <w:rPr>
                <w:rStyle w:val="Hyperlink"/>
                <w:rtl/>
              </w:rPr>
            </w:pPr>
            <w:hyperlink w:anchor="med2" w:tooltip="פרק ג: שונות"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50C86" w:rsidRPr="00650C86">
        <w:tblPrEx>
          <w:tblCellMar>
            <w:top w:w="0" w:type="dxa"/>
            <w:bottom w:w="0" w:type="dxa"/>
          </w:tblCellMar>
        </w:tblPrEx>
        <w:tc>
          <w:tcPr>
            <w:tcW w:w="1247" w:type="dxa"/>
          </w:tcPr>
          <w:p w:rsidR="00650C86" w:rsidRPr="00650C86" w:rsidRDefault="00650C86" w:rsidP="00650C86">
            <w:pPr>
              <w:spacing w:line="240" w:lineRule="auto"/>
              <w:jc w:val="left"/>
              <w:rPr>
                <w:rFonts w:cs="Frankruhel"/>
                <w:sz w:val="24"/>
                <w:rtl/>
              </w:rPr>
            </w:pPr>
            <w:r>
              <w:rPr>
                <w:rFonts w:cs="Times New Roman"/>
                <w:sz w:val="24"/>
                <w:rtl/>
              </w:rPr>
              <w:t xml:space="preserve">סעיף 10 </w:t>
            </w:r>
          </w:p>
        </w:tc>
        <w:tc>
          <w:tcPr>
            <w:tcW w:w="5669" w:type="dxa"/>
          </w:tcPr>
          <w:p w:rsidR="00650C86" w:rsidRPr="00650C86" w:rsidRDefault="00650C86" w:rsidP="00650C86">
            <w:pPr>
              <w:spacing w:line="240" w:lineRule="auto"/>
              <w:jc w:val="left"/>
              <w:rPr>
                <w:rFonts w:cs="Frankruhel"/>
                <w:sz w:val="24"/>
                <w:rtl/>
              </w:rPr>
            </w:pPr>
            <w:r>
              <w:rPr>
                <w:rFonts w:cs="Times New Roman"/>
                <w:sz w:val="24"/>
                <w:rtl/>
              </w:rPr>
              <w:t>אגרות</w:t>
            </w:r>
          </w:p>
        </w:tc>
        <w:tc>
          <w:tcPr>
            <w:tcW w:w="567" w:type="dxa"/>
          </w:tcPr>
          <w:p w:rsidR="00650C86" w:rsidRPr="00650C86" w:rsidRDefault="00650C86" w:rsidP="00650C86">
            <w:pPr>
              <w:spacing w:line="240" w:lineRule="auto"/>
              <w:jc w:val="left"/>
              <w:rPr>
                <w:rStyle w:val="Hyperlink"/>
                <w:rtl/>
              </w:rPr>
            </w:pPr>
            <w:hyperlink w:anchor="Seif10" w:tooltip="אגרות" w:history="1">
              <w:r w:rsidRPr="00650C86">
                <w:rPr>
                  <w:rStyle w:val="Hyperlink"/>
                </w:rPr>
                <w:t>Go</w:t>
              </w:r>
            </w:hyperlink>
          </w:p>
        </w:tc>
        <w:tc>
          <w:tcPr>
            <w:tcW w:w="850" w:type="dxa"/>
          </w:tcPr>
          <w:p w:rsidR="00650C86" w:rsidRPr="00650C86" w:rsidRDefault="00650C86" w:rsidP="00650C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473F8F" w:rsidRDefault="00473F8F">
      <w:pPr>
        <w:pStyle w:val="big-header"/>
        <w:ind w:left="0" w:right="1134"/>
        <w:rPr>
          <w:rtl/>
        </w:rPr>
      </w:pPr>
    </w:p>
    <w:p w:rsidR="00473F8F" w:rsidRDefault="00473F8F" w:rsidP="00FA7A38">
      <w:pPr>
        <w:pStyle w:val="big-header"/>
        <w:ind w:left="0" w:right="1134"/>
        <w:rPr>
          <w:rStyle w:val="super"/>
          <w:rFonts w:cs="Miriam" w:hint="cs"/>
          <w:noProof w:val="0"/>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037" type="#_x0000_t202" style="position:absolute;left:0;text-align:left;margin-left:462pt;margin-top:25.5pt;width:80.25pt;height:11.15pt;z-index:251663360" filled="f" stroked="f">
            <v:textbox inset="1mm,0,1mm,0">
              <w:txbxContent>
                <w:p w:rsidR="00473F8F" w:rsidRDefault="00473F8F">
                  <w:pPr>
                    <w:spacing w:line="160" w:lineRule="exact"/>
                    <w:jc w:val="left"/>
                    <w:rPr>
                      <w:rFonts w:cs="Miriam" w:hint="cs"/>
                      <w:szCs w:val="18"/>
                      <w:rtl/>
                    </w:rPr>
                  </w:pPr>
                  <w:r>
                    <w:rPr>
                      <w:rFonts w:cs="Miriam" w:hint="cs"/>
                      <w:szCs w:val="18"/>
                      <w:rtl/>
                    </w:rPr>
                    <w:t>תק' תשס"ב-2002</w:t>
                  </w:r>
                </w:p>
              </w:txbxContent>
            </v:textbox>
            <w10:anchorlock/>
          </v:shape>
        </w:pict>
      </w:r>
      <w:r>
        <w:rPr>
          <w:rtl/>
        </w:rPr>
        <w:t>ת</w:t>
      </w:r>
      <w:r>
        <w:rPr>
          <w:rFonts w:hint="cs"/>
          <w:rtl/>
        </w:rPr>
        <w:t>קנות ניירות ערך (סדרי דין), תשל"א-1970</w:t>
      </w:r>
      <w:r>
        <w:rPr>
          <w:rStyle w:val="default"/>
          <w:rtl/>
        </w:rPr>
        <w:footnoteReference w:customMarkFollows="1" w:id="1"/>
        <w:t>*</w:t>
      </w:r>
    </w:p>
    <w:p w:rsidR="00473F8F" w:rsidRDefault="00473F8F">
      <w:pPr>
        <w:pStyle w:val="P00"/>
        <w:spacing w:before="0"/>
        <w:ind w:left="0" w:right="1134"/>
        <w:rPr>
          <w:rFonts w:hint="cs"/>
          <w:b/>
          <w:bCs/>
          <w:vanish/>
          <w:szCs w:val="20"/>
          <w:shd w:val="clear" w:color="auto" w:fill="FFFF99"/>
          <w:rtl/>
        </w:rPr>
      </w:pPr>
      <w:bookmarkStart w:id="0" w:name="Rov18"/>
      <w:r>
        <w:rPr>
          <w:rFonts w:hint="cs"/>
          <w:vanish/>
          <w:color w:val="FF0000"/>
          <w:szCs w:val="20"/>
          <w:shd w:val="clear" w:color="auto" w:fill="FFFF99"/>
          <w:rtl/>
        </w:rPr>
        <w:t>מיום 11.7.2002</w:t>
      </w:r>
    </w:p>
    <w:p w:rsidR="00473F8F" w:rsidRDefault="00473F8F">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תשס"ב-2002</w:t>
      </w:r>
    </w:p>
    <w:p w:rsidR="00473F8F" w:rsidRDefault="00473F8F">
      <w:pPr>
        <w:pStyle w:val="big-header"/>
        <w:spacing w:before="0" w:after="0"/>
        <w:ind w:left="0" w:right="1134"/>
        <w:jc w:val="left"/>
        <w:rPr>
          <w:rFonts w:hint="cs"/>
          <w:vanish/>
          <w:szCs w:val="20"/>
          <w:shd w:val="clear" w:color="auto" w:fill="FFFF99"/>
          <w:rtl/>
        </w:rPr>
      </w:pPr>
      <w:hyperlink r:id="rId6" w:history="1">
        <w:r>
          <w:rPr>
            <w:rStyle w:val="Hyperlink"/>
            <w:rFonts w:hint="cs"/>
            <w:vanish/>
            <w:szCs w:val="20"/>
            <w:shd w:val="clear" w:color="auto" w:fill="FFFF99"/>
            <w:rtl/>
          </w:rPr>
          <w:t>ק"ת תשס"ב מס' 6174</w:t>
        </w:r>
      </w:hyperlink>
      <w:r>
        <w:rPr>
          <w:rFonts w:hint="cs"/>
          <w:vanish/>
          <w:szCs w:val="20"/>
          <w:shd w:val="clear" w:color="auto" w:fill="FFFF99"/>
          <w:rtl/>
        </w:rPr>
        <w:t xml:space="preserve"> מיום 11.6.2002 עמ' 804</w:t>
      </w:r>
    </w:p>
    <w:p w:rsidR="00473F8F" w:rsidRDefault="00473F8F">
      <w:pPr>
        <w:pStyle w:val="big-header"/>
        <w:spacing w:before="0" w:after="0"/>
        <w:ind w:left="0" w:right="1134"/>
        <w:jc w:val="left"/>
        <w:rPr>
          <w:rFonts w:hint="cs"/>
          <w:vanish/>
          <w:szCs w:val="20"/>
          <w:shd w:val="clear" w:color="auto" w:fill="FFFF99"/>
          <w:rtl/>
        </w:rPr>
      </w:pPr>
      <w:r>
        <w:rPr>
          <w:rFonts w:hint="cs"/>
          <w:b/>
          <w:bCs/>
          <w:vanish/>
          <w:szCs w:val="20"/>
          <w:shd w:val="clear" w:color="auto" w:fill="FFFF99"/>
          <w:rtl/>
        </w:rPr>
        <w:t>החלפת שם התקנות</w:t>
      </w:r>
    </w:p>
    <w:p w:rsidR="00473F8F" w:rsidRDefault="00473F8F">
      <w:pPr>
        <w:pStyle w:val="big-header"/>
        <w:spacing w:before="60" w:after="0"/>
        <w:ind w:left="0" w:right="1134"/>
        <w:jc w:val="left"/>
        <w:rPr>
          <w:rFonts w:hint="cs"/>
          <w:vanish/>
          <w:szCs w:val="20"/>
          <w:shd w:val="clear" w:color="auto" w:fill="FFFF99"/>
          <w:rtl/>
        </w:rPr>
      </w:pPr>
      <w:r>
        <w:rPr>
          <w:rFonts w:hint="cs"/>
          <w:vanish/>
          <w:szCs w:val="20"/>
          <w:shd w:val="clear" w:color="auto" w:fill="FFFF99"/>
          <w:rtl/>
        </w:rPr>
        <w:t>הנוסח הקודם:</w:t>
      </w:r>
    </w:p>
    <w:p w:rsidR="00473F8F" w:rsidRDefault="00473F8F">
      <w:pPr>
        <w:pStyle w:val="big-header"/>
        <w:spacing w:before="0" w:after="0"/>
        <w:ind w:left="0" w:right="1134"/>
        <w:jc w:val="left"/>
        <w:rPr>
          <w:rFonts w:hint="cs"/>
          <w:strike/>
          <w:sz w:val="2"/>
          <w:szCs w:val="2"/>
          <w:shd w:val="clear" w:color="auto" w:fill="FFFF99"/>
          <w:rtl/>
        </w:rPr>
      </w:pPr>
      <w:r>
        <w:rPr>
          <w:rFonts w:hint="cs"/>
          <w:strike/>
          <w:vanish/>
          <w:sz w:val="22"/>
          <w:szCs w:val="22"/>
          <w:shd w:val="clear" w:color="auto" w:fill="FFFF99"/>
          <w:rtl/>
        </w:rPr>
        <w:t>תקנות סדרי דין (ניירות ערך), תשל"א-1970</w:t>
      </w:r>
      <w:bookmarkEnd w:id="0"/>
    </w:p>
    <w:p w:rsidR="00473F8F" w:rsidRDefault="00473F8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56(ב) לחוק ניירות ערך, תשכ"ח-1968, ושאר הסמכויות הנתונות לי לפי כל דין, אני מתקין תקנות אלה:</w:t>
      </w:r>
    </w:p>
    <w:p w:rsidR="00473F8F" w:rsidRDefault="00473F8F">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בקשת הרשות להגשת דו"ח</w:t>
      </w:r>
    </w:p>
    <w:p w:rsidR="00473F8F" w:rsidRDefault="00473F8F">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6pt;z-index:251652096" o:allowincell="f" filled="f" stroked="f" strokecolor="lime" strokeweight=".25pt">
            <v:textbox style="mso-next-textbox:#_x0000_s1026" inset="0,0,0,0">
              <w:txbxContent>
                <w:p w:rsidR="00473F8F" w:rsidRDefault="00473F8F">
                  <w:pPr>
                    <w:spacing w:line="160" w:lineRule="exact"/>
                    <w:jc w:val="left"/>
                    <w:rPr>
                      <w:rFonts w:cs="Miriam" w:hint="cs"/>
                      <w:szCs w:val="18"/>
                      <w:rtl/>
                    </w:rPr>
                  </w:pPr>
                  <w:r>
                    <w:rPr>
                      <w:rFonts w:cs="Miriam"/>
                      <w:szCs w:val="18"/>
                      <w:rtl/>
                    </w:rPr>
                    <w:t>ב</w:t>
                  </w:r>
                  <w:r>
                    <w:rPr>
                      <w:rFonts w:cs="Miriam" w:hint="cs"/>
                      <w:szCs w:val="18"/>
                      <w:rtl/>
                    </w:rPr>
                    <w:t xml:space="preserve">קשה לפי </w:t>
                  </w:r>
                  <w:r>
                    <w:rPr>
                      <w:rFonts w:cs="Miriam"/>
                      <w:szCs w:val="18"/>
                      <w:rtl/>
                    </w:rPr>
                    <w:t>ס</w:t>
                  </w:r>
                  <w:r>
                    <w:rPr>
                      <w:rFonts w:cs="Miriam" w:hint="cs"/>
                      <w:szCs w:val="18"/>
                      <w:rtl/>
                    </w:rPr>
                    <w:t>עיף 38</w:t>
                  </w:r>
                </w:p>
                <w:p w:rsidR="00473F8F" w:rsidRDefault="00473F8F">
                  <w:pPr>
                    <w:spacing w:line="160" w:lineRule="exact"/>
                    <w:jc w:val="left"/>
                    <w:rPr>
                      <w:rFonts w:cs="Miriam"/>
                      <w:noProof/>
                      <w:szCs w:val="18"/>
                      <w:rtl/>
                    </w:rPr>
                  </w:pPr>
                  <w:r>
                    <w:rPr>
                      <w:rFonts w:cs="Miriam" w:hint="cs"/>
                      <w:szCs w:val="18"/>
                      <w:rtl/>
                    </w:rPr>
                    <w:t>תק' תשס"ב-2002</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קשת הרשות לצוות על תאגיד להגיש</w:t>
      </w:r>
      <w:r>
        <w:rPr>
          <w:rStyle w:val="default"/>
          <w:rFonts w:cs="FrankRuehl"/>
          <w:rtl/>
        </w:rPr>
        <w:t xml:space="preserve"> </w:t>
      </w:r>
      <w:r>
        <w:rPr>
          <w:rStyle w:val="default"/>
          <w:rFonts w:cs="FrankRuehl" w:hint="cs"/>
          <w:rtl/>
        </w:rPr>
        <w:t>דו"ח בהתאם לסעיף 38 לחוק תוגש לבית המשפט המחוזי בירושלים.</w:t>
      </w:r>
    </w:p>
    <w:p w:rsidR="00473F8F" w:rsidRDefault="00473F8F">
      <w:pPr>
        <w:pStyle w:val="P00"/>
        <w:spacing w:before="0"/>
        <w:ind w:left="0" w:right="1134"/>
        <w:rPr>
          <w:rFonts w:hint="cs"/>
          <w:b/>
          <w:bCs/>
          <w:vanish/>
          <w:szCs w:val="20"/>
          <w:shd w:val="clear" w:color="auto" w:fill="FFFF99"/>
          <w:rtl/>
        </w:rPr>
      </w:pPr>
      <w:bookmarkStart w:id="3" w:name="Rov17"/>
      <w:r>
        <w:rPr>
          <w:rFonts w:hint="cs"/>
          <w:vanish/>
          <w:color w:val="FF0000"/>
          <w:szCs w:val="20"/>
          <w:shd w:val="clear" w:color="auto" w:fill="FFFF99"/>
          <w:rtl/>
        </w:rPr>
        <w:t>מיום 11.7.2002</w:t>
      </w:r>
    </w:p>
    <w:p w:rsidR="00473F8F" w:rsidRDefault="00473F8F">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תשס"ב-2002</w:t>
      </w:r>
    </w:p>
    <w:p w:rsidR="00473F8F" w:rsidRDefault="00473F8F">
      <w:pPr>
        <w:pStyle w:val="big-header"/>
        <w:spacing w:before="0" w:after="0"/>
        <w:ind w:left="0" w:right="1134"/>
        <w:jc w:val="left"/>
        <w:rPr>
          <w:rFonts w:hint="cs"/>
          <w:vanish/>
          <w:szCs w:val="20"/>
          <w:shd w:val="clear" w:color="auto" w:fill="FFFF99"/>
          <w:rtl/>
        </w:rPr>
      </w:pPr>
      <w:hyperlink r:id="rId7" w:history="1">
        <w:r>
          <w:rPr>
            <w:rStyle w:val="Hyperlink"/>
            <w:rFonts w:hint="cs"/>
            <w:vanish/>
            <w:szCs w:val="20"/>
            <w:shd w:val="clear" w:color="auto" w:fill="FFFF99"/>
            <w:rtl/>
          </w:rPr>
          <w:t>ק"ת תשס"ב מס' 6174</w:t>
        </w:r>
      </w:hyperlink>
      <w:r>
        <w:rPr>
          <w:rFonts w:hint="cs"/>
          <w:vanish/>
          <w:szCs w:val="20"/>
          <w:shd w:val="clear" w:color="auto" w:fill="FFFF99"/>
          <w:rtl/>
        </w:rPr>
        <w:t xml:space="preserve"> מיום 11.6.2002 עמ' 804</w:t>
      </w:r>
    </w:p>
    <w:p w:rsidR="00473F8F" w:rsidRDefault="00473F8F">
      <w:pPr>
        <w:pStyle w:val="P00"/>
        <w:ind w:left="0" w:right="1134"/>
        <w:rPr>
          <w:rStyle w:val="default"/>
          <w:rFonts w:cs="FrankRuehl" w:hint="cs"/>
          <w:sz w:val="2"/>
          <w:szCs w:val="2"/>
          <w:rtl/>
        </w:rPr>
      </w:pPr>
      <w:r>
        <w:rPr>
          <w:rStyle w:val="big-number"/>
          <w:rFonts w:cs="FrankRuehl"/>
          <w:vanish/>
          <w:sz w:val="22"/>
          <w:szCs w:val="22"/>
          <w:shd w:val="clear" w:color="auto" w:fill="FFFF99"/>
          <w:rtl/>
        </w:rPr>
        <w:t>1.</w:t>
      </w:r>
      <w:r>
        <w:rPr>
          <w:rStyle w:val="big-number"/>
          <w:rFonts w:cs="FrankRuehl"/>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קשת הרשות לצוות על תאגיד להגיש</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דו"ח בהתאם לסעיף 38 לחוק תוגש לבית המשפט המחוזי בירושלים </w:t>
      </w:r>
      <w:r>
        <w:rPr>
          <w:rStyle w:val="default"/>
          <w:rFonts w:cs="FrankRuehl" w:hint="cs"/>
          <w:strike/>
          <w:vanish/>
          <w:sz w:val="22"/>
          <w:szCs w:val="22"/>
          <w:shd w:val="clear" w:color="auto" w:fill="FFFF99"/>
          <w:rtl/>
        </w:rPr>
        <w:t>בדרך המרצה</w:t>
      </w:r>
      <w:r>
        <w:rPr>
          <w:rStyle w:val="default"/>
          <w:rFonts w:cs="FrankRuehl" w:hint="cs"/>
          <w:vanish/>
          <w:sz w:val="22"/>
          <w:szCs w:val="22"/>
          <w:shd w:val="clear" w:color="auto" w:fill="FFFF99"/>
          <w:rtl/>
        </w:rPr>
        <w:t>.</w:t>
      </w:r>
      <w:bookmarkEnd w:id="3"/>
    </w:p>
    <w:p w:rsidR="00473F8F" w:rsidRDefault="00473F8F">
      <w:pPr>
        <w:pStyle w:val="medium2-header"/>
        <w:keepLines w:val="0"/>
        <w:spacing w:before="72"/>
        <w:ind w:left="0" w:right="1134"/>
        <w:rPr>
          <w:noProof/>
          <w:sz w:val="20"/>
          <w:rtl/>
        </w:rPr>
      </w:pPr>
      <w:bookmarkStart w:id="4" w:name="med1"/>
      <w:bookmarkEnd w:id="4"/>
      <w:r>
        <w:rPr>
          <w:noProof/>
          <w:sz w:val="20"/>
          <w:rtl/>
        </w:rPr>
        <w:t>פ</w:t>
      </w:r>
      <w:r>
        <w:rPr>
          <w:rFonts w:hint="cs"/>
          <w:noProof/>
          <w:sz w:val="20"/>
          <w:rtl/>
        </w:rPr>
        <w:t>רק ב': ערעור על החלטות הבורסה</w:t>
      </w:r>
    </w:p>
    <w:p w:rsidR="00473F8F" w:rsidRDefault="00473F8F">
      <w:pPr>
        <w:pStyle w:val="P00"/>
        <w:spacing w:before="72"/>
        <w:ind w:left="0" w:right="1134"/>
        <w:rPr>
          <w:rStyle w:val="default"/>
          <w:rFonts w:cs="FrankRuehl"/>
          <w:rtl/>
        </w:rPr>
      </w:pPr>
      <w:bookmarkStart w:id="5" w:name="Seif2"/>
      <w:bookmarkEnd w:id="5"/>
      <w:r>
        <w:rPr>
          <w:lang w:val="he-IL"/>
        </w:rPr>
        <w:pict>
          <v:rect id="_x0000_s1027" style="position:absolute;left:0;text-align:left;margin-left:464.5pt;margin-top:8.05pt;width:75.05pt;height:16pt;z-index:251653120" o:allowincell="f" filled="f" stroked="f" strokecolor="lime" strokeweight=".25pt">
            <v:textbox style="mso-next-textbox:#_x0000_s1027" inset="0,0,0,0">
              <w:txbxContent>
                <w:p w:rsidR="00473F8F" w:rsidRDefault="00473F8F">
                  <w:pPr>
                    <w:spacing w:line="160" w:lineRule="exact"/>
                    <w:jc w:val="left"/>
                    <w:rPr>
                      <w:rFonts w:cs="Miriam"/>
                      <w:noProof/>
                      <w:szCs w:val="18"/>
                      <w:rtl/>
                    </w:rPr>
                  </w:pPr>
                  <w:r>
                    <w:rPr>
                      <w:rFonts w:cs="Miriam"/>
                      <w:szCs w:val="18"/>
                      <w:rtl/>
                    </w:rPr>
                    <w:t>ה</w:t>
                  </w:r>
                  <w:r>
                    <w:rPr>
                      <w:rFonts w:cs="Miriam" w:hint="cs"/>
                      <w:szCs w:val="18"/>
                      <w:rtl/>
                    </w:rPr>
                    <w:t xml:space="preserve">גשת ערעור </w:t>
                  </w:r>
                  <w:r>
                    <w:rPr>
                      <w:rFonts w:cs="Miriam"/>
                      <w:szCs w:val="18"/>
                      <w:rtl/>
                    </w:rPr>
                    <w:t>ל</w:t>
                  </w:r>
                  <w:r>
                    <w:rPr>
                      <w:rFonts w:cs="Miriam" w:hint="cs"/>
                      <w:szCs w:val="18"/>
                      <w:rtl/>
                    </w:rPr>
                    <w:t>פי סעיף 47</w:t>
                  </w:r>
                </w:p>
              </w:txbxContent>
            </v:textbox>
            <w10:anchorlock/>
          </v:rect>
        </w:pict>
      </w:r>
      <w:r>
        <w:rPr>
          <w:rStyle w:val="big-number"/>
          <w:rFonts w:cs="Miriam"/>
          <w:rtl/>
        </w:rPr>
        <w:t>2.</w:t>
      </w:r>
      <w:r>
        <w:rPr>
          <w:rStyle w:val="big-number"/>
          <w:rFonts w:cs="Miriam"/>
          <w:rtl/>
        </w:rPr>
        <w:tab/>
      </w:r>
      <w:r>
        <w:rPr>
          <w:rStyle w:val="default"/>
          <w:rFonts w:cs="FrankRuehl"/>
          <w:rtl/>
        </w:rPr>
        <w:t>ע</w:t>
      </w:r>
      <w:r>
        <w:rPr>
          <w:rStyle w:val="default"/>
          <w:rFonts w:cs="FrankRuehl" w:hint="cs"/>
          <w:rtl/>
        </w:rPr>
        <w:t>רעור על החלטת בורסה שלא לקבל אדם כחבר בה או להשעותו או לבטל חברותו, וכן ערעור על החלטת בורסה בשיפוט משמעתי, יוגש לבית המשפט ה</w:t>
      </w:r>
      <w:r>
        <w:rPr>
          <w:rStyle w:val="default"/>
          <w:rFonts w:cs="FrankRuehl"/>
          <w:rtl/>
        </w:rPr>
        <w:t>מ</w:t>
      </w:r>
      <w:r>
        <w:rPr>
          <w:rStyle w:val="default"/>
          <w:rFonts w:cs="FrankRuehl" w:hint="cs"/>
          <w:rtl/>
        </w:rPr>
        <w:t>חוזי שבתחום סמכותו נמצא המשרד הרשום של החברה המנהלת את הבורסה.</w:t>
      </w:r>
    </w:p>
    <w:p w:rsidR="00473F8F" w:rsidRDefault="00473F8F">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8pt;z-index:251654144" o:allowincell="f" filled="f" stroked="f" strokecolor="lime" strokeweight=".25pt">
            <v:textbox style="mso-next-textbox:#_x0000_s1028" inset="0,0,0,0">
              <w:txbxContent>
                <w:p w:rsidR="00473F8F" w:rsidRDefault="00473F8F">
                  <w:pPr>
                    <w:spacing w:line="160" w:lineRule="exact"/>
                    <w:jc w:val="left"/>
                    <w:rPr>
                      <w:rFonts w:cs="Miriam"/>
                      <w:noProof/>
                      <w:szCs w:val="18"/>
                      <w:rtl/>
                    </w:rPr>
                  </w:pPr>
                  <w:r>
                    <w:rPr>
                      <w:rFonts w:cs="Miriam"/>
                      <w:szCs w:val="18"/>
                      <w:rtl/>
                    </w:rPr>
                    <w:t>כ</w:t>
                  </w:r>
                  <w:r>
                    <w:rPr>
                      <w:rFonts w:cs="Miriam" w:hint="cs"/>
                      <w:szCs w:val="18"/>
                      <w:rtl/>
                    </w:rPr>
                    <w:t>תב ערעור</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ערעור יוגש בכתב תוך 60 יום מיום המצאת ההחלטה למערער והוא יפרט את הדברים הבאים:</w:t>
      </w:r>
    </w:p>
    <w:p w:rsidR="00473F8F" w:rsidRDefault="00473F8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משלח-ידו ומקום מגוריו של המערער;</w:t>
      </w:r>
    </w:p>
    <w:p w:rsidR="00473F8F" w:rsidRDefault="00473F8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החברה המנהלת את הבורסה שנתנה את ההחלטה שעליה מע</w:t>
      </w:r>
      <w:r>
        <w:rPr>
          <w:rStyle w:val="default"/>
          <w:rFonts w:cs="FrankRuehl"/>
          <w:rtl/>
        </w:rPr>
        <w:t>ר</w:t>
      </w:r>
      <w:r>
        <w:rPr>
          <w:rStyle w:val="default"/>
          <w:rFonts w:cs="FrankRuehl" w:hint="cs"/>
          <w:rtl/>
        </w:rPr>
        <w:t>ערים ומען משרדה הרשום;</w:t>
      </w:r>
    </w:p>
    <w:p w:rsidR="00473F8F" w:rsidRDefault="00473F8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מען בתחום שיפוטו של בית המשפט של ערעור לשם המצאה למערער;</w:t>
      </w:r>
    </w:p>
    <w:p w:rsidR="00473F8F" w:rsidRDefault="00473F8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תאריך שבו קיבל המערער עותק מן ההחלטה אם נתקבל, או ציון שעותק כאמור לא נתקבל;</w:t>
      </w:r>
    </w:p>
    <w:p w:rsidR="00473F8F" w:rsidRDefault="00473F8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נושא ההחלטה שעליה מערערים;</w:t>
      </w:r>
    </w:p>
    <w:p w:rsidR="00473F8F" w:rsidRDefault="00473F8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נימוקי הערעור.</w:t>
      </w:r>
    </w:p>
    <w:p w:rsidR="00473F8F" w:rsidRDefault="00473F8F">
      <w:pPr>
        <w:pStyle w:val="P00"/>
        <w:spacing w:before="72"/>
        <w:ind w:left="0" w:right="1134"/>
        <w:rPr>
          <w:rStyle w:val="default"/>
          <w:rFonts w:cs="FrankRuehl"/>
          <w:rtl/>
        </w:rPr>
      </w:pPr>
      <w:bookmarkStart w:id="7" w:name="Seif4"/>
      <w:bookmarkEnd w:id="7"/>
      <w:r>
        <w:rPr>
          <w:lang w:val="he-IL"/>
        </w:rPr>
        <w:pict>
          <v:rect id="_x0000_s1029" style="position:absolute;left:0;text-align:left;margin-left:464.5pt;margin-top:8.05pt;width:75.05pt;height:8pt;z-index:251655168" o:allowincell="f" filled="f" stroked="f" strokecolor="lime" strokeweight=".25pt">
            <v:textbox style="mso-next-textbox:#_x0000_s1029" inset="0,0,0,0">
              <w:txbxContent>
                <w:p w:rsidR="00473F8F" w:rsidRDefault="00473F8F">
                  <w:pPr>
                    <w:spacing w:line="160" w:lineRule="exact"/>
                    <w:jc w:val="left"/>
                    <w:rPr>
                      <w:rFonts w:cs="Miriam"/>
                      <w:noProof/>
                      <w:szCs w:val="18"/>
                      <w:rtl/>
                    </w:rPr>
                  </w:pPr>
                  <w:r>
                    <w:rPr>
                      <w:rFonts w:cs="Miriam"/>
                      <w:szCs w:val="18"/>
                      <w:rtl/>
                    </w:rPr>
                    <w:t>ה</w:t>
                  </w:r>
                  <w:r>
                    <w:rPr>
                      <w:rFonts w:cs="Miriam" w:hint="cs"/>
                      <w:szCs w:val="18"/>
                      <w:rtl/>
                    </w:rPr>
                    <w:t>משיבה</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 xml:space="preserve">משיבה תהא החברה המנהלת את </w:t>
      </w:r>
      <w:r>
        <w:rPr>
          <w:rStyle w:val="default"/>
          <w:rFonts w:cs="FrankRuehl"/>
          <w:rtl/>
        </w:rPr>
        <w:t>ה</w:t>
      </w:r>
      <w:r>
        <w:rPr>
          <w:rStyle w:val="default"/>
          <w:rFonts w:cs="FrankRuehl" w:hint="cs"/>
          <w:rtl/>
        </w:rPr>
        <w:t>בורסה.</w:t>
      </w:r>
    </w:p>
    <w:p w:rsidR="00473F8F" w:rsidRDefault="00473F8F">
      <w:pPr>
        <w:pStyle w:val="P00"/>
        <w:spacing w:before="72"/>
        <w:ind w:left="0" w:right="1134"/>
        <w:rPr>
          <w:rStyle w:val="default"/>
          <w:rFonts w:cs="FrankRuehl"/>
          <w:rtl/>
        </w:rPr>
      </w:pPr>
      <w:bookmarkStart w:id="8" w:name="Seif5"/>
      <w:bookmarkEnd w:id="8"/>
      <w:r>
        <w:rPr>
          <w:lang w:val="he-IL"/>
        </w:rPr>
        <w:pict>
          <v:rect id="_x0000_s1030" style="position:absolute;left:0;text-align:left;margin-left:464.5pt;margin-top:8.05pt;width:75.05pt;height:16pt;z-index:251656192" o:allowincell="f" filled="f" stroked="f" strokecolor="lime" strokeweight=".25pt">
            <v:textbox style="mso-next-textbox:#_x0000_s1030" inset="0,0,0,0">
              <w:txbxContent>
                <w:p w:rsidR="00473F8F" w:rsidRDefault="00473F8F">
                  <w:pPr>
                    <w:spacing w:line="160" w:lineRule="exact"/>
                    <w:jc w:val="left"/>
                    <w:rPr>
                      <w:rFonts w:cs="Miriam"/>
                      <w:noProof/>
                      <w:szCs w:val="18"/>
                      <w:rtl/>
                    </w:rPr>
                  </w:pPr>
                  <w:r>
                    <w:rPr>
                      <w:rFonts w:cs="Miriam"/>
                      <w:szCs w:val="18"/>
                      <w:rtl/>
                    </w:rPr>
                    <w:t>ה</w:t>
                  </w:r>
                  <w:r>
                    <w:rPr>
                      <w:rFonts w:cs="Miriam" w:hint="cs"/>
                      <w:szCs w:val="18"/>
                      <w:rtl/>
                    </w:rPr>
                    <w:t xml:space="preserve">גשת כתב </w:t>
                  </w:r>
                  <w:r>
                    <w:rPr>
                      <w:rFonts w:cs="Miriam"/>
                      <w:szCs w:val="18"/>
                      <w:rtl/>
                    </w:rPr>
                    <w:t>ה</w:t>
                  </w:r>
                  <w:r>
                    <w:rPr>
                      <w:rFonts w:cs="Miriam" w:hint="cs"/>
                      <w:szCs w:val="18"/>
                      <w:rtl/>
                    </w:rPr>
                    <w:t>ערעור</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כתב הערעור יוגש לבית המשפט בארבעה עתקים זולת אם בית המשפט הורה על מסירת עתקים נוספים.</w:t>
      </w:r>
    </w:p>
    <w:p w:rsidR="00473F8F" w:rsidRDefault="00473F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לכל עותק של כתב הערעור </w:t>
      </w:r>
      <w:r>
        <w:rPr>
          <w:rStyle w:val="default"/>
          <w:rFonts w:cs="FrankRuehl"/>
          <w:rtl/>
        </w:rPr>
        <w:t>י</w:t>
      </w:r>
      <w:r>
        <w:rPr>
          <w:rStyle w:val="default"/>
          <w:rFonts w:cs="FrankRuehl" w:hint="cs"/>
          <w:rtl/>
        </w:rPr>
        <w:t>צורף העתק מן ההחלטה שעליה מערערים; לא קיבל המערער עותק מן ההחלטה, יצרף הצהרה על כך לכתב הערעור.</w:t>
      </w:r>
    </w:p>
    <w:p w:rsidR="00473F8F" w:rsidRDefault="00473F8F">
      <w:pPr>
        <w:pStyle w:val="P00"/>
        <w:spacing w:before="72"/>
        <w:ind w:left="0" w:right="1134"/>
        <w:rPr>
          <w:rStyle w:val="default"/>
          <w:rFonts w:cs="FrankRuehl"/>
          <w:rtl/>
        </w:rPr>
      </w:pPr>
      <w:bookmarkStart w:id="9" w:name="Seif6"/>
      <w:bookmarkEnd w:id="9"/>
      <w:r>
        <w:rPr>
          <w:lang w:val="he-IL"/>
        </w:rPr>
        <w:pict>
          <v:rect id="_x0000_s1031" style="position:absolute;left:0;text-align:left;margin-left:464.5pt;margin-top:8.05pt;width:75.05pt;height:16pt;z-index:251657216" o:allowincell="f" filled="f" stroked="f" strokecolor="lime" strokeweight=".25pt">
            <v:textbox style="mso-next-textbox:#_x0000_s1031" inset="0,0,0,0">
              <w:txbxContent>
                <w:p w:rsidR="00473F8F" w:rsidRDefault="00473F8F">
                  <w:pPr>
                    <w:spacing w:line="160" w:lineRule="exact"/>
                    <w:jc w:val="left"/>
                    <w:rPr>
                      <w:rFonts w:cs="Miriam"/>
                      <w:noProof/>
                      <w:szCs w:val="18"/>
                      <w:rtl/>
                    </w:rPr>
                  </w:pPr>
                  <w:r>
                    <w:rPr>
                      <w:rFonts w:cs="Miriam"/>
                      <w:szCs w:val="18"/>
                      <w:rtl/>
                    </w:rPr>
                    <w:t>ה</w:t>
                  </w:r>
                  <w:r>
                    <w:rPr>
                      <w:rFonts w:cs="Miriam" w:hint="cs"/>
                      <w:szCs w:val="18"/>
                      <w:rtl/>
                    </w:rPr>
                    <w:t xml:space="preserve">מצאת כתב </w:t>
                  </w:r>
                  <w:r>
                    <w:rPr>
                      <w:rFonts w:cs="Miriam"/>
                      <w:szCs w:val="18"/>
                      <w:rtl/>
                    </w:rPr>
                    <w:t>ה</w:t>
                  </w:r>
                  <w:r>
                    <w:rPr>
                      <w:rFonts w:cs="Miriam" w:hint="cs"/>
                      <w:szCs w:val="18"/>
                      <w:rtl/>
                    </w:rPr>
                    <w:t>ערעור</w:t>
                  </w:r>
                </w:p>
              </w:txbxContent>
            </v:textbox>
            <w10:anchorlock/>
          </v:rect>
        </w:pict>
      </w:r>
      <w:r>
        <w:rPr>
          <w:rStyle w:val="big-number"/>
          <w:rFonts w:cs="Miriam"/>
          <w:rtl/>
        </w:rPr>
        <w:t>6.</w:t>
      </w:r>
      <w:r>
        <w:rPr>
          <w:rStyle w:val="big-number"/>
          <w:rFonts w:cs="Miriam"/>
          <w:rtl/>
        </w:rPr>
        <w:tab/>
      </w:r>
      <w:r>
        <w:rPr>
          <w:rStyle w:val="default"/>
          <w:rFonts w:cs="FrankRuehl"/>
          <w:rtl/>
        </w:rPr>
        <w:t>ר</w:t>
      </w:r>
      <w:r>
        <w:rPr>
          <w:rStyle w:val="default"/>
          <w:rFonts w:cs="FrankRuehl" w:hint="cs"/>
          <w:rtl/>
        </w:rPr>
        <w:t xml:space="preserve">שם בית המשפט ימציא למשיבה עותק אחד של כתב הערעור עם העתק כאמור בתקנה </w:t>
      </w:r>
      <w:r>
        <w:rPr>
          <w:rStyle w:val="default"/>
          <w:rFonts w:cs="FrankRuehl"/>
          <w:rtl/>
        </w:rPr>
        <w:br/>
      </w:r>
      <w:r>
        <w:rPr>
          <w:rStyle w:val="default"/>
          <w:rFonts w:cs="FrankRuehl" w:hint="cs"/>
          <w:rtl/>
        </w:rPr>
        <w:t>5(ב).</w:t>
      </w:r>
    </w:p>
    <w:p w:rsidR="00473F8F" w:rsidRDefault="00473F8F">
      <w:pPr>
        <w:pStyle w:val="P00"/>
        <w:spacing w:before="72"/>
        <w:ind w:left="0" w:right="1134"/>
        <w:rPr>
          <w:rStyle w:val="default"/>
          <w:rFonts w:cs="FrankRuehl"/>
          <w:rtl/>
        </w:rPr>
      </w:pPr>
      <w:bookmarkStart w:id="10" w:name="Seif7"/>
      <w:bookmarkEnd w:id="10"/>
      <w:r>
        <w:rPr>
          <w:lang w:val="he-IL"/>
        </w:rPr>
        <w:pict>
          <v:rect id="_x0000_s1032" style="position:absolute;left:0;text-align:left;margin-left:464.5pt;margin-top:8.05pt;width:75.05pt;height:8pt;z-index:251658240" o:allowincell="f" filled="f" stroked="f" strokecolor="lime" strokeweight=".25pt">
            <v:textbox style="mso-next-textbox:#_x0000_s1032" inset="0,0,0,0">
              <w:txbxContent>
                <w:p w:rsidR="00473F8F" w:rsidRDefault="00473F8F">
                  <w:pPr>
                    <w:spacing w:line="160" w:lineRule="exact"/>
                    <w:jc w:val="left"/>
                    <w:rPr>
                      <w:rFonts w:cs="Miriam"/>
                      <w:noProof/>
                      <w:szCs w:val="18"/>
                      <w:rtl/>
                    </w:rPr>
                  </w:pPr>
                  <w:r>
                    <w:rPr>
                      <w:rFonts w:cs="Miriam"/>
                      <w:szCs w:val="18"/>
                      <w:rtl/>
                    </w:rPr>
                    <w:t>ת</w:t>
                  </w:r>
                  <w:r>
                    <w:rPr>
                      <w:rFonts w:cs="Miriam" w:hint="cs"/>
                      <w:szCs w:val="18"/>
                      <w:rtl/>
                    </w:rPr>
                    <w:t>שובה לערעור</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תוך 15 יום לאחר שהומצא לה כתב הערעור </w:t>
      </w:r>
      <w:r>
        <w:rPr>
          <w:rStyle w:val="default"/>
          <w:rFonts w:cs="FrankRuehl"/>
          <w:rtl/>
        </w:rPr>
        <w:t>ת</w:t>
      </w:r>
      <w:r>
        <w:rPr>
          <w:rStyle w:val="default"/>
          <w:rFonts w:cs="FrankRuehl" w:hint="cs"/>
          <w:rtl/>
        </w:rPr>
        <w:t>גיש המשיבה תשובה לערעור, תפרט בה את נימוקיה, כל אחד בתמציתו ובפסקה נפרדת, ותציין מען להמצאת כתבי בי דין.</w:t>
      </w:r>
    </w:p>
    <w:p w:rsidR="00473F8F" w:rsidRDefault="00473F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התשובה תימסר לבית המשפט בארבעה עתקים והרשם ימציא אחד מהם למערער.</w:t>
      </w:r>
    </w:p>
    <w:p w:rsidR="00473F8F" w:rsidRDefault="00473F8F">
      <w:pPr>
        <w:pStyle w:val="P00"/>
        <w:spacing w:before="72"/>
        <w:ind w:left="0" w:right="1134"/>
        <w:rPr>
          <w:rStyle w:val="default"/>
          <w:rFonts w:cs="FrankRuehl"/>
          <w:rtl/>
        </w:rPr>
      </w:pPr>
      <w:bookmarkStart w:id="11" w:name="Seif8"/>
      <w:bookmarkEnd w:id="11"/>
      <w:r>
        <w:rPr>
          <w:lang w:val="he-IL"/>
        </w:rPr>
        <w:pict>
          <v:rect id="_x0000_s1033" style="position:absolute;left:0;text-align:left;margin-left:464.5pt;margin-top:8.05pt;width:75.05pt;height:8pt;z-index:251659264" o:allowincell="f" filled="f" stroked="f" strokecolor="lime" strokeweight=".25pt">
            <v:textbox style="mso-next-textbox:#_x0000_s1033" inset="0,0,0,0">
              <w:txbxContent>
                <w:p w:rsidR="00473F8F" w:rsidRDefault="00473F8F">
                  <w:pPr>
                    <w:spacing w:line="160" w:lineRule="exact"/>
                    <w:jc w:val="left"/>
                    <w:rPr>
                      <w:rFonts w:cs="Miriam"/>
                      <w:noProof/>
                      <w:szCs w:val="18"/>
                      <w:rtl/>
                    </w:rPr>
                  </w:pPr>
                  <w:r>
                    <w:rPr>
                      <w:rFonts w:cs="Miriam"/>
                      <w:szCs w:val="18"/>
                      <w:rtl/>
                    </w:rPr>
                    <w:t>בה</w:t>
                  </w:r>
                  <w:r>
                    <w:rPr>
                      <w:rFonts w:cs="Miriam" w:hint="cs"/>
                      <w:szCs w:val="18"/>
                      <w:rtl/>
                    </w:rPr>
                    <w:t>עדר תשובה</w:t>
                  </w:r>
                </w:p>
              </w:txbxContent>
            </v:textbox>
            <w10:anchorlock/>
          </v:rect>
        </w:pict>
      </w:r>
      <w:r>
        <w:rPr>
          <w:rStyle w:val="big-number"/>
          <w:rFonts w:cs="Miriam"/>
          <w:rtl/>
        </w:rPr>
        <w:t>8.</w:t>
      </w:r>
      <w:r>
        <w:rPr>
          <w:rStyle w:val="big-number"/>
          <w:rFonts w:cs="Miriam"/>
          <w:rtl/>
        </w:rPr>
        <w:tab/>
      </w:r>
      <w:r>
        <w:rPr>
          <w:rStyle w:val="default"/>
          <w:rFonts w:cs="FrankRuehl"/>
          <w:rtl/>
        </w:rPr>
        <w:t>ל</w:t>
      </w:r>
      <w:r>
        <w:rPr>
          <w:rStyle w:val="default"/>
          <w:rFonts w:cs="FrankRuehl" w:hint="cs"/>
          <w:rtl/>
        </w:rPr>
        <w:t>א הגישה המשיבה תשובה כאמור בתקנה 7, לא ייזקק בית המשפט לטענות</w:t>
      </w:r>
      <w:r>
        <w:rPr>
          <w:rStyle w:val="default"/>
          <w:rFonts w:cs="FrankRuehl"/>
          <w:rtl/>
        </w:rPr>
        <w:t>י</w:t>
      </w:r>
      <w:r>
        <w:rPr>
          <w:rStyle w:val="default"/>
          <w:rFonts w:cs="FrankRuehl" w:hint="cs"/>
          <w:rtl/>
        </w:rPr>
        <w:t>ה אלא על פי רשות מיוחדת מאת בית המשפט מטעם מיוחד שיירשם.</w:t>
      </w:r>
    </w:p>
    <w:p w:rsidR="00473F8F" w:rsidRDefault="00473F8F">
      <w:pPr>
        <w:pStyle w:val="P00"/>
        <w:spacing w:before="72"/>
        <w:ind w:left="0" w:right="1134"/>
        <w:rPr>
          <w:rStyle w:val="default"/>
          <w:rFonts w:cs="FrankRuehl"/>
          <w:rtl/>
        </w:rPr>
      </w:pPr>
      <w:bookmarkStart w:id="12" w:name="Seif9"/>
      <w:bookmarkEnd w:id="12"/>
      <w:r>
        <w:rPr>
          <w:lang w:val="he-IL"/>
        </w:rPr>
        <w:pict>
          <v:rect id="_x0000_s1034" style="position:absolute;left:0;text-align:left;margin-left:464.5pt;margin-top:8.05pt;width:75.05pt;height:24pt;z-index:251660288" o:allowincell="f" filled="f" stroked="f" strokecolor="lime" strokeweight=".25pt">
            <v:textbox style="mso-next-textbox:#_x0000_s1034" inset="0,0,0,0">
              <w:txbxContent>
                <w:p w:rsidR="00473F8F" w:rsidRDefault="00473F8F">
                  <w:pPr>
                    <w:spacing w:line="160" w:lineRule="exact"/>
                    <w:jc w:val="left"/>
                    <w:rPr>
                      <w:rFonts w:cs="Miriam"/>
                      <w:noProof/>
                      <w:szCs w:val="18"/>
                      <w:rtl/>
                    </w:rPr>
                  </w:pPr>
                  <w:r>
                    <w:rPr>
                      <w:rFonts w:cs="Miriam"/>
                      <w:szCs w:val="18"/>
                      <w:rtl/>
                    </w:rPr>
                    <w:t>ת</w:t>
                  </w:r>
                  <w:r>
                    <w:rPr>
                      <w:rFonts w:cs="Miriam" w:hint="cs"/>
                      <w:szCs w:val="18"/>
                      <w:rtl/>
                    </w:rPr>
                    <w:t xml:space="preserve">חולת תקנות </w:t>
                  </w:r>
                  <w:r>
                    <w:rPr>
                      <w:rFonts w:cs="Miriam"/>
                      <w:szCs w:val="18"/>
                      <w:rtl/>
                    </w:rPr>
                    <w:t>ס</w:t>
                  </w:r>
                  <w:r>
                    <w:rPr>
                      <w:rFonts w:cs="Miriam" w:hint="cs"/>
                      <w:szCs w:val="18"/>
                      <w:rtl/>
                    </w:rPr>
                    <w:t xml:space="preserve">דר הדין </w:t>
                  </w:r>
                  <w:r>
                    <w:rPr>
                      <w:rFonts w:cs="Miriam"/>
                      <w:szCs w:val="18"/>
                      <w:rtl/>
                    </w:rPr>
                    <w:t>ה</w:t>
                  </w:r>
                  <w:r>
                    <w:rPr>
                      <w:rFonts w:cs="Miriam" w:hint="cs"/>
                      <w:szCs w:val="18"/>
                      <w:rtl/>
                    </w:rPr>
                    <w:t>אזרחי</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איחוד ערעורים, על שמיעת הערעור, על מתן פסק הדין ועל המצאת כתבי בי דין, יחולו הוראות תקנות סדר הדין האזרחי, תשכ"ג-1963, בכפוף לאמור בתקנות אלה ובשינויים המחו</w:t>
      </w:r>
      <w:r>
        <w:rPr>
          <w:rStyle w:val="default"/>
          <w:rFonts w:cs="FrankRuehl"/>
          <w:rtl/>
        </w:rPr>
        <w:t>י</w:t>
      </w:r>
      <w:r>
        <w:rPr>
          <w:rStyle w:val="default"/>
          <w:rFonts w:cs="FrankRuehl" w:hint="cs"/>
          <w:rtl/>
        </w:rPr>
        <w:t>יבים לפי הענין.</w:t>
      </w:r>
    </w:p>
    <w:p w:rsidR="00473F8F" w:rsidRDefault="00473F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ענין שלא נקבע בפרק זה רשאי בית המשפט, לפי שיקול דעתו ואם ראה צורך בכך לעשיית צדק, לנהוג כדרך שהיה נוהג בערעור המתנהל לפניו על פי תקנות סדר הדין האזרחי, תשכ"ג-1963.</w:t>
      </w:r>
    </w:p>
    <w:p w:rsidR="00473F8F" w:rsidRDefault="00473F8F">
      <w:pPr>
        <w:pStyle w:val="medium2-header"/>
        <w:keepLines w:val="0"/>
        <w:spacing w:before="72"/>
        <w:ind w:left="0" w:right="1134"/>
        <w:rPr>
          <w:noProof/>
          <w:sz w:val="20"/>
          <w:rtl/>
        </w:rPr>
      </w:pPr>
      <w:bookmarkStart w:id="13" w:name="med2"/>
      <w:bookmarkEnd w:id="13"/>
      <w:r>
        <w:rPr>
          <w:noProof/>
          <w:sz w:val="20"/>
          <w:rtl/>
        </w:rPr>
        <w:lastRenderedPageBreak/>
        <w:t>פ</w:t>
      </w:r>
      <w:r>
        <w:rPr>
          <w:rFonts w:hint="cs"/>
          <w:noProof/>
          <w:sz w:val="20"/>
          <w:rtl/>
        </w:rPr>
        <w:t>רק ג': שונות</w:t>
      </w:r>
    </w:p>
    <w:p w:rsidR="00473F8F" w:rsidRDefault="00473F8F">
      <w:pPr>
        <w:pStyle w:val="P00"/>
        <w:spacing w:before="72"/>
        <w:ind w:left="0" w:right="1134"/>
        <w:rPr>
          <w:rStyle w:val="default"/>
          <w:rFonts w:cs="FrankRuehl"/>
          <w:rtl/>
        </w:rPr>
      </w:pPr>
      <w:bookmarkStart w:id="14" w:name="Seif10"/>
      <w:bookmarkEnd w:id="14"/>
      <w:r>
        <w:rPr>
          <w:lang w:val="he-IL"/>
        </w:rPr>
        <w:pict>
          <v:rect id="_x0000_s1035" style="position:absolute;left:0;text-align:left;margin-left:464.5pt;margin-top:8.05pt;width:75.05pt;height:8pt;z-index:251661312" o:allowincell="f" filled="f" stroked="f" strokecolor="lime" strokeweight=".25pt">
            <v:textbox style="mso-next-textbox:#_x0000_s1035" inset="0,0,0,0">
              <w:txbxContent>
                <w:p w:rsidR="00473F8F" w:rsidRDefault="00473F8F">
                  <w:pPr>
                    <w:spacing w:line="160" w:lineRule="exact"/>
                    <w:jc w:val="left"/>
                    <w:rPr>
                      <w:rFonts w:cs="Miriam"/>
                      <w:noProof/>
                      <w:szCs w:val="18"/>
                      <w:rtl/>
                    </w:rPr>
                  </w:pPr>
                  <w:r>
                    <w:rPr>
                      <w:rFonts w:cs="Miriam"/>
                      <w:szCs w:val="18"/>
                      <w:rtl/>
                    </w:rPr>
                    <w:t>א</w:t>
                  </w:r>
                  <w:r>
                    <w:rPr>
                      <w:rFonts w:cs="Miriam" w:hint="cs"/>
                      <w:szCs w:val="18"/>
                      <w:rtl/>
                    </w:rPr>
                    <w:t>גרות</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עד כל הליך ישולמו האגרות הקבועות לכך ל</w:t>
      </w:r>
      <w:r>
        <w:rPr>
          <w:rStyle w:val="default"/>
          <w:rFonts w:cs="FrankRuehl"/>
          <w:rtl/>
        </w:rPr>
        <w:t>פ</w:t>
      </w:r>
      <w:r>
        <w:rPr>
          <w:rStyle w:val="default"/>
          <w:rFonts w:cs="FrankRuehl" w:hint="cs"/>
          <w:rtl/>
        </w:rPr>
        <w:t>י תקנות בית המשפט (אגרות), תשכ"ח</w:t>
      </w:r>
      <w:r>
        <w:rPr>
          <w:rStyle w:val="default"/>
          <w:rFonts w:cs="FrankRuehl"/>
          <w:rtl/>
        </w:rPr>
        <w:t>–</w:t>
      </w:r>
      <w:r>
        <w:rPr>
          <w:rStyle w:val="default"/>
          <w:rFonts w:cs="FrankRuehl" w:hint="cs"/>
          <w:rtl/>
        </w:rPr>
        <w:t>1967.</w:t>
      </w:r>
    </w:p>
    <w:p w:rsidR="00473F8F" w:rsidRDefault="00473F8F">
      <w:pPr>
        <w:pStyle w:val="P00"/>
        <w:spacing w:before="72"/>
        <w:ind w:left="0" w:right="1134"/>
        <w:rPr>
          <w:rStyle w:val="default"/>
          <w:rFonts w:cs="FrankRuehl" w:hint="cs"/>
          <w:rtl/>
        </w:rPr>
      </w:pPr>
      <w:r>
        <w:rPr>
          <w:lang w:val="he-IL"/>
        </w:rPr>
        <w:pict>
          <v:rect id="_x0000_s1036" style="position:absolute;left:0;text-align:left;margin-left:464.5pt;margin-top:8.05pt;width:75.05pt;height:8pt;z-index:251662336" o:allowincell="f" filled="f" stroked="f" strokecolor="lime" strokeweight=".25pt">
            <v:textbox style="mso-next-textbox:#_x0000_s1036" inset="0,0,0,0">
              <w:txbxContent>
                <w:p w:rsidR="00473F8F" w:rsidRDefault="00473F8F">
                  <w:pPr>
                    <w:spacing w:line="160" w:lineRule="exact"/>
                    <w:jc w:val="left"/>
                    <w:rPr>
                      <w:rFonts w:cs="Miriam" w:hint="cs"/>
                      <w:noProof/>
                      <w:szCs w:val="18"/>
                      <w:rtl/>
                    </w:rPr>
                  </w:pPr>
                  <w:r>
                    <w:rPr>
                      <w:rFonts w:cs="Miriam" w:hint="cs"/>
                      <w:szCs w:val="18"/>
                      <w:rtl/>
                    </w:rPr>
                    <w:t>תק' תשס"ב-2002</w:t>
                  </w:r>
                </w:p>
              </w:txbxContent>
            </v:textbox>
            <w10:anchorlock/>
          </v:rect>
        </w:pict>
      </w:r>
      <w:r>
        <w:rPr>
          <w:rStyle w:val="big-number"/>
          <w:rFonts w:cs="Miriam"/>
          <w:rtl/>
        </w:rPr>
        <w:t>11.</w:t>
      </w:r>
      <w:r>
        <w:rPr>
          <w:rStyle w:val="big-number"/>
          <w:rFonts w:cs="Miriam"/>
          <w:rtl/>
        </w:rPr>
        <w:tab/>
      </w:r>
      <w:r>
        <w:rPr>
          <w:rStyle w:val="default"/>
          <w:rFonts w:cs="FrankRuehl" w:hint="cs"/>
          <w:rtl/>
        </w:rPr>
        <w:t>(בוטלה).</w:t>
      </w:r>
    </w:p>
    <w:p w:rsidR="00473F8F" w:rsidRDefault="00473F8F">
      <w:pPr>
        <w:pStyle w:val="P00"/>
        <w:spacing w:before="0"/>
        <w:ind w:left="0" w:right="1134"/>
        <w:rPr>
          <w:rFonts w:hint="cs"/>
          <w:b/>
          <w:bCs/>
          <w:vanish/>
          <w:szCs w:val="20"/>
          <w:shd w:val="clear" w:color="auto" w:fill="FFFF99"/>
          <w:rtl/>
        </w:rPr>
      </w:pPr>
      <w:bookmarkStart w:id="15" w:name="Rov16"/>
      <w:r>
        <w:rPr>
          <w:rFonts w:hint="cs"/>
          <w:vanish/>
          <w:color w:val="FF0000"/>
          <w:szCs w:val="20"/>
          <w:shd w:val="clear" w:color="auto" w:fill="FFFF99"/>
          <w:rtl/>
        </w:rPr>
        <w:t>מיום 11.7.2002</w:t>
      </w:r>
    </w:p>
    <w:p w:rsidR="00473F8F" w:rsidRDefault="00473F8F">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תשס"ב-2002</w:t>
      </w:r>
    </w:p>
    <w:p w:rsidR="00473F8F" w:rsidRDefault="00473F8F">
      <w:pPr>
        <w:pStyle w:val="big-header"/>
        <w:spacing w:before="0" w:after="0"/>
        <w:ind w:left="0" w:right="1134"/>
        <w:jc w:val="left"/>
        <w:rPr>
          <w:rFonts w:hint="cs"/>
          <w:vanish/>
          <w:szCs w:val="20"/>
          <w:shd w:val="clear" w:color="auto" w:fill="FFFF99"/>
          <w:rtl/>
        </w:rPr>
      </w:pPr>
      <w:hyperlink r:id="rId8" w:history="1">
        <w:r>
          <w:rPr>
            <w:rStyle w:val="Hyperlink"/>
            <w:rFonts w:hint="cs"/>
            <w:vanish/>
            <w:szCs w:val="20"/>
            <w:shd w:val="clear" w:color="auto" w:fill="FFFF99"/>
            <w:rtl/>
          </w:rPr>
          <w:t>ק"ת תשס"ב מס' 6174</w:t>
        </w:r>
      </w:hyperlink>
      <w:r>
        <w:rPr>
          <w:rFonts w:hint="cs"/>
          <w:vanish/>
          <w:szCs w:val="20"/>
          <w:shd w:val="clear" w:color="auto" w:fill="FFFF99"/>
          <w:rtl/>
        </w:rPr>
        <w:t xml:space="preserve"> מיום 11.6.2002 עמ' 804</w:t>
      </w:r>
    </w:p>
    <w:p w:rsidR="00473F8F" w:rsidRDefault="00473F8F">
      <w:pPr>
        <w:pStyle w:val="big-header"/>
        <w:spacing w:before="0" w:after="0"/>
        <w:ind w:left="0" w:right="1134"/>
        <w:jc w:val="left"/>
        <w:rPr>
          <w:rFonts w:hint="cs"/>
          <w:b/>
          <w:bCs/>
          <w:vanish/>
          <w:szCs w:val="20"/>
          <w:shd w:val="clear" w:color="auto" w:fill="FFFF99"/>
          <w:rtl/>
        </w:rPr>
      </w:pPr>
      <w:r>
        <w:rPr>
          <w:rFonts w:hint="cs"/>
          <w:b/>
          <w:bCs/>
          <w:vanish/>
          <w:szCs w:val="20"/>
          <w:shd w:val="clear" w:color="auto" w:fill="FFFF99"/>
          <w:rtl/>
        </w:rPr>
        <w:t>ביטול תקנה 11</w:t>
      </w:r>
    </w:p>
    <w:p w:rsidR="00473F8F" w:rsidRDefault="00473F8F">
      <w:pPr>
        <w:pStyle w:val="big-header"/>
        <w:spacing w:before="60" w:after="0"/>
        <w:ind w:left="0" w:right="1134"/>
        <w:jc w:val="left"/>
        <w:rPr>
          <w:rFonts w:hint="cs"/>
          <w:vanish/>
          <w:szCs w:val="20"/>
          <w:shd w:val="clear" w:color="auto" w:fill="FFFF99"/>
          <w:rtl/>
        </w:rPr>
      </w:pPr>
      <w:r>
        <w:rPr>
          <w:rFonts w:hint="cs"/>
          <w:vanish/>
          <w:szCs w:val="20"/>
          <w:shd w:val="clear" w:color="auto" w:fill="FFFF99"/>
          <w:rtl/>
        </w:rPr>
        <w:t>הנוסח הקודם:</w:t>
      </w:r>
    </w:p>
    <w:p w:rsidR="00473F8F" w:rsidRDefault="00473F8F">
      <w:pPr>
        <w:pStyle w:val="big-header"/>
        <w:spacing w:before="20" w:after="0"/>
        <w:ind w:left="0" w:right="1134"/>
        <w:jc w:val="left"/>
        <w:rPr>
          <w:rFonts w:cs="Miriam" w:hint="cs"/>
          <w:strike/>
          <w:vanish/>
          <w:sz w:val="16"/>
          <w:szCs w:val="16"/>
          <w:shd w:val="clear" w:color="auto" w:fill="FFFF99"/>
          <w:rtl/>
        </w:rPr>
      </w:pPr>
      <w:r>
        <w:rPr>
          <w:rFonts w:cs="Miriam" w:hint="cs"/>
          <w:strike/>
          <w:vanish/>
          <w:sz w:val="16"/>
          <w:szCs w:val="16"/>
          <w:shd w:val="clear" w:color="auto" w:fill="FFFF99"/>
          <w:rtl/>
        </w:rPr>
        <w:t>השם</w:t>
      </w:r>
    </w:p>
    <w:p w:rsidR="00473F8F" w:rsidRDefault="00473F8F">
      <w:pPr>
        <w:pStyle w:val="big-header"/>
        <w:spacing w:before="0" w:after="0"/>
        <w:ind w:left="0" w:right="1134"/>
        <w:jc w:val="left"/>
        <w:rPr>
          <w:rFonts w:hint="cs"/>
          <w:strike/>
          <w:sz w:val="2"/>
          <w:szCs w:val="2"/>
          <w:rtl/>
        </w:rPr>
      </w:pPr>
      <w:r>
        <w:rPr>
          <w:rFonts w:hint="cs"/>
          <w:strike/>
          <w:vanish/>
          <w:sz w:val="22"/>
          <w:szCs w:val="22"/>
          <w:shd w:val="clear" w:color="auto" w:fill="FFFF99"/>
          <w:rtl/>
        </w:rPr>
        <w:t>11.</w:t>
      </w:r>
      <w:r>
        <w:rPr>
          <w:rFonts w:hint="cs"/>
          <w:strike/>
          <w:vanish/>
          <w:sz w:val="22"/>
          <w:szCs w:val="22"/>
          <w:shd w:val="clear" w:color="auto" w:fill="FFFF99"/>
          <w:rtl/>
        </w:rPr>
        <w:tab/>
        <w:t>לתקנות אלה ייקרא "תקנות סדרי דין (ניירות ערך), תשל"א-1970".</w:t>
      </w:r>
      <w:bookmarkEnd w:id="15"/>
    </w:p>
    <w:p w:rsidR="00473F8F" w:rsidRDefault="00473F8F">
      <w:pPr>
        <w:pStyle w:val="P00"/>
        <w:spacing w:before="72"/>
        <w:ind w:left="0" w:right="1134"/>
        <w:rPr>
          <w:rStyle w:val="default"/>
          <w:rFonts w:cs="FrankRuehl"/>
          <w:rtl/>
        </w:rPr>
      </w:pPr>
    </w:p>
    <w:p w:rsidR="00473F8F" w:rsidRDefault="00473F8F">
      <w:pPr>
        <w:pStyle w:val="sig-0"/>
        <w:ind w:left="0" w:right="1134"/>
        <w:rPr>
          <w:rtl/>
        </w:rPr>
      </w:pPr>
      <w:r>
        <w:rPr>
          <w:rtl/>
        </w:rPr>
        <w:t>כ</w:t>
      </w:r>
      <w:r>
        <w:rPr>
          <w:rFonts w:hint="cs"/>
          <w:rtl/>
        </w:rPr>
        <w:t>"ט בתשרי תשל"א (29 באוקטובר 1970)</w:t>
      </w:r>
      <w:r>
        <w:rPr>
          <w:rtl/>
        </w:rPr>
        <w:tab/>
      </w:r>
      <w:r>
        <w:rPr>
          <w:rFonts w:hint="cs"/>
          <w:rtl/>
        </w:rPr>
        <w:t>יעקב ש' שפירא</w:t>
      </w:r>
    </w:p>
    <w:p w:rsidR="00473F8F" w:rsidRDefault="00473F8F">
      <w:pPr>
        <w:pStyle w:val="sig-1"/>
        <w:widowControl/>
        <w:ind w:left="0" w:right="1134"/>
        <w:rPr>
          <w:rtl/>
        </w:rPr>
      </w:pPr>
      <w:r>
        <w:rPr>
          <w:rtl/>
        </w:rPr>
        <w:tab/>
      </w:r>
      <w:r>
        <w:rPr>
          <w:rtl/>
        </w:rPr>
        <w:tab/>
      </w:r>
      <w:r>
        <w:rPr>
          <w:rtl/>
        </w:rPr>
        <w:tab/>
      </w:r>
      <w:r>
        <w:rPr>
          <w:rFonts w:hint="cs"/>
          <w:rtl/>
        </w:rPr>
        <w:t>שר המשפטים</w:t>
      </w:r>
    </w:p>
    <w:p w:rsidR="00473F8F" w:rsidRDefault="00473F8F">
      <w:pPr>
        <w:pStyle w:val="P00"/>
        <w:spacing w:before="72"/>
        <w:ind w:left="0" w:right="1134"/>
        <w:rPr>
          <w:rStyle w:val="default"/>
          <w:rFonts w:cs="FrankRuehl"/>
          <w:rtl/>
        </w:rPr>
      </w:pPr>
    </w:p>
    <w:p w:rsidR="00473F8F" w:rsidRDefault="00473F8F">
      <w:pPr>
        <w:pStyle w:val="P00"/>
        <w:spacing w:before="72"/>
        <w:ind w:left="0" w:right="1134"/>
        <w:rPr>
          <w:rStyle w:val="default"/>
          <w:rFonts w:cs="FrankRuehl"/>
          <w:rtl/>
        </w:rPr>
      </w:pPr>
    </w:p>
    <w:p w:rsidR="00473F8F" w:rsidRDefault="00473F8F">
      <w:pPr>
        <w:pStyle w:val="P00"/>
        <w:spacing w:before="72"/>
        <w:ind w:left="0" w:right="1134"/>
        <w:rPr>
          <w:rStyle w:val="default"/>
          <w:rFonts w:cs="FrankRuehl"/>
          <w:rtl/>
        </w:rPr>
      </w:pPr>
      <w:bookmarkStart w:id="16" w:name="LawPartEnd"/>
    </w:p>
    <w:bookmarkEnd w:id="16"/>
    <w:p w:rsidR="00650C86" w:rsidRDefault="00650C86">
      <w:pPr>
        <w:pStyle w:val="P00"/>
        <w:spacing w:before="72"/>
        <w:ind w:left="0" w:right="1134"/>
        <w:rPr>
          <w:rStyle w:val="default"/>
          <w:rFonts w:cs="FrankRuehl"/>
          <w:rtl/>
        </w:rPr>
      </w:pPr>
    </w:p>
    <w:p w:rsidR="00650C86" w:rsidRDefault="00650C86">
      <w:pPr>
        <w:pStyle w:val="P00"/>
        <w:spacing w:before="72"/>
        <w:ind w:left="0" w:right="1134"/>
        <w:rPr>
          <w:rStyle w:val="default"/>
          <w:rFonts w:cs="FrankRuehl"/>
          <w:rtl/>
        </w:rPr>
      </w:pPr>
    </w:p>
    <w:p w:rsidR="00650C86" w:rsidRDefault="00650C86" w:rsidP="00650C86">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473F8F" w:rsidRPr="00650C86" w:rsidRDefault="00473F8F" w:rsidP="00650C86">
      <w:pPr>
        <w:pStyle w:val="P00"/>
        <w:spacing w:before="72"/>
        <w:ind w:left="0" w:right="1134"/>
        <w:jc w:val="center"/>
        <w:rPr>
          <w:rStyle w:val="default"/>
          <w:rFonts w:cs="David"/>
          <w:color w:val="0000FF"/>
          <w:szCs w:val="24"/>
          <w:u w:val="single"/>
          <w:rtl/>
        </w:rPr>
      </w:pPr>
    </w:p>
    <w:sectPr w:rsidR="00473F8F" w:rsidRPr="00650C86">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01A6" w:rsidRDefault="009501A6">
      <w:r>
        <w:separator/>
      </w:r>
    </w:p>
  </w:endnote>
  <w:endnote w:type="continuationSeparator" w:id="0">
    <w:p w:rsidR="009501A6" w:rsidRDefault="00950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F8F" w:rsidRDefault="00473F8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73F8F" w:rsidRDefault="00473F8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73F8F" w:rsidRDefault="00473F8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0C86">
      <w:rPr>
        <w:rFonts w:cs="TopType Jerushalmi"/>
        <w:noProof/>
        <w:color w:val="000000"/>
        <w:sz w:val="14"/>
        <w:szCs w:val="14"/>
      </w:rPr>
      <w:t>Z:\00000000000000000000000=2014------------------------\05-May\2014-05-28\LawsForHofit\01\308_021.doc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F8F" w:rsidRDefault="00473F8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50C86">
      <w:rPr>
        <w:rFonts w:hAnsi="FrankRuehl" w:cs="FrankRuehl"/>
        <w:noProof/>
        <w:sz w:val="24"/>
        <w:szCs w:val="24"/>
        <w:rtl/>
      </w:rPr>
      <w:t>3</w:t>
    </w:r>
    <w:r>
      <w:rPr>
        <w:rFonts w:hAnsi="FrankRuehl" w:cs="FrankRuehl"/>
        <w:sz w:val="24"/>
        <w:szCs w:val="24"/>
        <w:rtl/>
      </w:rPr>
      <w:fldChar w:fldCharType="end"/>
    </w:r>
  </w:p>
  <w:p w:rsidR="00473F8F" w:rsidRDefault="00473F8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73F8F" w:rsidRDefault="00473F8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0C86">
      <w:rPr>
        <w:rFonts w:cs="TopType Jerushalmi"/>
        <w:noProof/>
        <w:color w:val="000000"/>
        <w:sz w:val="14"/>
        <w:szCs w:val="14"/>
      </w:rPr>
      <w:t>Z:\00000000000000000000000=2014------------------------\05-May\2014-05-28\LawsForHofit\01\308_021.doc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01A6" w:rsidRDefault="009501A6">
      <w:pPr>
        <w:spacing w:before="60" w:line="240" w:lineRule="auto"/>
        <w:ind w:right="1134"/>
      </w:pPr>
      <w:r>
        <w:separator/>
      </w:r>
    </w:p>
  </w:footnote>
  <w:footnote w:type="continuationSeparator" w:id="0">
    <w:p w:rsidR="009501A6" w:rsidRDefault="009501A6">
      <w:pPr>
        <w:spacing w:before="60" w:line="240" w:lineRule="auto"/>
        <w:ind w:right="1134"/>
      </w:pPr>
      <w:r>
        <w:separator/>
      </w:r>
    </w:p>
  </w:footnote>
  <w:footnote w:id="1">
    <w:p w:rsidR="00473F8F" w:rsidRDefault="00473F8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w:t>
        </w:r>
        <w:r>
          <w:rPr>
            <w:rStyle w:val="Hyperlink"/>
            <w:rFonts w:hint="cs"/>
            <w:sz w:val="20"/>
            <w:rtl/>
          </w:rPr>
          <w:t>"</w:t>
        </w:r>
        <w:r>
          <w:rPr>
            <w:rStyle w:val="Hyperlink"/>
            <w:rFonts w:hint="cs"/>
            <w:sz w:val="20"/>
            <w:rtl/>
          </w:rPr>
          <w:t xml:space="preserve">א </w:t>
        </w:r>
        <w:r>
          <w:rPr>
            <w:rStyle w:val="Hyperlink"/>
            <w:rFonts w:hint="cs"/>
            <w:sz w:val="20"/>
            <w:rtl/>
          </w:rPr>
          <w:t>מ</w:t>
        </w:r>
        <w:r>
          <w:rPr>
            <w:rStyle w:val="Hyperlink"/>
            <w:rFonts w:hint="cs"/>
            <w:sz w:val="20"/>
            <w:rtl/>
          </w:rPr>
          <w:t>ס' 2632</w:t>
        </w:r>
      </w:hyperlink>
      <w:r>
        <w:rPr>
          <w:rFonts w:hint="cs"/>
          <w:sz w:val="20"/>
          <w:rtl/>
        </w:rPr>
        <w:t xml:space="preserve"> מיום 12.11.1970 עמ' 128.</w:t>
      </w:r>
    </w:p>
    <w:p w:rsidR="00473F8F" w:rsidRDefault="00473F8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תשס"ב מ</w:t>
        </w:r>
        <w:r>
          <w:rPr>
            <w:rStyle w:val="Hyperlink"/>
            <w:rFonts w:hint="cs"/>
            <w:sz w:val="20"/>
            <w:rtl/>
          </w:rPr>
          <w:t>ס</w:t>
        </w:r>
        <w:r>
          <w:rPr>
            <w:rStyle w:val="Hyperlink"/>
            <w:rFonts w:hint="cs"/>
            <w:sz w:val="20"/>
            <w:rtl/>
          </w:rPr>
          <w:t>'</w:t>
        </w:r>
        <w:r>
          <w:rPr>
            <w:rStyle w:val="Hyperlink"/>
            <w:rFonts w:hint="cs"/>
            <w:sz w:val="20"/>
            <w:rtl/>
          </w:rPr>
          <w:t xml:space="preserve"> 6174</w:t>
        </w:r>
      </w:hyperlink>
      <w:r>
        <w:rPr>
          <w:rFonts w:hint="cs"/>
          <w:sz w:val="20"/>
          <w:rtl/>
        </w:rPr>
        <w:t xml:space="preserve"> מיום 11.6.2002 עמ' 804 </w:t>
      </w:r>
      <w:r>
        <w:rPr>
          <w:sz w:val="20"/>
          <w:rtl/>
        </w:rPr>
        <w:t>–</w:t>
      </w:r>
      <w:r>
        <w:rPr>
          <w:rFonts w:hint="cs"/>
          <w:sz w:val="20"/>
          <w:rtl/>
        </w:rPr>
        <w:t xml:space="preserve"> תק' תשס"ב-2002; תחילתן שלושים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F8F" w:rsidRDefault="00473F8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סדרי דין (ניירות ערך), תשל"א–1970</w:t>
    </w:r>
  </w:p>
  <w:p w:rsidR="00473F8F" w:rsidRDefault="00473F8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73F8F" w:rsidRDefault="00473F8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F8F" w:rsidRDefault="00473F8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סדרי דין (ניירות ערך), תשל"א</w:t>
    </w:r>
    <w:r>
      <w:rPr>
        <w:rFonts w:hAnsi="FrankRuehl" w:cs="FrankRuehl" w:hint="cs"/>
        <w:color w:val="000000"/>
        <w:sz w:val="28"/>
        <w:szCs w:val="28"/>
        <w:rtl/>
      </w:rPr>
      <w:t>-</w:t>
    </w:r>
    <w:r>
      <w:rPr>
        <w:rFonts w:hAnsi="FrankRuehl" w:cs="FrankRuehl"/>
        <w:color w:val="000000"/>
        <w:sz w:val="28"/>
        <w:szCs w:val="28"/>
        <w:rtl/>
      </w:rPr>
      <w:t>1970</w:t>
    </w:r>
  </w:p>
  <w:p w:rsidR="00473F8F" w:rsidRDefault="00473F8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73F8F" w:rsidRDefault="00473F8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3F8F"/>
    <w:rsid w:val="0003408B"/>
    <w:rsid w:val="00473F8F"/>
    <w:rsid w:val="00650C86"/>
    <w:rsid w:val="00780D34"/>
    <w:rsid w:val="009501A6"/>
    <w:rsid w:val="00F04F3A"/>
    <w:rsid w:val="00FA7A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9CBF2ADF-990B-4367-A670-61AC4D04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174.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174.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174.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174.pdf" TargetMode="External"/><Relationship Id="rId1" Type="http://schemas.openxmlformats.org/officeDocument/2006/relationships/hyperlink" Target="http://www.nevo.co.il/Law_word/law06/TAK-26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308</vt:lpstr>
    </vt:vector>
  </TitlesOfParts>
  <Company/>
  <LinksUpToDate>false</LinksUpToDate>
  <CharactersWithSpaces>4318</CharactersWithSpaces>
  <SharedDoc>false</SharedDoc>
  <HLinks>
    <vt:vector size="114" baseType="variant">
      <vt:variant>
        <vt:i4>393283</vt:i4>
      </vt:variant>
      <vt:variant>
        <vt:i4>87</vt:i4>
      </vt:variant>
      <vt:variant>
        <vt:i4>0</vt:i4>
      </vt:variant>
      <vt:variant>
        <vt:i4>5</vt:i4>
      </vt:variant>
      <vt:variant>
        <vt:lpwstr>http://www.nevo.co.il/advertisements/nevo-100.doc</vt:lpwstr>
      </vt:variant>
      <vt:variant>
        <vt:lpwstr/>
      </vt:variant>
      <vt:variant>
        <vt:i4>7864333</vt:i4>
      </vt:variant>
      <vt:variant>
        <vt:i4>84</vt:i4>
      </vt:variant>
      <vt:variant>
        <vt:i4>0</vt:i4>
      </vt:variant>
      <vt:variant>
        <vt:i4>5</vt:i4>
      </vt:variant>
      <vt:variant>
        <vt:lpwstr>http://www.nevo.co.il/Law_word/law06/TAK-6174.pdf</vt:lpwstr>
      </vt:variant>
      <vt:variant>
        <vt:lpwstr/>
      </vt:variant>
      <vt:variant>
        <vt:i4>7864333</vt:i4>
      </vt:variant>
      <vt:variant>
        <vt:i4>81</vt:i4>
      </vt:variant>
      <vt:variant>
        <vt:i4>0</vt:i4>
      </vt:variant>
      <vt:variant>
        <vt:i4>5</vt:i4>
      </vt:variant>
      <vt:variant>
        <vt:lpwstr>http://www.nevo.co.il/Law_word/law06/TAK-6174.pdf</vt:lpwstr>
      </vt:variant>
      <vt:variant>
        <vt:lpwstr/>
      </vt:variant>
      <vt:variant>
        <vt:i4>7864333</vt:i4>
      </vt:variant>
      <vt:variant>
        <vt:i4>78</vt:i4>
      </vt:variant>
      <vt:variant>
        <vt:i4>0</vt:i4>
      </vt:variant>
      <vt:variant>
        <vt:i4>5</vt:i4>
      </vt:variant>
      <vt:variant>
        <vt:lpwstr>http://www.nevo.co.il/Law_word/law06/TAK-6174.pdf</vt:lpwstr>
      </vt:variant>
      <vt:variant>
        <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7864333</vt:i4>
      </vt:variant>
      <vt:variant>
        <vt:i4>3</vt:i4>
      </vt:variant>
      <vt:variant>
        <vt:i4>0</vt:i4>
      </vt:variant>
      <vt:variant>
        <vt:i4>5</vt:i4>
      </vt:variant>
      <vt:variant>
        <vt:lpwstr>http://www.nevo.co.il/Law_word/law06/TAK-6174.pdf</vt:lpwstr>
      </vt:variant>
      <vt:variant>
        <vt:lpwstr/>
      </vt:variant>
      <vt:variant>
        <vt:i4>7864332</vt:i4>
      </vt:variant>
      <vt:variant>
        <vt:i4>0</vt:i4>
      </vt:variant>
      <vt:variant>
        <vt:i4>0</vt:i4>
      </vt:variant>
      <vt:variant>
        <vt:i4>5</vt:i4>
      </vt:variant>
      <vt:variant>
        <vt:lpwstr>http://www.nevo.co.il/Law_word/law06/TAK-2632.pdf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(סדרי דין), תשל"א-1970 - רבדים</vt:lpwstr>
  </property>
  <property fmtid="{D5CDD505-2E9C-101B-9397-08002B2CF9AE}" pid="5" name="LAWNUMBER">
    <vt:lpwstr>0021</vt:lpwstr>
  </property>
  <property fmtid="{D5CDD505-2E9C-101B-9397-08002B2CF9AE}" pid="6" name="TYPE">
    <vt:lpwstr>01</vt:lpwstr>
  </property>
  <property fmtid="{D5CDD505-2E9C-101B-9397-08002B2CF9AE}" pid="7" name="MEKOR_NAME1">
    <vt:lpwstr>חוק ניירות ערך</vt:lpwstr>
  </property>
  <property fmtid="{D5CDD505-2E9C-101B-9397-08002B2CF9AE}" pid="8" name="MEKOR_SAIF1">
    <vt:lpwstr>56XבX</vt:lpwstr>
  </property>
  <property fmtid="{D5CDD505-2E9C-101B-9397-08002B2CF9AE}" pid="9" name="NOSE11">
    <vt:lpwstr>משפט פרטי וכלכלה</vt:lpwstr>
  </property>
  <property fmtid="{D5CDD505-2E9C-101B-9397-08002B2CF9AE}" pid="10" name="NOSE21">
    <vt:lpwstr>תאגידים וניירות ערך</vt:lpwstr>
  </property>
  <property fmtid="{D5CDD505-2E9C-101B-9397-08002B2CF9AE}" pid="11" name="NOSE31">
    <vt:lpwstr>ניירות ערך</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