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C34" w:rsidRDefault="00EB6C34">
      <w:pPr>
        <w:pStyle w:val="big-header"/>
        <w:ind w:left="0" w:right="1134"/>
        <w:rPr>
          <w:rFonts w:hint="cs"/>
          <w:rtl/>
        </w:rPr>
      </w:pPr>
      <w:r>
        <w:rPr>
          <w:rtl/>
        </w:rPr>
        <w:t xml:space="preserve">תקנות ניירות ערך (קביעת תקופת רישום למסחר בבורסה בחו"ל), </w:t>
      </w:r>
      <w:r>
        <w:rPr>
          <w:rFonts w:hint="cs"/>
          <w:rtl/>
        </w:rPr>
        <w:br/>
      </w:r>
      <w:r>
        <w:rPr>
          <w:rtl/>
        </w:rPr>
        <w:t>תשס"א</w:t>
      </w:r>
      <w:r>
        <w:rPr>
          <w:rFonts w:hint="cs"/>
          <w:rtl/>
        </w:rPr>
        <w:t>-</w:t>
      </w:r>
      <w:r>
        <w:rPr>
          <w:rtl/>
        </w:rPr>
        <w:t>2000</w:t>
      </w:r>
    </w:p>
    <w:p w:rsidR="00EB6C34" w:rsidRDefault="00EB6C34">
      <w:pPr>
        <w:pStyle w:val="big-header"/>
        <w:ind w:left="0" w:right="1134"/>
        <w:rPr>
          <w:color w:val="008000"/>
        </w:rPr>
      </w:pPr>
      <w:r>
        <w:rPr>
          <w:rFonts w:hint="cs"/>
          <w:color w:val="008000"/>
          <w:rtl/>
        </w:rPr>
        <w:t>רבדים בחקיקה</w:t>
      </w:r>
    </w:p>
    <w:p w:rsidR="00D307C8" w:rsidRDefault="00D307C8" w:rsidP="00D307C8">
      <w:pPr>
        <w:spacing w:line="320" w:lineRule="auto"/>
        <w:jc w:val="left"/>
        <w:rPr>
          <w:rtl/>
        </w:rPr>
      </w:pPr>
    </w:p>
    <w:p w:rsidR="00D307C8" w:rsidRDefault="00D307C8" w:rsidP="00D307C8">
      <w:pPr>
        <w:spacing w:line="320" w:lineRule="auto"/>
        <w:jc w:val="left"/>
        <w:rPr>
          <w:rFonts w:cs="FrankRuehl"/>
          <w:szCs w:val="26"/>
          <w:rtl/>
        </w:rPr>
      </w:pPr>
      <w:r w:rsidRPr="00D307C8">
        <w:rPr>
          <w:rFonts w:cs="Miriam"/>
          <w:szCs w:val="22"/>
          <w:rtl/>
        </w:rPr>
        <w:t>משפט פרטי וכלכלה</w:t>
      </w:r>
      <w:r w:rsidRPr="00D307C8">
        <w:rPr>
          <w:rFonts w:cs="FrankRuehl"/>
          <w:szCs w:val="26"/>
          <w:rtl/>
        </w:rPr>
        <w:t xml:space="preserve"> – מסחר  – בורסה</w:t>
      </w:r>
    </w:p>
    <w:p w:rsidR="00D307C8" w:rsidRPr="00D307C8" w:rsidRDefault="00D307C8" w:rsidP="00D307C8">
      <w:pPr>
        <w:spacing w:line="320" w:lineRule="auto"/>
        <w:jc w:val="left"/>
        <w:rPr>
          <w:rFonts w:cs="Miriam"/>
          <w:szCs w:val="22"/>
        </w:rPr>
      </w:pPr>
      <w:r w:rsidRPr="00D307C8">
        <w:rPr>
          <w:rFonts w:cs="Miriam"/>
          <w:szCs w:val="22"/>
          <w:rtl/>
        </w:rPr>
        <w:t>משפט פרטי וכלכלה</w:t>
      </w:r>
      <w:r w:rsidRPr="00D307C8">
        <w:rPr>
          <w:rFonts w:cs="FrankRuehl"/>
          <w:szCs w:val="26"/>
          <w:rtl/>
        </w:rPr>
        <w:t xml:space="preserve"> – תאגידים וניירות ערך – ניירות ערך</w:t>
      </w:r>
    </w:p>
    <w:p w:rsidR="00EB6C34" w:rsidRDefault="00EB6C34">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B6C34">
        <w:tblPrEx>
          <w:tblCellMar>
            <w:top w:w="0" w:type="dxa"/>
            <w:bottom w:w="0" w:type="dxa"/>
          </w:tblCellMar>
        </w:tblPrEx>
        <w:trPr>
          <w:jc w:val="right"/>
        </w:trPr>
        <w:tc>
          <w:tcPr>
            <w:tcW w:w="850" w:type="dxa"/>
          </w:tcPr>
          <w:p w:rsidR="00EB6C34" w:rsidRDefault="00EB6C34">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B6C34" w:rsidRDefault="00EB6C34">
            <w:pPr>
              <w:spacing w:line="240" w:lineRule="auto"/>
              <w:jc w:val="left"/>
              <w:rPr>
                <w:sz w:val="24"/>
              </w:rPr>
            </w:pPr>
            <w:hyperlink w:anchor="Seif0" w:tooltip="הגדרות" w:history="1">
              <w:r>
                <w:rPr>
                  <w:rStyle w:val="Hyperlink"/>
                </w:rPr>
                <w:t>Go</w:t>
              </w:r>
            </w:hyperlink>
          </w:p>
        </w:tc>
        <w:tc>
          <w:tcPr>
            <w:tcW w:w="5669" w:type="dxa"/>
          </w:tcPr>
          <w:p w:rsidR="00EB6C34" w:rsidRDefault="00EB6C34">
            <w:pPr>
              <w:spacing w:line="240" w:lineRule="auto"/>
              <w:jc w:val="left"/>
              <w:rPr>
                <w:sz w:val="24"/>
                <w:rtl/>
              </w:rPr>
            </w:pPr>
            <w:r>
              <w:rPr>
                <w:sz w:val="24"/>
                <w:rtl/>
              </w:rPr>
              <w:t>הגדרות</w:t>
            </w:r>
          </w:p>
        </w:tc>
        <w:tc>
          <w:tcPr>
            <w:tcW w:w="1247" w:type="dxa"/>
          </w:tcPr>
          <w:p w:rsidR="00EB6C34" w:rsidRDefault="00EB6C34">
            <w:pPr>
              <w:spacing w:line="240" w:lineRule="auto"/>
              <w:jc w:val="left"/>
              <w:rPr>
                <w:sz w:val="24"/>
              </w:rPr>
            </w:pPr>
            <w:r>
              <w:rPr>
                <w:sz w:val="24"/>
                <w:rtl/>
              </w:rPr>
              <w:t xml:space="preserve">סעיף 1 </w:t>
            </w:r>
          </w:p>
        </w:tc>
      </w:tr>
      <w:tr w:rsidR="00EB6C34">
        <w:tblPrEx>
          <w:tblCellMar>
            <w:top w:w="0" w:type="dxa"/>
            <w:bottom w:w="0" w:type="dxa"/>
          </w:tblCellMar>
        </w:tblPrEx>
        <w:trPr>
          <w:jc w:val="right"/>
        </w:trPr>
        <w:tc>
          <w:tcPr>
            <w:tcW w:w="850" w:type="dxa"/>
          </w:tcPr>
          <w:p w:rsidR="00EB6C34" w:rsidRDefault="00EB6C34">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B6C34" w:rsidRDefault="00EB6C34">
            <w:pPr>
              <w:spacing w:line="240" w:lineRule="auto"/>
              <w:jc w:val="left"/>
              <w:rPr>
                <w:sz w:val="24"/>
              </w:rPr>
            </w:pPr>
            <w:hyperlink w:anchor="Seif1" w:tooltip="תקופת זמן מזערית   בורסה בחול המנויה בתוספת השניה או בתוספת השלישית" w:history="1">
              <w:r>
                <w:rPr>
                  <w:rStyle w:val="Hyperlink"/>
                </w:rPr>
                <w:t>Go</w:t>
              </w:r>
            </w:hyperlink>
          </w:p>
        </w:tc>
        <w:tc>
          <w:tcPr>
            <w:tcW w:w="5669" w:type="dxa"/>
          </w:tcPr>
          <w:p w:rsidR="00EB6C34" w:rsidRDefault="00EB6C34">
            <w:pPr>
              <w:spacing w:line="240" w:lineRule="auto"/>
              <w:jc w:val="left"/>
              <w:rPr>
                <w:sz w:val="24"/>
                <w:rtl/>
              </w:rPr>
            </w:pPr>
            <w:r>
              <w:rPr>
                <w:sz w:val="24"/>
                <w:rtl/>
              </w:rPr>
              <w:t>תקופת זמן מזערית   בורסה בחול המנויה בתוספת השניה או בתוספת השלישית</w:t>
            </w:r>
          </w:p>
        </w:tc>
        <w:tc>
          <w:tcPr>
            <w:tcW w:w="1247" w:type="dxa"/>
          </w:tcPr>
          <w:p w:rsidR="00EB6C34" w:rsidRDefault="00EB6C34">
            <w:pPr>
              <w:spacing w:line="240" w:lineRule="auto"/>
              <w:jc w:val="left"/>
              <w:rPr>
                <w:sz w:val="24"/>
              </w:rPr>
            </w:pPr>
            <w:r>
              <w:rPr>
                <w:sz w:val="24"/>
                <w:rtl/>
              </w:rPr>
              <w:t xml:space="preserve">סעיף 2 </w:t>
            </w:r>
          </w:p>
        </w:tc>
      </w:tr>
    </w:tbl>
    <w:p w:rsidR="00EB6C34" w:rsidRDefault="00EB6C34">
      <w:pPr>
        <w:pStyle w:val="big-header"/>
        <w:ind w:left="0" w:right="1134"/>
        <w:rPr>
          <w:rtl/>
        </w:rPr>
      </w:pPr>
    </w:p>
    <w:p w:rsidR="00EB6C34" w:rsidRDefault="00EB6C34" w:rsidP="00D307C8">
      <w:pPr>
        <w:pStyle w:val="big-header"/>
        <w:ind w:left="0" w:right="1134"/>
        <w:rPr>
          <w:rStyle w:val="default"/>
          <w:rFonts w:cs="FrankRuehl" w:hint="cs"/>
          <w:rtl/>
        </w:rPr>
      </w:pPr>
      <w:r>
        <w:rPr>
          <w:rtl/>
        </w:rPr>
        <w:br w:type="page"/>
      </w:r>
      <w:r>
        <w:rPr>
          <w:rtl/>
        </w:rPr>
        <w:lastRenderedPageBreak/>
        <w:t>ת</w:t>
      </w:r>
      <w:r>
        <w:rPr>
          <w:rFonts w:hint="cs"/>
          <w:rtl/>
        </w:rPr>
        <w:t xml:space="preserve">קנות ניירות ערך (קביעת תקופת רישום למסחר בבורסה בחו"ל), </w:t>
      </w:r>
      <w:r>
        <w:rPr>
          <w:rtl/>
        </w:rPr>
        <w:br/>
      </w:r>
      <w:r>
        <w:rPr>
          <w:rFonts w:hint="cs"/>
          <w:rtl/>
        </w:rPr>
        <w:t>תשס"א-2000</w:t>
      </w:r>
      <w:r>
        <w:rPr>
          <w:rStyle w:val="default"/>
          <w:rtl/>
        </w:rPr>
        <w:footnoteReference w:customMarkFollows="1" w:id="1"/>
        <w:t>*</w:t>
      </w:r>
    </w:p>
    <w:p w:rsidR="00EB6C34" w:rsidRDefault="00EB6C3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35יז לחוק ניירות ערך, תשכ"ח-1968 (להלן - החוק), אני מתקין תקנות אלה: </w:t>
      </w:r>
    </w:p>
    <w:p w:rsidR="00EB6C34" w:rsidRDefault="00EB6C34">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7216" o:allowincell="f" filled="f" stroked="f" strokecolor="lime" strokeweight=".25pt">
            <v:textbox style="mso-next-textbox:#_x0000_s1026" inset="0,0,0,0">
              <w:txbxContent>
                <w:p w:rsidR="00EB6C34" w:rsidRDefault="00EB6C34">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B6C34" w:rsidRDefault="00EB6C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המניות" - מניות תאגיד</w:t>
      </w:r>
      <w:r>
        <w:rPr>
          <w:rStyle w:val="default"/>
          <w:rFonts w:cs="FrankRuehl"/>
          <w:rtl/>
        </w:rPr>
        <w:t xml:space="preserve"> </w:t>
      </w:r>
      <w:r>
        <w:rPr>
          <w:rStyle w:val="default"/>
          <w:rFonts w:cs="FrankRuehl" w:hint="cs"/>
          <w:rtl/>
        </w:rPr>
        <w:t xml:space="preserve">חוץ מהסוג הרשום למסחר בבורסה בחו"ל; </w:t>
      </w:r>
    </w:p>
    <w:p w:rsidR="00EB6C34" w:rsidRDefault="00EB6C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שווי המניות" - ממוצע מחירי הסגירה של המניות כפי שנקבעו בבורסה בחו"ל בעשרים הימים הרצופים שבהם התנהל מסחר במניות האמור</w:t>
      </w:r>
      <w:r>
        <w:rPr>
          <w:rStyle w:val="default"/>
          <w:rFonts w:cs="FrankRuehl"/>
          <w:rtl/>
        </w:rPr>
        <w:t>ו</w:t>
      </w:r>
      <w:r>
        <w:rPr>
          <w:rStyle w:val="default"/>
          <w:rFonts w:cs="FrankRuehl" w:hint="cs"/>
          <w:rtl/>
        </w:rPr>
        <w:t>ת, או בימים שבהם התנהל מסחר במניות האמורות אם טרם עברו עשרים ימים מיום שנרשמו למסחר לראשונה בבורסה בחו"ל, ואשר היום האחרון בהם הוא היום שקדם ליום פרסום מסמך הרישום - מוכפל במספר המניות כפי שהיה ביום המסחר האחרון שקדם ליום פרסום מסמך הרישום; לגבי תאגיד שמ</w:t>
      </w:r>
      <w:r>
        <w:rPr>
          <w:rStyle w:val="default"/>
          <w:rFonts w:cs="FrankRuehl"/>
          <w:rtl/>
        </w:rPr>
        <w:t>ני</w:t>
      </w:r>
      <w:r>
        <w:rPr>
          <w:rStyle w:val="default"/>
          <w:rFonts w:cs="FrankRuehl" w:hint="cs"/>
          <w:rtl/>
        </w:rPr>
        <w:t xml:space="preserve">ותיו נרשמו למסחר לראשונה ביום פרסום מסמך הרישום או ביום שקדם לו - מחיר הפתיחה של המניות ביום המסחר הראשון בבורסה בחו"ל, מוכפל במספר המניות כפי שהיה באותו יום. </w:t>
      </w:r>
    </w:p>
    <w:p w:rsidR="00EB6C34" w:rsidRDefault="00EB6C34">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2pt;margin-top:8.05pt;width:77.55pt;height:44.6pt;z-index:251658240" o:allowincell="f" filled="f" stroked="f" strokecolor="lime" strokeweight=".25pt">
            <v:textbox style="mso-next-textbox:#_x0000_s1027" inset="0,0,0,0">
              <w:txbxContent>
                <w:p w:rsidR="00EB6C34" w:rsidRDefault="00EB6C34">
                  <w:pPr>
                    <w:spacing w:line="160" w:lineRule="exact"/>
                    <w:jc w:val="left"/>
                    <w:rPr>
                      <w:rFonts w:cs="Miriam" w:hint="cs"/>
                      <w:szCs w:val="18"/>
                      <w:rtl/>
                    </w:rPr>
                  </w:pPr>
                  <w:r>
                    <w:rPr>
                      <w:rFonts w:cs="Miriam"/>
                      <w:szCs w:val="18"/>
                      <w:rtl/>
                    </w:rPr>
                    <w:t>ת</w:t>
                  </w:r>
                  <w:r>
                    <w:rPr>
                      <w:rFonts w:cs="Miriam" w:hint="cs"/>
                      <w:szCs w:val="18"/>
                      <w:rtl/>
                    </w:rPr>
                    <w:t xml:space="preserve">קופת זמן מזערית </w:t>
                  </w:r>
                  <w:r>
                    <w:rPr>
                      <w:rFonts w:cs="Miriam"/>
                      <w:szCs w:val="18"/>
                      <w:rtl/>
                    </w:rPr>
                    <w:t>–</w:t>
                  </w:r>
                  <w:r>
                    <w:rPr>
                      <w:rFonts w:cs="Miriam" w:hint="cs"/>
                      <w:szCs w:val="18"/>
                      <w:rtl/>
                    </w:rPr>
                    <w:t xml:space="preserve"> בורסה בחו"ל המנויה בתוספת השניה או בתוספת השלישית</w:t>
                  </w:r>
                </w:p>
                <w:p w:rsidR="00EB6C34" w:rsidRDefault="00EB6C34">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ענין סעיף 35יז לחוק, התקופה שבה רשומים</w:t>
      </w:r>
      <w:r>
        <w:rPr>
          <w:rStyle w:val="default"/>
          <w:rFonts w:cs="FrankRuehl"/>
          <w:rtl/>
        </w:rPr>
        <w:t xml:space="preserve"> </w:t>
      </w:r>
      <w:r>
        <w:rPr>
          <w:rStyle w:val="default"/>
          <w:rFonts w:cs="FrankRuehl" w:hint="cs"/>
          <w:rtl/>
        </w:rPr>
        <w:t xml:space="preserve">ניירות הערך למסחר בבורסה בחו"ל המנויה בתוספת השניה או בתוספת השלישית לחוק תהיה שנה אלא אם כן מניות של התאגיד רשומות למסחר באותה בורסה בחו"ל ושווי המניות 150 מיליון דולר ארה"ב לפחות. </w:t>
      </w:r>
    </w:p>
    <w:p w:rsidR="00EB6C34" w:rsidRDefault="00EB6C34">
      <w:pPr>
        <w:pStyle w:val="P00"/>
        <w:spacing w:before="0"/>
        <w:ind w:left="0" w:right="1134"/>
        <w:rPr>
          <w:b/>
          <w:bCs/>
          <w:vanish/>
          <w:szCs w:val="20"/>
          <w:shd w:val="clear" w:color="auto" w:fill="FFFF99"/>
        </w:rPr>
      </w:pPr>
      <w:bookmarkStart w:id="2" w:name="Rov4"/>
      <w:r>
        <w:rPr>
          <w:rFonts w:hint="cs"/>
          <w:vanish/>
          <w:color w:val="FF0000"/>
          <w:szCs w:val="20"/>
          <w:shd w:val="clear" w:color="auto" w:fill="FFFF99"/>
          <w:rtl/>
        </w:rPr>
        <w:t>מיום 10.4.2005</w:t>
      </w:r>
    </w:p>
    <w:p w:rsidR="00EB6C34" w:rsidRDefault="00EB6C34">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תשס"ה-2005</w:t>
      </w:r>
    </w:p>
    <w:p w:rsidR="00EB6C34" w:rsidRDefault="00EB6C34">
      <w:pPr>
        <w:pStyle w:val="P00"/>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תשס"ה מס' 6380</w:t>
        </w:r>
      </w:hyperlink>
      <w:r>
        <w:rPr>
          <w:rFonts w:hint="cs"/>
          <w:vanish/>
          <w:szCs w:val="20"/>
          <w:shd w:val="clear" w:color="auto" w:fill="FFFF99"/>
          <w:rtl/>
        </w:rPr>
        <w:t xml:space="preserve"> מיום 10.4.2005 עמ' 609</w:t>
      </w:r>
    </w:p>
    <w:p w:rsidR="00EB6C34" w:rsidRDefault="00EB6C34">
      <w:pPr>
        <w:spacing w:before="60" w:line="240" w:lineRule="auto"/>
        <w:jc w:val="left"/>
        <w:rPr>
          <w:rFonts w:cs="Miriam" w:hint="cs"/>
          <w:vanish/>
          <w:sz w:val="16"/>
          <w:szCs w:val="16"/>
          <w:shd w:val="clear" w:color="auto" w:fill="FFFF99"/>
          <w:rtl/>
        </w:rPr>
      </w:pPr>
      <w:r>
        <w:rPr>
          <w:rFonts w:cs="Miriam"/>
          <w:vanish/>
          <w:sz w:val="16"/>
          <w:szCs w:val="16"/>
          <w:shd w:val="clear" w:color="auto" w:fill="FFFF99"/>
          <w:rtl/>
        </w:rPr>
        <w:t>ת</w:t>
      </w:r>
      <w:r>
        <w:rPr>
          <w:rFonts w:cs="Miriam" w:hint="cs"/>
          <w:vanish/>
          <w:sz w:val="16"/>
          <w:szCs w:val="16"/>
          <w:shd w:val="clear" w:color="auto" w:fill="FFFF99"/>
          <w:rtl/>
        </w:rPr>
        <w:t xml:space="preserve">קופת זמן מזערית </w:t>
      </w:r>
      <w:r>
        <w:rPr>
          <w:rFonts w:cs="Times New Roman"/>
          <w:vanish/>
          <w:sz w:val="16"/>
          <w:szCs w:val="16"/>
          <w:shd w:val="clear" w:color="auto" w:fill="FFFF99"/>
          <w:rtl/>
        </w:rPr>
        <w:t>–</w:t>
      </w:r>
      <w:r>
        <w:rPr>
          <w:rFonts w:cs="Miriam" w:hint="cs"/>
          <w:vanish/>
          <w:sz w:val="16"/>
          <w:szCs w:val="16"/>
          <w:shd w:val="clear" w:color="auto" w:fill="FFFF99"/>
          <w:rtl/>
        </w:rPr>
        <w:t xml:space="preserve"> בורסה בחו"ל המנויה בתוספת השניה </w:t>
      </w:r>
      <w:r>
        <w:rPr>
          <w:rFonts w:cs="Miriam" w:hint="cs"/>
          <w:vanish/>
          <w:sz w:val="16"/>
          <w:szCs w:val="16"/>
          <w:u w:val="single"/>
          <w:shd w:val="clear" w:color="auto" w:fill="FFFF99"/>
          <w:rtl/>
        </w:rPr>
        <w:t>או בתוספת השלישית</w:t>
      </w:r>
    </w:p>
    <w:p w:rsidR="00EB6C34" w:rsidRDefault="00EB6C34">
      <w:pPr>
        <w:pStyle w:val="P00"/>
        <w:spacing w:before="0"/>
        <w:ind w:left="0" w:right="1134"/>
        <w:rPr>
          <w:rStyle w:val="default"/>
          <w:rFonts w:cs="FrankRuehl"/>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ענין סעיף 35יז לחוק, התקופה שבה רשומים</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ניירות הערך למסחר בבורסה בחו"ל המנויה בתוספת השניה </w:t>
      </w:r>
      <w:r>
        <w:rPr>
          <w:rStyle w:val="default"/>
          <w:rFonts w:cs="FrankRuehl" w:hint="cs"/>
          <w:vanish/>
          <w:sz w:val="22"/>
          <w:szCs w:val="22"/>
          <w:u w:val="single"/>
          <w:shd w:val="clear" w:color="auto" w:fill="FFFF99"/>
          <w:rtl/>
        </w:rPr>
        <w:t>או בתוספת השלישית</w:t>
      </w:r>
      <w:r>
        <w:rPr>
          <w:rStyle w:val="default"/>
          <w:rFonts w:cs="FrankRuehl" w:hint="cs"/>
          <w:vanish/>
          <w:sz w:val="22"/>
          <w:szCs w:val="22"/>
          <w:shd w:val="clear" w:color="auto" w:fill="FFFF99"/>
          <w:rtl/>
        </w:rPr>
        <w:t xml:space="preserve"> לחוק תהיה שנה אלא אם כן מניות של התאגיד רשומות למסחר באותה בורסה בחו"ל ושווי המניות </w:t>
      </w:r>
      <w:r>
        <w:rPr>
          <w:rStyle w:val="default"/>
          <w:rFonts w:cs="FrankRuehl" w:hint="cs"/>
          <w:strike/>
          <w:vanish/>
          <w:sz w:val="22"/>
          <w:szCs w:val="22"/>
          <w:shd w:val="clear" w:color="auto" w:fill="FFFF99"/>
          <w:rtl/>
        </w:rPr>
        <w:t>350</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150</w:t>
      </w:r>
      <w:r>
        <w:rPr>
          <w:rStyle w:val="default"/>
          <w:rFonts w:cs="FrankRuehl" w:hint="cs"/>
          <w:vanish/>
          <w:sz w:val="22"/>
          <w:szCs w:val="22"/>
          <w:shd w:val="clear" w:color="auto" w:fill="FFFF99"/>
          <w:rtl/>
        </w:rPr>
        <w:t xml:space="preserve"> מיליון דולר ארה"ב לפחות. </w:t>
      </w:r>
      <w:bookmarkEnd w:id="2"/>
    </w:p>
    <w:p w:rsidR="00EB6C34" w:rsidRDefault="00EB6C34">
      <w:pPr>
        <w:pStyle w:val="P00"/>
        <w:spacing w:before="72"/>
        <w:ind w:left="0" w:right="1134"/>
        <w:rPr>
          <w:rStyle w:val="default"/>
          <w:rFonts w:cs="FrankRuehl"/>
          <w:rtl/>
        </w:rPr>
      </w:pPr>
    </w:p>
    <w:p w:rsidR="00EB6C34" w:rsidRDefault="00EB6C34">
      <w:pPr>
        <w:pStyle w:val="P00"/>
        <w:spacing w:before="72"/>
        <w:ind w:left="0" w:right="1134"/>
        <w:rPr>
          <w:rStyle w:val="default"/>
          <w:rFonts w:cs="FrankRuehl" w:hint="cs"/>
          <w:rtl/>
        </w:rPr>
      </w:pPr>
    </w:p>
    <w:p w:rsidR="00EB6C34" w:rsidRDefault="00EB6C34">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ו</w:t>
      </w:r>
      <w:r>
        <w:rPr>
          <w:rFonts w:hint="cs"/>
          <w:sz w:val="26"/>
          <w:szCs w:val="26"/>
          <w:rtl/>
        </w:rPr>
        <w:t>' בתשרי תשס"א (5 באוקטובר 2000)</w:t>
      </w:r>
      <w:r>
        <w:rPr>
          <w:sz w:val="26"/>
          <w:szCs w:val="26"/>
          <w:rtl/>
        </w:rPr>
        <w:tab/>
      </w:r>
      <w:r>
        <w:rPr>
          <w:rFonts w:hint="cs"/>
          <w:sz w:val="26"/>
          <w:szCs w:val="26"/>
          <w:rtl/>
        </w:rPr>
        <w:t>אברהם (בייגה) שוחט</w:t>
      </w:r>
    </w:p>
    <w:p w:rsidR="00EB6C34" w:rsidRDefault="00EB6C34">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האוצר</w:t>
      </w:r>
    </w:p>
    <w:p w:rsidR="00EB6C34" w:rsidRDefault="00EB6C34">
      <w:pPr>
        <w:pStyle w:val="P00"/>
        <w:spacing w:before="72"/>
        <w:ind w:left="0" w:right="1134"/>
        <w:rPr>
          <w:rStyle w:val="default"/>
          <w:rFonts w:cs="FrankRuehl" w:hint="cs"/>
          <w:rtl/>
        </w:rPr>
      </w:pPr>
    </w:p>
    <w:p w:rsidR="00EB6C34" w:rsidRDefault="00EB6C34">
      <w:pPr>
        <w:pStyle w:val="P00"/>
        <w:spacing w:before="72"/>
        <w:ind w:left="0" w:right="1134"/>
        <w:rPr>
          <w:rStyle w:val="default"/>
          <w:rFonts w:cs="FrankRuehl"/>
          <w:rtl/>
        </w:rPr>
      </w:pPr>
    </w:p>
    <w:p w:rsidR="00EB6C34" w:rsidRDefault="00EB6C34">
      <w:pPr>
        <w:pStyle w:val="P00"/>
        <w:spacing w:before="72"/>
        <w:ind w:left="0" w:right="1134"/>
        <w:rPr>
          <w:rStyle w:val="default"/>
          <w:rFonts w:cs="FrankRuehl"/>
          <w:rtl/>
        </w:rPr>
      </w:pPr>
      <w:bookmarkStart w:id="3" w:name="LawPartEnd"/>
    </w:p>
    <w:bookmarkEnd w:id="3"/>
    <w:p w:rsidR="00EB6C34" w:rsidRDefault="00EB6C34">
      <w:pPr>
        <w:pStyle w:val="P00"/>
        <w:spacing w:before="72"/>
        <w:ind w:left="0" w:right="1134"/>
        <w:rPr>
          <w:rStyle w:val="default"/>
          <w:rFonts w:cs="FrankRuehl"/>
          <w:rtl/>
        </w:rPr>
      </w:pPr>
    </w:p>
    <w:sectPr w:rsidR="00EB6C3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1158" w:rsidRDefault="009E1158">
      <w:r>
        <w:separator/>
      </w:r>
    </w:p>
  </w:endnote>
  <w:endnote w:type="continuationSeparator" w:id="0">
    <w:p w:rsidR="009E1158" w:rsidRDefault="009E1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C34" w:rsidRDefault="00EB6C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B6C34" w:rsidRDefault="00EB6C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B6C34" w:rsidRDefault="00EB6C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Z:\000000000000-law\yael\revadim\07-04-26\308_052.doc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C34" w:rsidRDefault="00EB6C3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07C8">
      <w:rPr>
        <w:rFonts w:hAnsi="FrankRuehl" w:cs="FrankRuehl"/>
        <w:noProof/>
        <w:sz w:val="24"/>
        <w:szCs w:val="24"/>
        <w:rtl/>
      </w:rPr>
      <w:t>2</w:t>
    </w:r>
    <w:r>
      <w:rPr>
        <w:rFonts w:hAnsi="FrankRuehl" w:cs="FrankRuehl"/>
        <w:sz w:val="24"/>
        <w:szCs w:val="24"/>
        <w:rtl/>
      </w:rPr>
      <w:fldChar w:fldCharType="end"/>
    </w:r>
  </w:p>
  <w:p w:rsidR="00EB6C34" w:rsidRDefault="00EB6C3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B6C34" w:rsidRDefault="00EB6C3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Z:\000000000000-law\yael\revadim\07-04-26\308_052.doc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1158" w:rsidRDefault="009E1158">
      <w:pPr>
        <w:spacing w:before="60" w:line="240" w:lineRule="auto"/>
        <w:ind w:right="1134"/>
      </w:pPr>
      <w:r>
        <w:separator/>
      </w:r>
    </w:p>
  </w:footnote>
  <w:footnote w:type="continuationSeparator" w:id="0">
    <w:p w:rsidR="009E1158" w:rsidRDefault="009E1158">
      <w:pPr>
        <w:spacing w:before="60" w:line="240" w:lineRule="auto"/>
        <w:ind w:right="1134"/>
      </w:pPr>
      <w:r>
        <w:separator/>
      </w:r>
    </w:p>
  </w:footnote>
  <w:footnote w:id="1">
    <w:p w:rsidR="00EB6C34" w:rsidRDefault="00EB6C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תשס"א מס' 60</w:t>
        </w:r>
        <w:r>
          <w:rPr>
            <w:rStyle w:val="Hyperlink"/>
            <w:rFonts w:hint="cs"/>
            <w:sz w:val="20"/>
            <w:rtl/>
          </w:rPr>
          <w:t>6</w:t>
        </w:r>
        <w:r>
          <w:rPr>
            <w:rStyle w:val="Hyperlink"/>
            <w:rFonts w:hint="cs"/>
            <w:sz w:val="20"/>
            <w:rtl/>
          </w:rPr>
          <w:t>3</w:t>
        </w:r>
      </w:hyperlink>
      <w:r>
        <w:rPr>
          <w:rFonts w:hint="cs"/>
          <w:sz w:val="20"/>
          <w:rtl/>
        </w:rPr>
        <w:t xml:space="preserve"> מיום 25.10.2000 עמ' 52. </w:t>
      </w:r>
    </w:p>
    <w:p w:rsidR="00EB6C34" w:rsidRDefault="00EB6C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w:t>
        </w:r>
        <w:r>
          <w:rPr>
            <w:rStyle w:val="Hyperlink"/>
            <w:rFonts w:hint="cs"/>
            <w:sz w:val="20"/>
            <w:rtl/>
          </w:rPr>
          <w:t>ס</w:t>
        </w:r>
        <w:r>
          <w:rPr>
            <w:rStyle w:val="Hyperlink"/>
            <w:rFonts w:hint="cs"/>
            <w:sz w:val="20"/>
            <w:rtl/>
          </w:rPr>
          <w:t>"ה מס' 6380</w:t>
        </w:r>
      </w:hyperlink>
      <w:r>
        <w:rPr>
          <w:rFonts w:hint="cs"/>
          <w:sz w:val="20"/>
          <w:rtl/>
        </w:rPr>
        <w:t xml:space="preserve"> מיום 10.4.2005 עמ' 609 </w:t>
      </w:r>
      <w:r>
        <w:rPr>
          <w:sz w:val="20"/>
          <w:rtl/>
        </w:rPr>
        <w:t>–</w:t>
      </w:r>
      <w:r>
        <w:rPr>
          <w:rFonts w:hint="cs"/>
          <w:sz w:val="20"/>
          <w:rtl/>
        </w:rPr>
        <w:t xml:space="preserve"> תק'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C34" w:rsidRDefault="00EB6C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(קביעת תקופת רישום למסחר בבורסה בחו"ל), תשס"א–2000</w:t>
    </w:r>
  </w:p>
  <w:p w:rsidR="00EB6C34" w:rsidRDefault="00EB6C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6C34" w:rsidRDefault="00EB6C3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6C34" w:rsidRDefault="00EB6C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(קביעת תקופת רישום למסחר בבורסה בחו"ל), תשס"א</w:t>
    </w:r>
    <w:r>
      <w:rPr>
        <w:rFonts w:hAnsi="FrankRuehl" w:cs="FrankRuehl" w:hint="cs"/>
        <w:color w:val="000000"/>
        <w:sz w:val="28"/>
        <w:szCs w:val="28"/>
        <w:rtl/>
      </w:rPr>
      <w:t>-</w:t>
    </w:r>
    <w:r>
      <w:rPr>
        <w:rFonts w:hAnsi="FrankRuehl" w:cs="FrankRuehl"/>
        <w:color w:val="000000"/>
        <w:sz w:val="28"/>
        <w:szCs w:val="28"/>
        <w:rtl/>
      </w:rPr>
      <w:t>2000</w:t>
    </w:r>
  </w:p>
  <w:p w:rsidR="00EB6C34" w:rsidRDefault="00EB6C3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6C34" w:rsidRDefault="00EB6C3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C34"/>
    <w:rsid w:val="005514B0"/>
    <w:rsid w:val="009D0436"/>
    <w:rsid w:val="009E1158"/>
    <w:rsid w:val="00AD550E"/>
    <w:rsid w:val="00D307C8"/>
    <w:rsid w:val="00EB6C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78510D4-76A8-499F-A39B-02843FB9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80.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80.pdf" TargetMode="External"/><Relationship Id="rId1" Type="http://schemas.openxmlformats.org/officeDocument/2006/relationships/hyperlink" Target="http://www.nevo.co.il/Law_word/law06/TAK-60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1968</CharactersWithSpaces>
  <SharedDoc>false</SharedDoc>
  <HLinks>
    <vt:vector size="30" baseType="variant">
      <vt:variant>
        <vt:i4>7798795</vt:i4>
      </vt:variant>
      <vt:variant>
        <vt:i4>12</vt:i4>
      </vt:variant>
      <vt:variant>
        <vt:i4>0</vt:i4>
      </vt:variant>
      <vt:variant>
        <vt:i4>5</vt:i4>
      </vt:variant>
      <vt:variant>
        <vt:lpwstr>http://www.nevo.co.il/Law_word/law06/TAK-6380.pdf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7798795</vt:i4>
      </vt:variant>
      <vt:variant>
        <vt:i4>3</vt:i4>
      </vt:variant>
      <vt:variant>
        <vt:i4>0</vt:i4>
      </vt:variant>
      <vt:variant>
        <vt:i4>5</vt:i4>
      </vt:variant>
      <vt:variant>
        <vt:lpwstr>http://www.nevo.co.il/Law_word/law06/tak-6380.pdf</vt:lpwstr>
      </vt:variant>
      <vt:variant>
        <vt:lpwstr/>
      </vt:variant>
      <vt:variant>
        <vt:i4>7929867</vt:i4>
      </vt:variant>
      <vt:variant>
        <vt:i4>0</vt:i4>
      </vt:variant>
      <vt:variant>
        <vt:i4>0</vt:i4>
      </vt:variant>
      <vt:variant>
        <vt:i4>5</vt:i4>
      </vt:variant>
      <vt:variant>
        <vt:lpwstr>http://www.nevo.co.il/Law_word/law06/TAK-6063.pdf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308</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(קביעת תקופת רישום למסחר בבורסה בחו"ל), תשס"א-2000 - רבדים</vt:lpwstr>
  </property>
  <property fmtid="{D5CDD505-2E9C-101B-9397-08002B2CF9AE}" pid="5" name="LAWNUMBER">
    <vt:lpwstr>0052</vt:lpwstr>
  </property>
  <property fmtid="{D5CDD505-2E9C-101B-9397-08002B2CF9AE}" pid="6" name="TYPE">
    <vt:lpwstr>01</vt:lpwstr>
  </property>
  <property fmtid="{D5CDD505-2E9C-101B-9397-08002B2CF9AE}" pid="7" name="LINKK1">
    <vt:lpwstr>http://www.nevo.co.il/Law_word/law06/tak-6380.pdf;רשומות – תקנות כלליות#תוקנו ק"ת תשס"ה מס' 6380#מיום 10.4.2005#עמ' 609#תק' תשס"ה-2005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35יזX</vt:lpwstr>
  </property>
  <property fmtid="{D5CDD505-2E9C-101B-9397-08002B2CF9AE}" pid="24" name="NOSE11">
    <vt:lpwstr>משפט פרטי וכלכלה</vt:lpwstr>
  </property>
  <property fmtid="{D5CDD505-2E9C-101B-9397-08002B2CF9AE}" pid="25" name="NOSE21">
    <vt:lpwstr>מסחר </vt:lpwstr>
  </property>
  <property fmtid="{D5CDD505-2E9C-101B-9397-08002B2CF9AE}" pid="26" name="NOSE31">
    <vt:lpwstr>בורסה</vt:lpwstr>
  </property>
  <property fmtid="{D5CDD505-2E9C-101B-9397-08002B2CF9AE}" pid="27" name="NOSE41">
    <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ניירות ערך</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