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3923" w:rsidRDefault="00F53923" w:rsidP="00635E2F">
      <w:pPr>
        <w:pStyle w:val="big-header"/>
        <w:ind w:left="0" w:right="1134"/>
      </w:pPr>
      <w:r>
        <w:rPr>
          <w:rtl/>
        </w:rPr>
        <w:t>תקנות נכי רדיפות הנאצים (סוגי הוצאות שרואים אותן כהוצאות בהשגת קיצבה או מענק), תש"ל</w:t>
      </w:r>
      <w:r w:rsidR="00635E2F">
        <w:rPr>
          <w:rFonts w:hint="cs"/>
          <w:rtl/>
        </w:rPr>
        <w:t>-</w:t>
      </w:r>
      <w:r>
        <w:rPr>
          <w:rtl/>
        </w:rPr>
        <w:t>1969</w:t>
      </w:r>
    </w:p>
    <w:p w:rsidR="00F17128" w:rsidRPr="00F17128" w:rsidRDefault="00F17128" w:rsidP="00F17128">
      <w:pPr>
        <w:spacing w:line="320" w:lineRule="auto"/>
        <w:jc w:val="left"/>
        <w:rPr>
          <w:rFonts w:cs="FrankRuehl"/>
          <w:szCs w:val="26"/>
          <w:rtl/>
        </w:rPr>
      </w:pPr>
    </w:p>
    <w:p w:rsidR="00E94C37" w:rsidRDefault="00E94C37" w:rsidP="00E94C37">
      <w:pPr>
        <w:spacing w:line="320" w:lineRule="auto"/>
        <w:jc w:val="left"/>
        <w:rPr>
          <w:rtl/>
        </w:rPr>
      </w:pPr>
    </w:p>
    <w:p w:rsidR="00E94C37" w:rsidRDefault="00E94C37" w:rsidP="00E94C37">
      <w:pPr>
        <w:spacing w:line="320" w:lineRule="auto"/>
        <w:jc w:val="left"/>
        <w:rPr>
          <w:rFonts w:cs="FrankRuehl"/>
          <w:szCs w:val="26"/>
          <w:rtl/>
        </w:rPr>
      </w:pPr>
      <w:r w:rsidRPr="00E94C37">
        <w:rPr>
          <w:rFonts w:cs="Miriam"/>
          <w:szCs w:val="22"/>
          <w:rtl/>
        </w:rPr>
        <w:t>רשויות ומשפט מנהלי</w:t>
      </w:r>
      <w:r w:rsidRPr="00E94C37">
        <w:rPr>
          <w:rFonts w:cs="FrankRuehl"/>
          <w:szCs w:val="26"/>
          <w:rtl/>
        </w:rPr>
        <w:t xml:space="preserve"> – שרותי רווחה – נכים – נכי רדיפות הנאצים</w:t>
      </w:r>
    </w:p>
    <w:p w:rsidR="00F17128" w:rsidRPr="00E94C37" w:rsidRDefault="00E94C37" w:rsidP="00E94C37">
      <w:pPr>
        <w:spacing w:line="320" w:lineRule="auto"/>
        <w:jc w:val="left"/>
        <w:rPr>
          <w:rFonts w:cs="Miriam"/>
          <w:szCs w:val="22"/>
          <w:rtl/>
        </w:rPr>
      </w:pPr>
      <w:r w:rsidRPr="00E94C37">
        <w:rPr>
          <w:rFonts w:cs="Miriam"/>
          <w:szCs w:val="22"/>
          <w:rtl/>
        </w:rPr>
        <w:t>בריאות</w:t>
      </w:r>
      <w:r w:rsidRPr="00E94C37">
        <w:rPr>
          <w:rFonts w:cs="FrankRuehl"/>
          <w:szCs w:val="26"/>
          <w:rtl/>
        </w:rPr>
        <w:t xml:space="preserve"> – נכים – נכי רדיפות הנאצים</w:t>
      </w:r>
    </w:p>
    <w:p w:rsidR="00F53923" w:rsidRDefault="00F53923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5392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53923" w:rsidRDefault="00F5392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35E2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53923" w:rsidRDefault="00F53923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53923" w:rsidRDefault="00F5392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F53923" w:rsidRDefault="00F5392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F5392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53923" w:rsidRDefault="00F5392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35E2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53923" w:rsidRDefault="00F53923">
            <w:pPr>
              <w:spacing w:line="240" w:lineRule="auto"/>
              <w:rPr>
                <w:sz w:val="24"/>
              </w:rPr>
            </w:pPr>
            <w:hyperlink w:anchor="Seif1" w:tooltip="הוצאות בהשגת קיצבה או מענק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53923" w:rsidRDefault="00F5392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הוצאות בהשגת קיצבה או מענק</w:t>
            </w:r>
          </w:p>
        </w:tc>
        <w:tc>
          <w:tcPr>
            <w:tcW w:w="1247" w:type="dxa"/>
          </w:tcPr>
          <w:p w:rsidR="00F53923" w:rsidRDefault="00F5392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F5392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53923" w:rsidRDefault="00F5392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35E2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53923" w:rsidRDefault="00F53923">
            <w:pPr>
              <w:spacing w:line="240" w:lineRule="auto"/>
              <w:rPr>
                <w:sz w:val="24"/>
              </w:rPr>
            </w:pPr>
            <w:hyperlink w:anchor="Seif2" w:tooltip="הנסיעה והשהיה בחוץ לארץ לשם השגת קיצבה או מענק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53923" w:rsidRDefault="00F5392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הנסיעה והשהיה בחוץ לארץ לשם השגת קיצבה או מענק</w:t>
            </w:r>
          </w:p>
        </w:tc>
        <w:tc>
          <w:tcPr>
            <w:tcW w:w="1247" w:type="dxa"/>
          </w:tcPr>
          <w:p w:rsidR="00F53923" w:rsidRDefault="00F5392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F5392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53923" w:rsidRDefault="00F5392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35E2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53923" w:rsidRDefault="00F53923">
            <w:pPr>
              <w:spacing w:line="240" w:lineRule="auto"/>
              <w:rPr>
                <w:sz w:val="24"/>
              </w:rPr>
            </w:pPr>
            <w:hyperlink w:anchor="Seif3" w:tooltip="שיעור מקסימלי של שכר טרח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53923" w:rsidRDefault="00F5392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שיעור מקסימלי של שכר טרחה</w:t>
            </w:r>
          </w:p>
        </w:tc>
        <w:tc>
          <w:tcPr>
            <w:tcW w:w="1247" w:type="dxa"/>
          </w:tcPr>
          <w:p w:rsidR="00F53923" w:rsidRDefault="00F5392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F5392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53923" w:rsidRDefault="00F5392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35E2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53923" w:rsidRDefault="00F53923">
            <w:pPr>
              <w:spacing w:line="240" w:lineRule="auto"/>
              <w:rPr>
                <w:sz w:val="24"/>
              </w:rPr>
            </w:pPr>
            <w:hyperlink w:anchor="Seif4" w:tooltip="השיעור המקסימלי של דמי נסיע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53923" w:rsidRDefault="00F5392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השיעור המקסימלי של דמי נסיעה</w:t>
            </w:r>
          </w:p>
        </w:tc>
        <w:tc>
          <w:tcPr>
            <w:tcW w:w="1247" w:type="dxa"/>
          </w:tcPr>
          <w:p w:rsidR="00F53923" w:rsidRDefault="00F5392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F5392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53923" w:rsidRDefault="00F5392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35E2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53923" w:rsidRDefault="00F53923">
            <w:pPr>
              <w:spacing w:line="240" w:lineRule="auto"/>
              <w:rPr>
                <w:sz w:val="24"/>
              </w:rPr>
            </w:pPr>
            <w:hyperlink w:anchor="Seif5" w:tooltip="השיעור המקסימלי של הוצאות מחי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53923" w:rsidRDefault="00F5392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השיעור המקסימלי של הוצאות מחיה</w:t>
            </w:r>
          </w:p>
        </w:tc>
        <w:tc>
          <w:tcPr>
            <w:tcW w:w="1247" w:type="dxa"/>
          </w:tcPr>
          <w:p w:rsidR="00F53923" w:rsidRDefault="00F5392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F5392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53923" w:rsidRDefault="00F5392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35E2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53923" w:rsidRDefault="00F53923">
            <w:pPr>
              <w:spacing w:line="240" w:lineRule="auto"/>
              <w:rPr>
                <w:sz w:val="24"/>
              </w:rPr>
            </w:pPr>
            <w:hyperlink w:anchor="Seif6" w:tooltip="השיעור המקסימלי של הוצאות אח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53923" w:rsidRDefault="00F5392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השיעור המקסימלי של הוצאות אחרות</w:t>
            </w:r>
          </w:p>
        </w:tc>
        <w:tc>
          <w:tcPr>
            <w:tcW w:w="1247" w:type="dxa"/>
          </w:tcPr>
          <w:p w:rsidR="00F53923" w:rsidRDefault="00F5392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F5392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53923" w:rsidRDefault="00F5392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35E2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53923" w:rsidRDefault="00F53923">
            <w:pPr>
              <w:spacing w:line="240" w:lineRule="auto"/>
              <w:rPr>
                <w:sz w:val="24"/>
              </w:rPr>
            </w:pPr>
            <w:hyperlink w:anchor="Seif7" w:tooltip="ראי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53923" w:rsidRDefault="00F5392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ראיות</w:t>
            </w:r>
          </w:p>
        </w:tc>
        <w:tc>
          <w:tcPr>
            <w:tcW w:w="1247" w:type="dxa"/>
          </w:tcPr>
          <w:p w:rsidR="00F53923" w:rsidRDefault="00F5392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F5392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53923" w:rsidRDefault="00F5392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35E2F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53923" w:rsidRDefault="00F53923">
            <w:pPr>
              <w:spacing w:line="240" w:lineRule="auto"/>
              <w:rPr>
                <w:sz w:val="24"/>
              </w:rPr>
            </w:pPr>
            <w:hyperlink w:anchor="Seif8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53923" w:rsidRDefault="00F5392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F53923" w:rsidRDefault="00F5392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F5392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53923" w:rsidRDefault="00F5392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35E2F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53923" w:rsidRDefault="00F53923">
            <w:pPr>
              <w:spacing w:line="240" w:lineRule="auto"/>
              <w:rPr>
                <w:sz w:val="24"/>
              </w:rPr>
            </w:pPr>
            <w:hyperlink w:anchor="Seif9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53923" w:rsidRDefault="00F5392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F53923" w:rsidRDefault="00F5392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</w:tbl>
    <w:p w:rsidR="00F53923" w:rsidRDefault="00F53923">
      <w:pPr>
        <w:pStyle w:val="big-header"/>
        <w:ind w:left="0" w:right="1134"/>
        <w:rPr>
          <w:rtl/>
        </w:rPr>
      </w:pPr>
    </w:p>
    <w:p w:rsidR="00F53923" w:rsidRDefault="00F53923" w:rsidP="00F17128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נכי רדיפ</w:t>
      </w:r>
      <w:r>
        <w:rPr>
          <w:rtl/>
        </w:rPr>
        <w:t>ו</w:t>
      </w:r>
      <w:r>
        <w:rPr>
          <w:rFonts w:hint="cs"/>
          <w:rtl/>
        </w:rPr>
        <w:t>ת הנאצים (סוגי הוצאות שרואים אותן כהוצאות בהשגת קיצבה או מענק), תש"ל</w:t>
      </w:r>
      <w:r w:rsidR="00635E2F">
        <w:rPr>
          <w:rFonts w:hint="cs"/>
          <w:rtl/>
        </w:rPr>
        <w:t>-</w:t>
      </w:r>
      <w:r>
        <w:rPr>
          <w:rFonts w:hint="cs"/>
          <w:rtl/>
        </w:rPr>
        <w:t>1969</w:t>
      </w:r>
      <w:r w:rsidR="00635E2F">
        <w:rPr>
          <w:rStyle w:val="a6"/>
          <w:rtl/>
        </w:rPr>
        <w:footnoteReference w:customMarkFollows="1" w:id="1"/>
        <w:t>*</w:t>
      </w:r>
    </w:p>
    <w:p w:rsidR="00F53923" w:rsidRDefault="00F53923" w:rsidP="00635E2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3ג ו-24 לחוק נכי רדיפות הנאצים, תשי"ז</w:t>
      </w:r>
      <w:r w:rsidR="00635E2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1957, ובאישור ועדת הכספים של הכנסת, אני מתקין תקנות אלה:</w:t>
      </w:r>
    </w:p>
    <w:p w:rsidR="00F53923" w:rsidRDefault="00F53923" w:rsidP="00635E2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0pt;z-index:251653120" o:allowincell="f" filled="f" stroked="f" strokecolor="lime" strokeweight=".25pt">
            <v:textbox style="mso-next-textbox:#_x0000_s1026" inset="0,0,0,0">
              <w:txbxContent>
                <w:p w:rsidR="00F53923" w:rsidRDefault="00F5392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תקנות אלה, "תביעה", "טיפול בתביעה" ו"טיפו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בתביעה בחוץ לארץ" - כמשמעותם בחוק התביעות של קרבנות השואה (הסדר הטיפול), תשי"ז</w:t>
      </w:r>
      <w:r w:rsidR="00635E2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1957 (להלן - חוק התביעות).</w:t>
      </w:r>
    </w:p>
    <w:p w:rsidR="00F53923" w:rsidRDefault="00F539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22.7pt;z-index:251654144" o:allowincell="f" filled="f" stroked="f" strokecolor="lime" strokeweight=".25pt">
            <v:textbox style="mso-next-textbox:#_x0000_s1027" inset="0,0,0,0">
              <w:txbxContent>
                <w:p w:rsidR="00F53923" w:rsidRDefault="00F53923" w:rsidP="00635E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וצאות</w:t>
                  </w:r>
                  <w:r w:rsidR="00635E2F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השגת קיצבה</w:t>
                  </w:r>
                  <w:r w:rsidR="00635E2F">
                    <w:rPr>
                      <w:rFonts w:cs="Miriam" w:hint="cs"/>
                      <w:noProof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ו מענק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הוצאות המפורטות להלן יראו אותן כהוצאות בהשגת קיצבה או מענק לענין החוק:</w:t>
      </w:r>
    </w:p>
    <w:p w:rsidR="00F53923" w:rsidRDefault="00F5392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שכר טרחה בעד טיפול בתביעה הן בישראל והן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בחוץ לארץ, להשגת קיצבה או מענק;</w:t>
      </w:r>
    </w:p>
    <w:p w:rsidR="00F53923" w:rsidRDefault="00F5392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דמי נסיעה מישראל לחוץ לארץ לשם השגת קיצבה או מענק ושיבה לישראל;</w:t>
      </w:r>
    </w:p>
    <w:p w:rsidR="00F53923" w:rsidRDefault="00F5392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הוצאות מחיה ומגורים בעת השהיה בחוץ לארץ, לשם השגת קיצבה או מענק;</w:t>
      </w:r>
    </w:p>
    <w:p w:rsidR="00F53923" w:rsidRDefault="00F5392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הוצאות אחרות הקשורות בהשגת קיצבה או מענק.</w:t>
      </w:r>
    </w:p>
    <w:p w:rsidR="00F53923" w:rsidRDefault="00F539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35.35pt;z-index:251655168" o:allowincell="f" filled="f" stroked="f" strokecolor="lime" strokeweight=".25pt">
            <v:textbox style="mso-next-textbox:#_x0000_s1028" inset="0,0,0,0">
              <w:txbxContent>
                <w:p w:rsidR="00F53923" w:rsidRDefault="00F53923" w:rsidP="00635E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נסיעה והשהיה</w:t>
                  </w:r>
                  <w:r w:rsidR="00635E2F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חוץ לארץ</w:t>
                  </w:r>
                  <w:r w:rsidR="00635E2F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שם השגת</w:t>
                  </w:r>
                  <w:r w:rsidR="00635E2F">
                    <w:rPr>
                      <w:rFonts w:cs="Miriam" w:hint="cs"/>
                      <w:noProof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יצבה א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 w:rsidR="00635E2F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ענק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יראו נסיעה לחוץ לארץ ושהיה בחוץ לארץ כנסיעה או שהיה לשם השגת קיצבה או מענק אם הנסיעה לחוץ לארץ והשהיה בחוץ לארץ היו לאחת מהמטרות המפורטות להלן:</w:t>
      </w:r>
    </w:p>
    <w:p w:rsidR="00F53923" w:rsidRDefault="00F5392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להיבחן בפני רשויות אותה מדינה בחוץ לארץ בשפת אותה מדינה, כשידיעת השפה האמורה מהווה תנאי לזכ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ותו של הנכה לקיצבה או למענק;</w:t>
      </w:r>
    </w:p>
    <w:p w:rsidR="00F53923" w:rsidRDefault="00F5392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להיבדק בבדיקה רפואית כדי לקבוע זכאותו של הנכה לקיצבה או למענק או לקביעת שיעורם;</w:t>
      </w:r>
    </w:p>
    <w:p w:rsidR="00F53923" w:rsidRDefault="00F5392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למסור עדות בפני בית משפט באותה מדינה שדן בתביעתו של הנכה לקיצבה או למענק.</w:t>
      </w:r>
    </w:p>
    <w:p w:rsidR="00F53923" w:rsidRDefault="00F539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יראו כשהיה בחוץ לארץ לשם השגת קיצבה או מענק אותה תקופה ה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ולה על שלושים יום בכל שהיה ושהיה.</w:t>
      </w:r>
    </w:p>
    <w:p w:rsidR="00F53923" w:rsidRDefault="00F539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20pt;z-index:251656192" o:allowincell="f" filled="f" stroked="f" strokecolor="lime" strokeweight=".25pt">
            <v:textbox style="mso-next-textbox:#_x0000_s1029" inset="0,0,0,0">
              <w:txbxContent>
                <w:p w:rsidR="00F53923" w:rsidRDefault="00F53923" w:rsidP="00635E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יעור מקסימלי</w:t>
                  </w:r>
                  <w:r w:rsidR="00635E2F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ל שכר טרחה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השיעור המקסימלי של שכר טרחה כאמור בפסקה (1) לתקנה 2 לאדם בישראל לא יעלה על השי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ור המקסימלי שנקבע בחוק התביעות או בתקנות שהותקנו על פיו.</w:t>
      </w:r>
    </w:p>
    <w:p w:rsidR="00F53923" w:rsidRDefault="00F539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נעשה הטיפול בתביעה כאמור שלא על ידי אדם בישראל, לא יעלה השיעור המקסימלי של שכר טרחה כאמור בפסקה (1) לתקנה 2 על השיעור המקסימלי שנקבע בסעיף 10(ב) לחוק התביעות, אלא שבכל מקום באותו סעיף בו נאמר 1</w:t>
      </w:r>
      <w:r>
        <w:rPr>
          <w:rStyle w:val="default"/>
          <w:rFonts w:cs="FrankRuehl"/>
          <w:rtl/>
        </w:rPr>
        <w:t xml:space="preserve">5%, </w:t>
      </w:r>
      <w:r>
        <w:rPr>
          <w:rStyle w:val="default"/>
          <w:rFonts w:cs="FrankRuehl" w:hint="cs"/>
          <w:rtl/>
        </w:rPr>
        <w:t>יראו כאילו נאמר 25%.</w:t>
      </w:r>
    </w:p>
    <w:p w:rsidR="00F53923" w:rsidRDefault="00F539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20pt;z-index:251657216" o:allowincell="f" filled="f" stroked="f" strokecolor="lime" strokeweight=".25pt">
            <v:textbox style="mso-next-textbox:#_x0000_s1030" inset="0,0,0,0">
              <w:txbxContent>
                <w:p w:rsidR="00F53923" w:rsidRDefault="00F53923" w:rsidP="00635E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שיעור המקסימלי</w:t>
                  </w:r>
                  <w:r w:rsidR="00635E2F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ל דמי נסיעה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שיעור המקסימלי של דמי נסיעה מישראל לחוץ לארץ ושיבה לישראל כאמור בפסקה (2) לתקנה 2 לא יעלה על דמי הנסיעה בדרך הקצרה ביותר מישראל למקום השהיה בחוץ לארץ לאחת המטרות כמפורט בתקנה 3.</w:t>
      </w:r>
    </w:p>
    <w:p w:rsidR="00F53923" w:rsidRDefault="00F539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1" style="position:absolute;left:0;text-align:left;margin-left:464.5pt;margin-top:8.05pt;width:75.05pt;height:20pt;z-index:251658240" o:allowincell="f" filled="f" stroked="f" strokecolor="lime" strokeweight=".25pt">
            <v:textbox style="mso-next-textbox:#_x0000_s1031" inset="0,0,0,0">
              <w:txbxContent>
                <w:p w:rsidR="00F53923" w:rsidRDefault="00F53923" w:rsidP="00635E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שיעור ה</w:t>
                  </w: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קסימלי</w:t>
                  </w:r>
                  <w:r w:rsidR="00635E2F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הוצאות מחיה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שיעור המקסימלי של הוצאות מחיה ומגורים כאמור בפסקה (3) לתקנה 2 יהיה בשיעור ההוצאות שהשתלמו ביום ההוצאה, לעובד המדינה בדרגה ט"ו של הדירוג האחיד ששהה לרגל תפקידו כעובד המדינה באותה ארץ שבה שהה הנכה.</w:t>
      </w:r>
    </w:p>
    <w:p w:rsidR="00F53923" w:rsidRDefault="00F539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>
          <v:rect id="_x0000_s1032" style="position:absolute;left:0;text-align:left;margin-left:464.5pt;margin-top:8.05pt;width:75.05pt;height:20pt;z-index:251659264" o:allowincell="f" filled="f" stroked="f" strokecolor="lime" strokeweight=".25pt">
            <v:textbox style="mso-next-textbox:#_x0000_s1032" inset="0,0,0,0">
              <w:txbxContent>
                <w:p w:rsidR="00F53923" w:rsidRDefault="00F53923" w:rsidP="00635E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שיעור המקסימלי</w:t>
                  </w:r>
                  <w:r w:rsidR="00635E2F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ל הוצאות אחרות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הש</w:t>
      </w:r>
      <w:r>
        <w:rPr>
          <w:rStyle w:val="default"/>
          <w:rFonts w:cs="FrankRuehl" w:hint="cs"/>
          <w:rtl/>
        </w:rPr>
        <w:t>יעור המקסימלי של הוצאות אחרות כאמור בפסקה (4) לתקנה 2 יהיה 200 לירות.</w:t>
      </w:r>
    </w:p>
    <w:p w:rsidR="00F53923" w:rsidRDefault="00F539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>
          <v:rect id="_x0000_s1033" style="position:absolute;left:0;text-align:left;margin-left:464.5pt;margin-top:8.05pt;width:75.05pt;height:10pt;z-index:251660288" o:allowincell="f" filled="f" stroked="f" strokecolor="lime" strokeweight=".25pt">
            <v:textbox style="mso-next-textbox:#_x0000_s1033" inset="0,0,0,0">
              <w:txbxContent>
                <w:p w:rsidR="00F53923" w:rsidRDefault="00F5392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איות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כה ימציא לרשות המוסמכת ראיות בדבר אלה:</w:t>
      </w:r>
    </w:p>
    <w:p w:rsidR="00F53923" w:rsidRDefault="00F5392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היות הנסיעה לחוץ לארץ והשהיה בחוץ לארץ נסיעה ושהיה לשם השגת קיצבה או מענק כאמור בתקנה 3;</w:t>
      </w:r>
    </w:p>
    <w:p w:rsidR="00F53923" w:rsidRDefault="00F53923" w:rsidP="00635E2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ההוצאות כאמור בפסקאות (1) ו-(2) לתק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ה 2 שהוציא.</w:t>
      </w:r>
    </w:p>
    <w:p w:rsidR="00F53923" w:rsidRDefault="00F539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8"/>
      <w:bookmarkEnd w:id="8"/>
      <w:r>
        <w:rPr>
          <w:lang w:val="he-IL"/>
        </w:rPr>
        <w:pict>
          <v:rect id="_x0000_s1034" style="position:absolute;left:0;text-align:left;margin-left:464.5pt;margin-top:8.05pt;width:75.05pt;height:10pt;z-index:251661312" o:allowincell="f" filled="f" stroked="f" strokecolor="lime" strokeweight=".25pt">
            <v:textbox style="mso-next-textbox:#_x0000_s1034" inset="0,0,0,0">
              <w:txbxContent>
                <w:p w:rsidR="00F53923" w:rsidRDefault="00F5392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ביום תחילתו של החוק.</w:t>
      </w:r>
    </w:p>
    <w:p w:rsidR="00F53923" w:rsidRDefault="00F53923" w:rsidP="00635E2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9"/>
      <w:bookmarkEnd w:id="9"/>
      <w:r>
        <w:rPr>
          <w:lang w:val="he-IL"/>
        </w:rPr>
        <w:lastRenderedPageBreak/>
        <w:pict>
          <v:rect id="_x0000_s1035" style="position:absolute;left:0;text-align:left;margin-left:464.5pt;margin-top:8.05pt;width:75.05pt;height:10pt;z-index:251662336" o:allowincell="f" filled="f" stroked="f" strokecolor="lime" strokeweight=".25pt">
            <v:textbox style="mso-next-textbox:#_x0000_s1035" inset="0,0,0,0">
              <w:txbxContent>
                <w:p w:rsidR="00F53923" w:rsidRDefault="00F5392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נכי רדיפות הנאצים (סוגי הוצאות שרואים אותן כהוצאות בהשגת קיצבה או מענק), תש"ל</w:t>
      </w:r>
      <w:r w:rsidR="00635E2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1969".</w:t>
      </w:r>
    </w:p>
    <w:p w:rsidR="00F53923" w:rsidRDefault="00F5392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35E2F" w:rsidRDefault="00635E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53923" w:rsidRDefault="00F53923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"ח באלול תשכ"ט (1 בספטמבר 1969)</w:t>
      </w:r>
      <w:r>
        <w:rPr>
          <w:rtl/>
        </w:rPr>
        <w:tab/>
      </w:r>
      <w:r>
        <w:rPr>
          <w:rFonts w:hint="cs"/>
          <w:rtl/>
        </w:rPr>
        <w:t>זאב שרף</w:t>
      </w:r>
    </w:p>
    <w:p w:rsidR="00F53923" w:rsidRDefault="00F53923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האוצר</w:t>
      </w:r>
    </w:p>
    <w:p w:rsidR="00635E2F" w:rsidRPr="00635E2F" w:rsidRDefault="00635E2F" w:rsidP="00635E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35E2F" w:rsidRPr="00635E2F" w:rsidRDefault="00635E2F" w:rsidP="00635E2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53923" w:rsidRPr="00635E2F" w:rsidRDefault="00F53923" w:rsidP="00635E2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LawPartEnd"/>
    </w:p>
    <w:bookmarkEnd w:id="10"/>
    <w:p w:rsidR="00F53923" w:rsidRPr="00635E2F" w:rsidRDefault="00F53923" w:rsidP="00635E2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F53923" w:rsidRPr="00635E2F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75602" w:rsidRDefault="00B75602">
      <w:r>
        <w:separator/>
      </w:r>
    </w:p>
  </w:endnote>
  <w:endnote w:type="continuationSeparator" w:id="0">
    <w:p w:rsidR="00B75602" w:rsidRDefault="00B75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3923" w:rsidRDefault="00F5392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F53923" w:rsidRDefault="00F5392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53923" w:rsidRDefault="00F5392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35E2F">
      <w:rPr>
        <w:rFonts w:cs="TopType Jerushalmi"/>
        <w:noProof/>
        <w:color w:val="000000"/>
        <w:sz w:val="14"/>
        <w:szCs w:val="14"/>
      </w:rPr>
      <w:t>D:\Yael\hakika\Revadim</w:t>
    </w:r>
    <w:r w:rsidR="00635E2F" w:rsidRPr="00635E2F">
      <w:rPr>
        <w:rFonts w:cs="TopType Jerushalmi"/>
        <w:noProof/>
        <w:color w:val="000000"/>
        <w:sz w:val="14"/>
        <w:szCs w:val="14"/>
        <w:rtl/>
      </w:rPr>
      <w:t>\קישורים\310_091.</w:t>
    </w:r>
    <w:r w:rsidR="00635E2F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3923" w:rsidRDefault="00F5392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94C37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F53923" w:rsidRDefault="00F5392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53923" w:rsidRDefault="00F5392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35E2F">
      <w:rPr>
        <w:rFonts w:cs="TopType Jerushalmi"/>
        <w:noProof/>
        <w:color w:val="000000"/>
        <w:sz w:val="14"/>
        <w:szCs w:val="14"/>
      </w:rPr>
      <w:t>D:\Yael\hakika\Revadim</w:t>
    </w:r>
    <w:r w:rsidR="00635E2F" w:rsidRPr="00635E2F">
      <w:rPr>
        <w:rFonts w:cs="TopType Jerushalmi"/>
        <w:noProof/>
        <w:color w:val="000000"/>
        <w:sz w:val="14"/>
        <w:szCs w:val="14"/>
        <w:rtl/>
      </w:rPr>
      <w:t>\קישורים\310_091.</w:t>
    </w:r>
    <w:r w:rsidR="00635E2F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75602" w:rsidRDefault="00B75602" w:rsidP="00635E2F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B75602" w:rsidRDefault="00B75602">
      <w:r>
        <w:continuationSeparator/>
      </w:r>
    </w:p>
  </w:footnote>
  <w:footnote w:id="1">
    <w:p w:rsidR="00635E2F" w:rsidRPr="00635E2F" w:rsidRDefault="00635E2F" w:rsidP="00635E2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635E2F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3C2D1F">
          <w:rPr>
            <w:rStyle w:val="Hyperlink"/>
            <w:rFonts w:hint="cs"/>
            <w:sz w:val="20"/>
            <w:rtl/>
          </w:rPr>
          <w:t>ק"ת תש"ל מס' 2456</w:t>
        </w:r>
      </w:hyperlink>
      <w:r>
        <w:rPr>
          <w:rFonts w:hint="cs"/>
          <w:sz w:val="20"/>
          <w:rtl/>
        </w:rPr>
        <w:t xml:space="preserve"> מיום 25.9.1969 עמ' 108.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3923" w:rsidRDefault="00F5392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נכי רדיפות הנאצים (סוגי הוצאות שרואים אותן כהוצאות בהשגת קיצבה או מענק), תש"ל–1969</w:t>
    </w:r>
  </w:p>
  <w:p w:rsidR="00F53923" w:rsidRDefault="00F5392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53923" w:rsidRDefault="00F5392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3923" w:rsidRDefault="00F53923" w:rsidP="00635E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נכי רדיפות הנאצים (סוגי הוצאות שרואים אותן כהוצאות בהשגת קיצבה או מענק), תש"ל</w:t>
    </w:r>
    <w:r w:rsidR="00635E2F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1969</w:t>
    </w:r>
  </w:p>
  <w:p w:rsidR="00F53923" w:rsidRDefault="00F5392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53923" w:rsidRDefault="00F5392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53923"/>
    <w:rsid w:val="00177AF1"/>
    <w:rsid w:val="00337838"/>
    <w:rsid w:val="003C2D1F"/>
    <w:rsid w:val="00426D5D"/>
    <w:rsid w:val="00635E2F"/>
    <w:rsid w:val="007178FB"/>
    <w:rsid w:val="009747D3"/>
    <w:rsid w:val="00A6058F"/>
    <w:rsid w:val="00B75602"/>
    <w:rsid w:val="00DD35CB"/>
    <w:rsid w:val="00E17FAD"/>
    <w:rsid w:val="00E94C37"/>
    <w:rsid w:val="00EC0BB2"/>
    <w:rsid w:val="00F17128"/>
    <w:rsid w:val="00F5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5589540-5229-4A25-9E21-394D73DE5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635E2F"/>
    <w:rPr>
      <w:sz w:val="20"/>
      <w:szCs w:val="20"/>
    </w:rPr>
  </w:style>
  <w:style w:type="character" w:styleId="a6">
    <w:name w:val="footnote reference"/>
    <w:basedOn w:val="a0"/>
    <w:semiHidden/>
    <w:rsid w:val="00635E2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45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310</vt:lpstr>
    </vt:vector>
  </TitlesOfParts>
  <Company/>
  <LinksUpToDate>false</LinksUpToDate>
  <CharactersWithSpaces>3734</CharactersWithSpaces>
  <SharedDoc>false</SharedDoc>
  <HLinks>
    <vt:vector size="66" baseType="variant"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8257546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http://www.nevo.co.il/Law_word/law06/TAK-2456.pdf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310</dc:title>
  <dc:subject/>
  <dc:creator>Liat</dc:creator>
  <cp:keywords/>
  <dc:description/>
  <cp:lastModifiedBy>Shimon Doodkin</cp:lastModifiedBy>
  <cp:revision>2</cp:revision>
  <dcterms:created xsi:type="dcterms:W3CDTF">2023-06-05T20:37:00Z</dcterms:created>
  <dcterms:modified xsi:type="dcterms:W3CDTF">2023-06-05T20:37:00Z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0310</vt:lpwstr>
  </property>
  <property fmtid="{D5CDD505-2E9C-101B-9397-08002B2CF9AE}" pid="3" name="CHNAME">
    <vt:lpwstr>נכים</vt:lpwstr>
  </property>
  <property fmtid="{D5CDD505-2E9C-101B-9397-08002B2CF9AE}" pid="4" name="LAWNAME">
    <vt:lpwstr>תקנות נכי רדיפות הנאצים (סוגי הוצאות שרואים אותן כהוצאות בהשגת קיצבה או מענק), תש"ל-1969</vt:lpwstr>
  </property>
  <property fmtid="{D5CDD505-2E9C-101B-9397-08002B2CF9AE}" pid="5" name="LAWNUMBER">
    <vt:lpwstr>0091</vt:lpwstr>
  </property>
  <property fmtid="{D5CDD505-2E9C-101B-9397-08002B2CF9AE}" pid="6" name="TYPE">
    <vt:lpwstr>01</vt:lpwstr>
  </property>
  <property fmtid="{D5CDD505-2E9C-101B-9397-08002B2CF9AE}" pid="7" name="MEKOR_NAME1">
    <vt:lpwstr>חוק נכי רדיפות הנאצים</vt:lpwstr>
  </property>
  <property fmtid="{D5CDD505-2E9C-101B-9397-08002B2CF9AE}" pid="8" name="MEKOR_SAIF1">
    <vt:lpwstr>3גX;24X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שרותי רווחה</vt:lpwstr>
  </property>
  <property fmtid="{D5CDD505-2E9C-101B-9397-08002B2CF9AE}" pid="11" name="NOSE31">
    <vt:lpwstr>נכים</vt:lpwstr>
  </property>
  <property fmtid="{D5CDD505-2E9C-101B-9397-08002B2CF9AE}" pid="12" name="NOSE41">
    <vt:lpwstr>נכי רדיפות הנאצים</vt:lpwstr>
  </property>
  <property fmtid="{D5CDD505-2E9C-101B-9397-08002B2CF9AE}" pid="13" name="NOSE12">
    <vt:lpwstr>בריאות</vt:lpwstr>
  </property>
  <property fmtid="{D5CDD505-2E9C-101B-9397-08002B2CF9AE}" pid="14" name="NOSE22">
    <vt:lpwstr>נכים</vt:lpwstr>
  </property>
  <property fmtid="{D5CDD505-2E9C-101B-9397-08002B2CF9AE}" pid="15" name="NOSE32">
    <vt:lpwstr>נכי רדיפות הנאצים</vt:lpwstr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