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BDA" w:rsidRDefault="00880BDA" w:rsidP="00CC10A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נכסי נפקדים (דמי שכירות של בתי עסק), תשי"א</w:t>
      </w:r>
      <w:r w:rsidR="00CC10A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:rsidR="00C7585E" w:rsidRPr="00C7585E" w:rsidRDefault="00C7585E" w:rsidP="00C7585E">
      <w:pPr>
        <w:spacing w:line="320" w:lineRule="auto"/>
        <w:jc w:val="left"/>
        <w:rPr>
          <w:rFonts w:cs="FrankRuehl"/>
          <w:szCs w:val="26"/>
          <w:rtl/>
        </w:rPr>
      </w:pPr>
    </w:p>
    <w:p w:rsidR="00C7585E" w:rsidRDefault="00C7585E" w:rsidP="00C7585E">
      <w:pPr>
        <w:spacing w:line="320" w:lineRule="auto"/>
        <w:jc w:val="left"/>
        <w:rPr>
          <w:rtl/>
        </w:rPr>
      </w:pPr>
    </w:p>
    <w:p w:rsidR="00C7585E" w:rsidRPr="00C7585E" w:rsidRDefault="00C7585E" w:rsidP="00C7585E">
      <w:pPr>
        <w:spacing w:line="320" w:lineRule="auto"/>
        <w:jc w:val="left"/>
        <w:rPr>
          <w:rFonts w:cs="Miriam"/>
          <w:szCs w:val="22"/>
          <w:rtl/>
        </w:rPr>
      </w:pPr>
      <w:r w:rsidRPr="00C7585E">
        <w:rPr>
          <w:rFonts w:cs="Miriam"/>
          <w:szCs w:val="22"/>
          <w:rtl/>
        </w:rPr>
        <w:t>משפט פרטי וכלכלה</w:t>
      </w:r>
      <w:r w:rsidRPr="00C7585E">
        <w:rPr>
          <w:rFonts w:cs="FrankRuehl"/>
          <w:szCs w:val="26"/>
          <w:rtl/>
        </w:rPr>
        <w:t xml:space="preserve"> – קניין – נכסי נפקדים</w:t>
      </w:r>
    </w:p>
    <w:p w:rsidR="00880BDA" w:rsidRDefault="00880BD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Seif1" w:tooltip="כללים לקביעת דמי השכ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כללים לקביעת דמי השכירות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Seif2" w:tooltip="בתי האר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בתי הארחה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Seif3" w:tooltip="תיאט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תיאטראות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Seif4" w:tooltip="בניני משק לצרכי חקלאות, מרתפים וסכ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בניני משק לצרכי חקלאות, מרתפים וסככות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Seif5" w:tooltip="בתי עסק שהתקנות אינן חלות עליה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בתי עסק שהתקנות אינן חלות עליהם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Seif6" w:tooltip="תחיל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תוקף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med2" w:tooltip="תוספת של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</w:p>
        </w:tc>
      </w:tr>
      <w:tr w:rsidR="00880BD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0AD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hyperlink w:anchor="med3" w:tooltip="תוספת רבי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רביעית</w:t>
            </w:r>
          </w:p>
        </w:tc>
        <w:tc>
          <w:tcPr>
            <w:tcW w:w="1247" w:type="dxa"/>
          </w:tcPr>
          <w:p w:rsidR="00880BDA" w:rsidRDefault="00880BDA">
            <w:pPr>
              <w:spacing w:line="240" w:lineRule="auto"/>
              <w:rPr>
                <w:sz w:val="24"/>
              </w:rPr>
            </w:pPr>
          </w:p>
        </w:tc>
      </w:tr>
    </w:tbl>
    <w:p w:rsidR="00880BDA" w:rsidRDefault="00880BDA">
      <w:pPr>
        <w:pStyle w:val="big-header"/>
        <w:ind w:left="0" w:right="1134"/>
        <w:rPr>
          <w:rFonts w:cs="FrankRuehl"/>
          <w:sz w:val="32"/>
          <w:rtl/>
        </w:rPr>
      </w:pPr>
    </w:p>
    <w:p w:rsidR="00880BDA" w:rsidRDefault="00880BDA" w:rsidP="00C7585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נכסי נפקדים (דמי שכירות של בתי עסק), תשי"א</w:t>
      </w:r>
      <w:r w:rsidR="00CC10A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CC10A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80BDA" w:rsidRDefault="00880BDA" w:rsidP="00CC1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12(ג) ו-39 לחוק נכסי נפקדים, תש"י</w:t>
      </w:r>
      <w:r w:rsidR="00CC10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1950,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באישור ועדת הכספים של הכנסת, אני מתקין תקנות אלה: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4144" o:allowincell="f" filled="f" stroked="f" strokecolor="lime" strokeweight=".25pt">
            <v:textbox style="mso-next-textbox:#_x0000_s1026" inset="0,0,0,0">
              <w:txbxContent>
                <w:p w:rsidR="00880BDA" w:rsidRDefault="00880B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תקנות אלה -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ית עסק" פירושו - נכס מוקנה, שהוא בי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עסק כמשמעותו בפקודת ההגבלות על שכר דירה (בתי עסק), 1941, הנמצא באזור שעליו הוטלה אותה פקודה, והמושכר על ידי האפוטרופוס;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ית חרושת" - לרבות בית מלאכה;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שרד" - לרבות בנק ומוסד אשראי;</w:t>
      </w:r>
    </w:p>
    <w:p w:rsidR="00880BDA" w:rsidRDefault="00880BDA" w:rsidP="00CC1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ית הארחה" פירושו כבצו בתי הארחה, תש"ט</w:t>
      </w:r>
      <w:r w:rsidR="00CC10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1949;</w:t>
      </w:r>
    </w:p>
    <w:p w:rsidR="00880BDA" w:rsidRDefault="00880BDA" w:rsidP="00CC1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>רגה", של בית הארחה,</w:t>
      </w:r>
      <w:r>
        <w:rPr>
          <w:rStyle w:val="default"/>
          <w:rFonts w:cs="FrankRuehl"/>
          <w:rtl/>
        </w:rPr>
        <w:t xml:space="preserve"> פ</w:t>
      </w:r>
      <w:r>
        <w:rPr>
          <w:rStyle w:val="default"/>
          <w:rFonts w:cs="FrankRuehl" w:hint="cs"/>
          <w:rtl/>
        </w:rPr>
        <w:t>ירושו - הדרגה שנקבעה לו לפי צו בתי הארחה, תש"ט</w:t>
      </w:r>
      <w:r w:rsidR="00CC10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1949;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יאטרון" - לרבות בית קולנוע;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ובע" פירושו - כל אחד מהתחומים המתוארים בתוספת הראשונה;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טח מועיל" פיר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שו -</w:t>
      </w:r>
    </w:p>
    <w:p w:rsidR="00880BDA" w:rsidRDefault="00880B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בית עסק המנצל את מלוא השטח, וכן לגבי משרד או בית הארחה - כל שטחו של בית העסק;</w:t>
      </w:r>
    </w:p>
    <w:p w:rsidR="00880BDA" w:rsidRDefault="00880B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בית עסק (למעט בית עסק שמדובר בו בפסקה (1) שרוחב החזית שלו אינו עולה על ארבעה מטר - כל שטחו של בית העסק, או שטח של עשרים מטר מרובע, הכל לפי השטח הקטן יותר;</w:t>
      </w:r>
    </w:p>
    <w:p w:rsidR="00880BDA" w:rsidRDefault="00880B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בית עסק (למעט בית עסק שמדובר בו בפסקה (1) שרוחב החזית שלו עולה על ארבעה מטר - כל שטחו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בית עסק, או שטח של עשרים מטר מרובע ועוד חמשה מטר מרובע לכל מטר שבו עולה רוחב החזית על ארבעה מטר, הכל לפי השטח הקטן יותר.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מקום בתקנות אלה המ</w:t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בר בבית חרושת, במשרד, בבית הארחה, בתיאטרון, במחסן, בבנין משק לצרכי חקלאות, במרתף או בסככה יפורש כאילו הוא מדבר בבית עסק המשמש או המושכר כבית חרושת, כמשרד, כבי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הארחה, כתיאטרון, כמחסן, כבנין משק לצרכי חקלאות, כמרתף או כסככה.</w:t>
      </w:r>
    </w:p>
    <w:p w:rsidR="00880BDA" w:rsidRDefault="00880BDA" w:rsidP="00CC1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5168" o:allowincell="f" filled="f" stroked="f" strokecolor="lime" strokeweight=".25pt">
            <v:textbox style="mso-next-textbox:#_x0000_s1027" inset="0,0,0,0">
              <w:txbxContent>
                <w:p w:rsidR="00880BDA" w:rsidRDefault="00880BDA" w:rsidP="00CC10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לקביעת</w:t>
                  </w:r>
                  <w:r w:rsidR="00CC10A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השכירות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מי השכירות של בית עסק</w:t>
      </w:r>
      <w:r>
        <w:rPr>
          <w:rStyle w:val="default"/>
          <w:rFonts w:cs="FrankRuehl"/>
          <w:rtl/>
        </w:rPr>
        <w:t xml:space="preserve"> - ל</w:t>
      </w:r>
      <w:r>
        <w:rPr>
          <w:rStyle w:val="default"/>
          <w:rFonts w:cs="FrankRuehl" w:hint="cs"/>
          <w:rtl/>
        </w:rPr>
        <w:t>מעט בית הארחה, תיאטרון, בנין משק לצרכי חקלאות, מרתף וסככה - ייקבעו לפי שטחו, לפי הרובע או האזור שבו הוא נמצא, ובהתאם לאמור בתוספת השניה</w:t>
      </w:r>
      <w:r>
        <w:rPr>
          <w:rStyle w:val="default"/>
          <w:rFonts w:cs="FrankRuehl"/>
          <w:rtl/>
        </w:rPr>
        <w:t>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עסק ששטחו הוא פחות משמונה מטר מרובע דינו, לצורך קביעת דמי השכירות, כדין בית עסק ששטחו הוא שמונה מטר מרו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6192" o:allowincell="f" filled="f" stroked="f" strokecolor="lime" strokeweight=".25pt">
            <v:textbox style="mso-next-textbox:#_x0000_s1028" inset="0,0,0,0">
              <w:txbxContent>
                <w:p w:rsidR="00880BDA" w:rsidRDefault="00880B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הארחה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מי השכירות של בית הארחה ייקבעו לפי שטחו, לפי דרגתו ובהתאם לאמור בתוספת השלישית.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קביעת דמי השכירות של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הארחה לא יובאו בחשבון:</w:t>
      </w:r>
    </w:p>
    <w:p w:rsidR="00880BDA" w:rsidRDefault="00880B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טבח;</w:t>
      </w:r>
    </w:p>
    <w:p w:rsidR="00880BDA" w:rsidRDefault="00880B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רוזדור;</w:t>
      </w:r>
    </w:p>
    <w:p w:rsidR="00880BDA" w:rsidRDefault="00880B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כסא;</w:t>
      </w:r>
    </w:p>
    <w:p w:rsidR="00880BDA" w:rsidRDefault="00880B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רחצה.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7216" o:allowincell="f" filled="f" stroked="f" strokecolor="lime" strokeweight=".25pt">
            <v:textbox style="mso-next-textbox:#_x0000_s1029" inset="0,0,0,0">
              <w:txbxContent>
                <w:p w:rsidR="00880BDA" w:rsidRDefault="00880B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אטראות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דמ</w:t>
      </w:r>
      <w:r>
        <w:rPr>
          <w:rStyle w:val="default"/>
          <w:rFonts w:cs="FrankRuehl" w:hint="cs"/>
          <w:rtl/>
        </w:rPr>
        <w:t>י השכירות של תיאטרון ייקבעו לפי מספר מקומות הישיבה ש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 כרשום ברשיון שניתן עליו, לפי האזור שבו הוא נמצא, ובהתאם לאמור בתוספת הרביעית.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lastRenderedPageBreak/>
        <w:pict>
          <v:rect id="_x0000_s1030" style="position:absolute;left:0;text-align:left;margin-left:464.5pt;margin-top:8.05pt;width:75.05pt;height:30pt;z-index:251658240" o:allowincell="f" filled="f" stroked="f" strokecolor="lime" strokeweight=".25pt">
            <v:textbox style="mso-next-textbox:#_x0000_s1030" inset="0,0,0,0">
              <w:txbxContent>
                <w:p w:rsidR="00880BDA" w:rsidRDefault="00880BDA" w:rsidP="00CC10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יני משק</w:t>
                  </w:r>
                  <w:r w:rsidR="00CC10A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רכי חקלאות,</w:t>
                  </w:r>
                  <w:r w:rsidR="00CC10A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תפים וסככות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מי השכירות של בנין משק לצרכי חקלאות, מרתף או סככה ייקבעו בשיעור של 750 פרוטה לשנה בעד כל מטר מרובע משטחם, בכל רובע ובכל אזור.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נין משק לצרכי חקלאות, מרתף או סככה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שטחם הוא פחות משמונה מטר מרובע, והמהווים חלק מבית עסק, לא יובאו בחשב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ן בקביעת דמי השכירות של בית העסק.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0.35pt;z-index:251659264" o:allowincell="f" filled="f" stroked="f" strokecolor="lime" strokeweight=".25pt">
            <v:textbox style="mso-next-textbox:#_x0000_s1031" inset="0,0,0,0">
              <w:txbxContent>
                <w:p w:rsidR="00880BDA" w:rsidRDefault="00880BDA" w:rsidP="00CC10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עסק</w:t>
                  </w:r>
                  <w:r w:rsidR="00CC10A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תקנות אינן חלות עליהם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אלה אינן חלות על בית עסק שהוצאו עליו הוצאות התקנה -</w:t>
      </w:r>
    </w:p>
    <w:p w:rsidR="00880BDA" w:rsidRDefault="00880B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ידי האפוטרופוס, לפני שהשכירו לראשונה; או</w:t>
      </w:r>
    </w:p>
    <w:p w:rsidR="00880BDA" w:rsidRDefault="00880B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ידי מי ששכרו לראשונה מאת האפוטרופוס מתוך הסכמה בכתב שהוצאותיו אלה יובאו בחשבון בקביעת דמי השכירות.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הוצאות התקנה", בתקנה זו, פירושו - הוצאות שהוצאו להתקנת בית העסק לצרכי השימוש בו, בסכום כולל שאינ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פחות מהסכום של דמי השכירות לשלוש שנים שהיו נקבעים לבית העסק לפי תקנות אלה אלמלא תקנת משנה (א).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pt;z-index:251660288" o:allowincell="f" filled="f" stroked="f" strokecolor="lime" strokeweight=".25pt">
            <v:textbox style="mso-next-textbox:#_x0000_s1032" inset="0,0,0,0">
              <w:txbxContent>
                <w:p w:rsidR="00880BDA" w:rsidRDefault="00880B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פן של תקנות אלה הוא מיום כ"ד באדר ב' תשי"א (1 באפריל 1951).</w:t>
      </w:r>
    </w:p>
    <w:p w:rsidR="00880BDA" w:rsidRDefault="00880BDA" w:rsidP="00CC1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0pt;z-index:251661312" o:allowincell="f" filled="f" stroked="f" strokecolor="lime" strokeweight=".25pt">
            <v:textbox style="mso-next-textbox:#_x0000_s1033" inset="0,0,0,0">
              <w:txbxContent>
                <w:p w:rsidR="00880BDA" w:rsidRDefault="00880B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נכסי נפקדים (דמי שכירות של בתי עסק), תשי"א</w:t>
      </w:r>
      <w:r w:rsidR="00CC10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:rsidR="00CC10AD" w:rsidRDefault="00CC1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80BDA" w:rsidRPr="00CC10AD" w:rsidRDefault="00880BDA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8" w:name="med0"/>
      <w:bookmarkEnd w:id="8"/>
      <w:r w:rsidRPr="00CC10AD">
        <w:rPr>
          <w:rFonts w:cs="FrankRuehl"/>
          <w:noProof/>
          <w:sz w:val="26"/>
          <w:szCs w:val="26"/>
          <w:rtl/>
        </w:rPr>
        <w:t>תו</w:t>
      </w:r>
      <w:r w:rsidR="00CC10AD" w:rsidRPr="00CC10AD">
        <w:rPr>
          <w:rFonts w:cs="FrankRuehl" w:hint="cs"/>
          <w:noProof/>
          <w:sz w:val="26"/>
          <w:szCs w:val="26"/>
          <w:rtl/>
        </w:rPr>
        <w:t>ספת ראשונה</w:t>
      </w:r>
    </w:p>
    <w:p w:rsidR="00CC10AD" w:rsidRDefault="00CC10AD">
      <w:pPr>
        <w:pStyle w:val="medium2-header"/>
        <w:keepLines w:val="0"/>
        <w:spacing w:before="72"/>
        <w:ind w:left="0" w:right="1134"/>
        <w:rPr>
          <w:rFonts w:cs="FrankRuehl" w:hint="cs"/>
          <w:b/>
          <w:bCs w:val="0"/>
          <w:noProof/>
          <w:rtl/>
        </w:rPr>
      </w:pPr>
      <w:r>
        <w:rPr>
          <w:rFonts w:cs="FrankRuehl" w:hint="cs"/>
          <w:b/>
          <w:bCs w:val="0"/>
          <w:noProof/>
          <w:rtl/>
        </w:rPr>
        <w:t>(הושמטה)</w:t>
      </w:r>
    </w:p>
    <w:p w:rsidR="00CC10AD" w:rsidRPr="00CC10AD" w:rsidRDefault="00CC10AD" w:rsidP="00CC10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0BDA" w:rsidRPr="00CC10AD" w:rsidRDefault="00880BDA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9" w:name="med1"/>
      <w:bookmarkEnd w:id="9"/>
      <w:r w:rsidRPr="00CC10AD">
        <w:rPr>
          <w:rFonts w:cs="FrankRuehl" w:hint="cs"/>
          <w:noProof/>
          <w:sz w:val="26"/>
          <w:szCs w:val="26"/>
          <w:rtl/>
        </w:rPr>
        <w:t>ת</w:t>
      </w:r>
      <w:r w:rsidRPr="00CC10AD">
        <w:rPr>
          <w:rFonts w:cs="FrankRuehl"/>
          <w:noProof/>
          <w:sz w:val="26"/>
          <w:szCs w:val="26"/>
          <w:rtl/>
        </w:rPr>
        <w:t>ו</w:t>
      </w:r>
      <w:r w:rsidRPr="00CC10AD">
        <w:rPr>
          <w:rFonts w:cs="FrankRuehl" w:hint="cs"/>
          <w:noProof/>
          <w:sz w:val="26"/>
          <w:szCs w:val="26"/>
          <w:rtl/>
        </w:rPr>
        <w:t>ספת שניה</w:t>
      </w:r>
    </w:p>
    <w:p w:rsidR="00880BDA" w:rsidRDefault="00880BDA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</w:t>
      </w:r>
      <w:r>
        <w:rPr>
          <w:rFonts w:cs="FrankRuehl"/>
          <w:sz w:val="26"/>
          <w:rtl/>
        </w:rPr>
        <w:t xml:space="preserve"> 2)</w:t>
      </w:r>
    </w:p>
    <w:p w:rsidR="00880BDA" w:rsidRPr="00CC10AD" w:rsidRDefault="00880BDA">
      <w:pPr>
        <w:pStyle w:val="medium-header"/>
        <w:keepNext w:val="0"/>
        <w:keepLines w:val="0"/>
        <w:ind w:left="0" w:right="1134"/>
        <w:rPr>
          <w:rFonts w:cs="David"/>
          <w:sz w:val="22"/>
          <w:szCs w:val="22"/>
          <w:rtl/>
        </w:rPr>
      </w:pPr>
      <w:r w:rsidRPr="00CC10AD">
        <w:rPr>
          <w:rFonts w:cs="David"/>
          <w:sz w:val="22"/>
          <w:szCs w:val="22"/>
          <w:rtl/>
        </w:rPr>
        <w:t>טב</w:t>
      </w:r>
      <w:r w:rsidRPr="00CC10AD">
        <w:rPr>
          <w:rFonts w:cs="David" w:hint="cs"/>
          <w:sz w:val="22"/>
          <w:szCs w:val="22"/>
          <w:rtl/>
        </w:rPr>
        <w:t>לה א'</w:t>
      </w:r>
    </w:p>
    <w:p w:rsidR="00880BDA" w:rsidRPr="00CC10AD" w:rsidRDefault="00880BDA">
      <w:pPr>
        <w:pStyle w:val="P00"/>
        <w:spacing w:before="72"/>
        <w:ind w:left="0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CC10AD">
        <w:rPr>
          <w:rFonts w:cs="FrankRuehl"/>
          <w:b/>
          <w:bCs/>
          <w:sz w:val="22"/>
          <w:szCs w:val="22"/>
          <w:rtl/>
        </w:rPr>
        <w:tab/>
      </w:r>
      <w:r w:rsidRPr="00CC10AD">
        <w:rPr>
          <w:rStyle w:val="default"/>
          <w:rFonts w:cs="FrankRuehl"/>
          <w:b/>
          <w:bCs/>
          <w:sz w:val="22"/>
          <w:szCs w:val="22"/>
          <w:rtl/>
        </w:rPr>
        <w:t>דמ</w:t>
      </w:r>
      <w:r w:rsidRPr="00CC10AD">
        <w:rPr>
          <w:rStyle w:val="default"/>
          <w:rFonts w:cs="FrankRuehl" w:hint="cs"/>
          <w:b/>
          <w:bCs/>
          <w:sz w:val="22"/>
          <w:szCs w:val="22"/>
          <w:rtl/>
        </w:rPr>
        <w:t>י השכירות השנתיים של בתי עסק (למעט בתי חרושת, מחסנים, בתי הארחה, תיאטראות, בניני משק לצרכי חקלאות, מרתפים וסככות).</w:t>
      </w:r>
    </w:p>
    <w:p w:rsidR="00880BDA" w:rsidRPr="00CC10AD" w:rsidRDefault="00880BDA" w:rsidP="00CC10AD">
      <w:pPr>
        <w:pStyle w:val="P00"/>
        <w:pBdr>
          <w:top w:val="single" w:sz="4" w:space="1" w:color="auto"/>
        </w:pBdr>
        <w:tabs>
          <w:tab w:val="clear" w:pos="1021"/>
          <w:tab w:val="clear" w:pos="1474"/>
          <w:tab w:val="clear" w:pos="1928"/>
          <w:tab w:val="clear" w:pos="2381"/>
          <w:tab w:val="clear" w:pos="2835"/>
          <w:tab w:val="left" w:pos="1984"/>
          <w:tab w:val="left" w:pos="4110"/>
        </w:tabs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 w:rsidRPr="00CC10AD">
        <w:rPr>
          <w:rStyle w:val="default"/>
          <w:rFonts w:cs="FrankRuehl"/>
          <w:sz w:val="20"/>
          <w:szCs w:val="20"/>
          <w:rtl/>
        </w:rPr>
        <w:t>רו</w:t>
      </w:r>
      <w:r w:rsidRPr="00CC10AD">
        <w:rPr>
          <w:rStyle w:val="default"/>
          <w:rFonts w:cs="FrankRuehl" w:hint="cs"/>
          <w:sz w:val="20"/>
          <w:szCs w:val="20"/>
          <w:rtl/>
        </w:rPr>
        <w:t>בע</w:t>
      </w:r>
      <w:r w:rsidRPr="00CC10AD">
        <w:rPr>
          <w:rStyle w:val="default"/>
          <w:rFonts w:cs="FrankRuehl"/>
          <w:sz w:val="20"/>
          <w:szCs w:val="20"/>
          <w:rtl/>
        </w:rPr>
        <w:tab/>
        <w:t>ב</w:t>
      </w:r>
      <w:r w:rsidRPr="00CC10AD">
        <w:rPr>
          <w:rStyle w:val="default"/>
          <w:rFonts w:cs="FrankRuehl" w:hint="cs"/>
          <w:sz w:val="20"/>
          <w:szCs w:val="20"/>
          <w:rtl/>
        </w:rPr>
        <w:t>עד כל מטר מרובע</w:t>
      </w:r>
      <w:r w:rsidRPr="00CC10AD">
        <w:rPr>
          <w:rStyle w:val="default"/>
          <w:rFonts w:cs="FrankRuehl"/>
          <w:sz w:val="20"/>
          <w:szCs w:val="20"/>
          <w:rtl/>
        </w:rPr>
        <w:tab/>
        <w:t>ב</w:t>
      </w:r>
      <w:r w:rsidRPr="00CC10AD">
        <w:rPr>
          <w:rStyle w:val="default"/>
          <w:rFonts w:cs="FrankRuehl" w:hint="cs"/>
          <w:sz w:val="20"/>
          <w:szCs w:val="20"/>
          <w:rtl/>
        </w:rPr>
        <w:t>עד כל מטר מרובע</w:t>
      </w:r>
      <w:r w:rsidRPr="00CC10AD">
        <w:rPr>
          <w:rFonts w:cs="FrankRuehl"/>
          <w:szCs w:val="20"/>
          <w:rtl/>
        </w:rPr>
        <w:t> </w:t>
      </w:r>
      <w:r w:rsidRPr="00CC10AD">
        <w:rPr>
          <w:rFonts w:cs="FrankRuehl"/>
          <w:szCs w:val="20"/>
          <w:rtl/>
        </w:rPr>
        <w:tab/>
      </w:r>
      <w:r w:rsidRPr="00CC10AD">
        <w:rPr>
          <w:rStyle w:val="default"/>
          <w:rFonts w:cs="FrankRuehl"/>
          <w:sz w:val="20"/>
          <w:szCs w:val="20"/>
          <w:rtl/>
        </w:rPr>
        <w:t>בע</w:t>
      </w:r>
      <w:r w:rsidRPr="00CC10AD">
        <w:rPr>
          <w:rStyle w:val="default"/>
          <w:rFonts w:cs="FrankRuehl" w:hint="cs"/>
          <w:sz w:val="20"/>
          <w:szCs w:val="20"/>
          <w:rtl/>
        </w:rPr>
        <w:t>ד כל מטר מרובע</w:t>
      </w:r>
    </w:p>
    <w:p w:rsidR="00880BDA" w:rsidRPr="00CC10AD" w:rsidRDefault="00880BDA" w:rsidP="00CC10AD">
      <w:pPr>
        <w:pStyle w:val="P04"/>
        <w:tabs>
          <w:tab w:val="clear" w:pos="1021"/>
          <w:tab w:val="clear" w:pos="1474"/>
          <w:tab w:val="clear" w:pos="1928"/>
          <w:tab w:val="clear" w:pos="2381"/>
          <w:tab w:val="clear" w:pos="2835"/>
          <w:tab w:val="left" w:pos="1984"/>
          <w:tab w:val="left" w:pos="4110"/>
        </w:tabs>
        <w:spacing w:before="0"/>
        <w:ind w:left="0" w:right="1134" w:firstLine="0"/>
        <w:rPr>
          <w:rFonts w:cs="FrankRuehl"/>
          <w:szCs w:val="20"/>
          <w:rtl/>
        </w:rPr>
      </w:pPr>
      <w:r w:rsidRPr="00CC10AD">
        <w:rPr>
          <w:rFonts w:cs="FrankRuehl"/>
          <w:szCs w:val="20"/>
          <w:rtl/>
        </w:rPr>
        <w:tab/>
        <w:t>ש</w:t>
      </w:r>
      <w:r w:rsidRPr="00CC10AD">
        <w:rPr>
          <w:rFonts w:cs="FrankRuehl" w:hint="cs"/>
          <w:szCs w:val="20"/>
          <w:rtl/>
        </w:rPr>
        <w:t xml:space="preserve">ל </w:t>
      </w:r>
      <w:r w:rsidRPr="00CC10AD">
        <w:rPr>
          <w:rFonts w:cs="FrankRuehl"/>
          <w:szCs w:val="20"/>
          <w:rtl/>
        </w:rPr>
        <w:t>הש</w:t>
      </w:r>
      <w:r w:rsidRPr="00CC10AD">
        <w:rPr>
          <w:rFonts w:cs="FrankRuehl" w:hint="cs"/>
          <w:szCs w:val="20"/>
          <w:rtl/>
        </w:rPr>
        <w:t>טח המועיל</w:t>
      </w:r>
      <w:r w:rsidRPr="00CC10AD">
        <w:rPr>
          <w:rFonts w:cs="FrankRuehl"/>
          <w:szCs w:val="20"/>
          <w:rtl/>
        </w:rPr>
        <w:tab/>
        <w:t>ה</w:t>
      </w:r>
      <w:r w:rsidRPr="00CC10AD">
        <w:rPr>
          <w:rFonts w:cs="FrankRuehl" w:hint="cs"/>
          <w:szCs w:val="20"/>
          <w:rtl/>
        </w:rPr>
        <w:t>עולה על השטח המועיל</w:t>
      </w:r>
      <w:r w:rsidRPr="00CC10AD">
        <w:rPr>
          <w:rFonts w:cs="FrankRuehl"/>
          <w:szCs w:val="20"/>
          <w:rtl/>
        </w:rPr>
        <w:tab/>
        <w:t>ה</w:t>
      </w:r>
      <w:r w:rsidRPr="00CC10AD">
        <w:rPr>
          <w:rFonts w:cs="FrankRuehl" w:hint="cs"/>
          <w:szCs w:val="20"/>
          <w:rtl/>
        </w:rPr>
        <w:t>עולה על 50 מטר מרובעים</w:t>
      </w:r>
    </w:p>
    <w:p w:rsidR="00880BDA" w:rsidRPr="00CC10AD" w:rsidRDefault="00880BDA" w:rsidP="00CC10AD">
      <w:pPr>
        <w:pStyle w:val="P44"/>
        <w:tabs>
          <w:tab w:val="clear" w:pos="2381"/>
          <w:tab w:val="clear" w:pos="2835"/>
          <w:tab w:val="left" w:pos="624"/>
          <w:tab w:val="left" w:pos="1984"/>
          <w:tab w:val="left" w:pos="4110"/>
        </w:tabs>
        <w:spacing w:before="0"/>
        <w:ind w:left="0" w:right="1134"/>
        <w:rPr>
          <w:rFonts w:cs="FrankRuehl"/>
          <w:szCs w:val="20"/>
          <w:rtl/>
        </w:rPr>
      </w:pPr>
      <w:r w:rsidRPr="00CC10AD">
        <w:rPr>
          <w:rFonts w:cs="FrankRuehl"/>
          <w:szCs w:val="20"/>
          <w:rtl/>
        </w:rPr>
        <w:t> </w:t>
      </w:r>
      <w:r w:rsidRPr="00CC10AD">
        <w:rPr>
          <w:rFonts w:cs="FrankRuehl"/>
          <w:szCs w:val="20"/>
          <w:rtl/>
        </w:rPr>
        <w:tab/>
      </w:r>
      <w:r w:rsidRPr="00CC10AD">
        <w:rPr>
          <w:rFonts w:cs="FrankRuehl"/>
          <w:szCs w:val="20"/>
          <w:rtl/>
        </w:rPr>
        <w:tab/>
        <w:t>א</w:t>
      </w:r>
      <w:r w:rsidRPr="00CC10AD">
        <w:rPr>
          <w:rFonts w:cs="FrankRuehl" w:hint="cs"/>
          <w:szCs w:val="20"/>
          <w:rtl/>
        </w:rPr>
        <w:t>ך אינו עולה על 50מטר</w:t>
      </w:r>
      <w:r w:rsidRPr="00CC10AD">
        <w:rPr>
          <w:rFonts w:cs="FrankRuehl"/>
          <w:szCs w:val="20"/>
          <w:rtl/>
        </w:rPr>
        <w:tab/>
        <w:t>א</w:t>
      </w:r>
      <w:r w:rsidRPr="00CC10AD">
        <w:rPr>
          <w:rFonts w:cs="FrankRuehl" w:hint="cs"/>
          <w:szCs w:val="20"/>
          <w:rtl/>
        </w:rPr>
        <w:t>ו על השטח המועיל, הכל</w:t>
      </w:r>
    </w:p>
    <w:p w:rsidR="00880BDA" w:rsidRPr="00CC10AD" w:rsidRDefault="00880BDA" w:rsidP="00CC10AD">
      <w:pPr>
        <w:pStyle w:val="P44"/>
        <w:pBdr>
          <w:bottom w:val="single" w:sz="4" w:space="1" w:color="auto"/>
        </w:pBdr>
        <w:tabs>
          <w:tab w:val="clear" w:pos="2381"/>
          <w:tab w:val="clear" w:pos="2835"/>
          <w:tab w:val="left" w:pos="624"/>
          <w:tab w:val="left" w:pos="1984"/>
          <w:tab w:val="left" w:pos="4110"/>
        </w:tabs>
        <w:spacing w:before="0"/>
        <w:ind w:left="0" w:right="1134"/>
        <w:rPr>
          <w:rFonts w:cs="FrankRuehl"/>
          <w:szCs w:val="20"/>
          <w:rtl/>
        </w:rPr>
      </w:pPr>
      <w:r w:rsidRPr="00CC10AD">
        <w:rPr>
          <w:rFonts w:cs="FrankRuehl"/>
          <w:szCs w:val="20"/>
          <w:rtl/>
        </w:rPr>
        <w:t> </w:t>
      </w:r>
      <w:r w:rsidRPr="00CC10AD">
        <w:rPr>
          <w:rFonts w:cs="FrankRuehl"/>
          <w:szCs w:val="20"/>
          <w:rtl/>
        </w:rPr>
        <w:tab/>
      </w:r>
      <w:r w:rsidRPr="00CC10AD">
        <w:rPr>
          <w:rFonts w:cs="FrankRuehl"/>
          <w:szCs w:val="20"/>
          <w:rtl/>
        </w:rPr>
        <w:tab/>
        <w:t>מ</w:t>
      </w:r>
      <w:r w:rsidRPr="00CC10AD">
        <w:rPr>
          <w:rFonts w:cs="FrankRuehl" w:hint="cs"/>
          <w:szCs w:val="20"/>
          <w:rtl/>
        </w:rPr>
        <w:t>רובעים מהשטח הכולל</w:t>
      </w:r>
      <w:r w:rsidRPr="00CC10AD">
        <w:rPr>
          <w:rFonts w:cs="FrankRuehl"/>
          <w:szCs w:val="20"/>
          <w:rtl/>
        </w:rPr>
        <w:tab/>
        <w:t>ל</w:t>
      </w:r>
      <w:r w:rsidRPr="00CC10AD">
        <w:rPr>
          <w:rFonts w:cs="FrankRuehl" w:hint="cs"/>
          <w:szCs w:val="20"/>
          <w:rtl/>
        </w:rPr>
        <w:t>פי השטח הגדול יותר</w:t>
      </w:r>
    </w:p>
    <w:p w:rsidR="00880BDA" w:rsidRDefault="00880BDA">
      <w:pPr>
        <w:pStyle w:val="P05"/>
        <w:tabs>
          <w:tab w:val="clear" w:pos="2835"/>
          <w:tab w:val="left" w:pos="4677"/>
        </w:tabs>
        <w:spacing w:before="72"/>
        <w:ind w:left="2381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  <w:t xml:space="preserve">  </w:t>
      </w:r>
      <w:r>
        <w:rPr>
          <w:rFonts w:cs="FrankRuehl" w:hint="cs"/>
          <w:szCs w:val="20"/>
          <w:rtl/>
        </w:rPr>
        <w:t>ל"י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 xml:space="preserve">   </w:t>
      </w:r>
      <w:r>
        <w:rPr>
          <w:rFonts w:cs="FrankRuehl"/>
          <w:szCs w:val="20"/>
          <w:rtl/>
        </w:rPr>
        <w:t>ל</w:t>
      </w:r>
      <w:r>
        <w:rPr>
          <w:rFonts w:cs="FrankRuehl" w:hint="cs"/>
          <w:szCs w:val="20"/>
          <w:rtl/>
        </w:rPr>
        <w:t>"י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>"י</w:t>
      </w:r>
    </w:p>
    <w:p w:rsidR="00880BDA" w:rsidRDefault="00880BD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2835"/>
          <w:tab w:val="left" w:pos="992"/>
          <w:tab w:val="left" w:pos="2551"/>
          <w:tab w:val="left" w:pos="4536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6,000</w:t>
      </w:r>
      <w:r>
        <w:rPr>
          <w:rStyle w:val="default"/>
          <w:rFonts w:cs="FrankRuehl"/>
          <w:rtl/>
        </w:rPr>
        <w:tab/>
        <w:t>3,200</w:t>
      </w:r>
      <w:r>
        <w:rPr>
          <w:rStyle w:val="default"/>
          <w:rFonts w:cs="FrankRuehl"/>
          <w:rtl/>
        </w:rPr>
        <w:tab/>
        <w:t>2,200</w:t>
      </w:r>
    </w:p>
    <w:p w:rsidR="00880BDA" w:rsidRDefault="00880BD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2835"/>
          <w:tab w:val="left" w:pos="992"/>
          <w:tab w:val="left" w:pos="2551"/>
          <w:tab w:val="left" w:pos="4536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5,200</w:t>
      </w:r>
      <w:r>
        <w:rPr>
          <w:rStyle w:val="default"/>
          <w:rFonts w:cs="FrankRuehl"/>
          <w:rtl/>
        </w:rPr>
        <w:tab/>
        <w:t>3,000</w:t>
      </w:r>
      <w:r>
        <w:rPr>
          <w:rStyle w:val="default"/>
          <w:rFonts w:cs="FrankRuehl"/>
          <w:rtl/>
        </w:rPr>
        <w:tab/>
        <w:t>2,200</w:t>
      </w:r>
    </w:p>
    <w:p w:rsidR="00880BDA" w:rsidRDefault="00880BD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2835"/>
          <w:tab w:val="left" w:pos="992"/>
          <w:tab w:val="left" w:pos="2551"/>
          <w:tab w:val="left" w:pos="4536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4,400</w:t>
      </w:r>
      <w:r>
        <w:rPr>
          <w:rStyle w:val="default"/>
          <w:rFonts w:cs="FrankRuehl"/>
          <w:rtl/>
        </w:rPr>
        <w:tab/>
        <w:t>2,600</w:t>
      </w:r>
      <w:r>
        <w:rPr>
          <w:rStyle w:val="default"/>
          <w:rFonts w:cs="FrankRuehl"/>
          <w:rtl/>
        </w:rPr>
        <w:tab/>
        <w:t>2,200</w:t>
      </w:r>
    </w:p>
    <w:p w:rsidR="00880BDA" w:rsidRDefault="00880BD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2835"/>
          <w:tab w:val="left" w:pos="992"/>
          <w:tab w:val="left" w:pos="2551"/>
          <w:tab w:val="left" w:pos="4536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3,600</w:t>
      </w:r>
      <w:r>
        <w:rPr>
          <w:rStyle w:val="default"/>
          <w:rFonts w:cs="FrankRuehl"/>
          <w:rtl/>
        </w:rPr>
        <w:tab/>
        <w:t>2,400</w:t>
      </w:r>
      <w:r>
        <w:rPr>
          <w:rStyle w:val="default"/>
          <w:rFonts w:cs="FrankRuehl"/>
          <w:rtl/>
        </w:rPr>
        <w:tab/>
        <w:t>2,000</w:t>
      </w:r>
    </w:p>
    <w:p w:rsidR="00880BDA" w:rsidRDefault="00880BD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2835"/>
          <w:tab w:val="left" w:pos="992"/>
          <w:tab w:val="left" w:pos="2551"/>
          <w:tab w:val="left" w:pos="4536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3,000</w:t>
      </w:r>
      <w:r>
        <w:rPr>
          <w:rStyle w:val="default"/>
          <w:rFonts w:cs="FrankRuehl"/>
          <w:rtl/>
        </w:rPr>
        <w:tab/>
        <w:t>2,200</w:t>
      </w:r>
      <w:r>
        <w:rPr>
          <w:rStyle w:val="default"/>
          <w:rFonts w:cs="FrankRuehl"/>
          <w:rtl/>
        </w:rPr>
        <w:tab/>
        <w:t>2,000</w:t>
      </w:r>
    </w:p>
    <w:p w:rsidR="00880BDA" w:rsidRDefault="00880BD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2835"/>
          <w:tab w:val="left" w:pos="992"/>
          <w:tab w:val="left" w:pos="2551"/>
          <w:tab w:val="left" w:pos="4536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2,500</w:t>
      </w:r>
      <w:r>
        <w:rPr>
          <w:rStyle w:val="default"/>
          <w:rFonts w:cs="FrankRuehl"/>
          <w:rtl/>
        </w:rPr>
        <w:tab/>
        <w:t>2,000</w:t>
      </w:r>
      <w:r>
        <w:rPr>
          <w:rStyle w:val="default"/>
          <w:rFonts w:cs="FrankRuehl"/>
          <w:rtl/>
        </w:rPr>
        <w:tab/>
        <w:t>2,000</w:t>
      </w:r>
    </w:p>
    <w:p w:rsidR="00880BDA" w:rsidRDefault="00880BDA">
      <w:pPr>
        <w:pStyle w:val="header-2"/>
        <w:ind w:left="0" w:right="1134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טב</w:t>
      </w:r>
      <w:r>
        <w:rPr>
          <w:rFonts w:cs="David" w:hint="cs"/>
          <w:sz w:val="24"/>
          <w:szCs w:val="24"/>
          <w:rtl/>
        </w:rPr>
        <w:t>לה ב'</w:t>
      </w:r>
    </w:p>
    <w:p w:rsidR="00880BDA" w:rsidRPr="00CC10AD" w:rsidRDefault="00880BDA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CC10AD">
        <w:rPr>
          <w:rFonts w:cs="FrankRuehl"/>
          <w:b/>
          <w:bCs/>
          <w:sz w:val="22"/>
          <w:szCs w:val="22"/>
          <w:rtl/>
        </w:rPr>
        <w:t>דמ</w:t>
      </w:r>
      <w:r w:rsidRPr="00CC10AD">
        <w:rPr>
          <w:rFonts w:cs="FrankRuehl" w:hint="cs"/>
          <w:b/>
          <w:bCs/>
          <w:sz w:val="22"/>
          <w:szCs w:val="22"/>
          <w:rtl/>
        </w:rPr>
        <w:t>י השכירות השנתיים של בתי חרו</w:t>
      </w:r>
      <w:r w:rsidRPr="00CC10AD">
        <w:rPr>
          <w:rFonts w:cs="FrankRuehl"/>
          <w:b/>
          <w:bCs/>
          <w:sz w:val="22"/>
          <w:szCs w:val="22"/>
          <w:rtl/>
        </w:rPr>
        <w:t>שת</w:t>
      </w:r>
    </w:p>
    <w:p w:rsidR="00880BDA" w:rsidRPr="00CC10AD" w:rsidRDefault="00880BDA" w:rsidP="00CC10AD">
      <w:pPr>
        <w:pStyle w:val="P03"/>
        <w:pBdr>
          <w:top w:val="single" w:sz="4" w:space="1" w:color="auto"/>
        </w:pBdr>
        <w:tabs>
          <w:tab w:val="clear" w:pos="1928"/>
          <w:tab w:val="clear" w:pos="2381"/>
          <w:tab w:val="clear" w:pos="2835"/>
          <w:tab w:val="left" w:pos="1984"/>
          <w:tab w:val="left" w:pos="4536"/>
        </w:tabs>
        <w:spacing w:before="72"/>
        <w:ind w:left="1474" w:right="1134"/>
        <w:rPr>
          <w:rStyle w:val="default"/>
          <w:rFonts w:cs="FrankRuehl"/>
          <w:sz w:val="22"/>
          <w:szCs w:val="22"/>
          <w:rtl/>
        </w:rPr>
      </w:pPr>
      <w:r w:rsidRPr="00CC10AD">
        <w:rPr>
          <w:rFonts w:cs="FrankRuehl"/>
          <w:sz w:val="22"/>
          <w:szCs w:val="22"/>
          <w:rtl/>
        </w:rPr>
        <w:tab/>
      </w:r>
      <w:r w:rsidRPr="00CC10AD">
        <w:rPr>
          <w:rFonts w:cs="FrankRuehl"/>
          <w:sz w:val="22"/>
          <w:szCs w:val="22"/>
          <w:rtl/>
        </w:rPr>
        <w:tab/>
      </w:r>
      <w:r w:rsidRPr="00CC10AD">
        <w:rPr>
          <w:rFonts w:cs="FrankRuehl"/>
          <w:sz w:val="22"/>
          <w:szCs w:val="22"/>
          <w:rtl/>
        </w:rPr>
        <w:tab/>
      </w:r>
      <w:r w:rsidRPr="00CC10AD">
        <w:rPr>
          <w:rFonts w:cs="FrankRuehl"/>
          <w:sz w:val="22"/>
          <w:szCs w:val="22"/>
          <w:rtl/>
        </w:rPr>
        <w:tab/>
      </w:r>
      <w:r w:rsidRPr="00CC10AD">
        <w:rPr>
          <w:rStyle w:val="default"/>
          <w:rFonts w:cs="FrankRuehl"/>
          <w:sz w:val="22"/>
          <w:szCs w:val="22"/>
          <w:rtl/>
        </w:rPr>
        <w:t>אז</w:t>
      </w:r>
      <w:r w:rsidRPr="00CC10AD">
        <w:rPr>
          <w:rStyle w:val="default"/>
          <w:rFonts w:cs="FrankRuehl" w:hint="cs"/>
          <w:sz w:val="22"/>
          <w:szCs w:val="22"/>
          <w:rtl/>
        </w:rPr>
        <w:t>ור</w:t>
      </w:r>
      <w:r w:rsidRPr="00CC10AD">
        <w:rPr>
          <w:rStyle w:val="default"/>
          <w:rFonts w:cs="FrankRuehl"/>
          <w:sz w:val="22"/>
          <w:szCs w:val="22"/>
          <w:rtl/>
        </w:rPr>
        <w:tab/>
        <w:t>ב</w:t>
      </w:r>
      <w:r w:rsidRPr="00CC10AD">
        <w:rPr>
          <w:rStyle w:val="default"/>
          <w:rFonts w:cs="FrankRuehl" w:hint="cs"/>
          <w:sz w:val="22"/>
          <w:szCs w:val="22"/>
          <w:rtl/>
        </w:rPr>
        <w:t>עד כל מטר מרובע</w:t>
      </w:r>
    </w:p>
    <w:p w:rsidR="00880BDA" w:rsidRPr="00CC10AD" w:rsidRDefault="00880BDA" w:rsidP="003267C2">
      <w:pPr>
        <w:pStyle w:val="P03"/>
        <w:tabs>
          <w:tab w:val="clear" w:pos="1928"/>
          <w:tab w:val="clear" w:pos="2381"/>
          <w:tab w:val="clear" w:pos="2835"/>
          <w:tab w:val="left" w:pos="1984"/>
          <w:tab w:val="left" w:pos="4536"/>
        </w:tabs>
        <w:spacing w:before="0"/>
        <w:ind w:left="1474" w:right="1134"/>
        <w:rPr>
          <w:rStyle w:val="default"/>
          <w:rFonts w:cs="FrankRuehl" w:hint="cs"/>
          <w:sz w:val="22"/>
          <w:szCs w:val="22"/>
          <w:rtl/>
        </w:rPr>
      </w:pPr>
      <w:r w:rsidRPr="00CC10AD">
        <w:rPr>
          <w:rStyle w:val="default"/>
          <w:rFonts w:cs="FrankRuehl"/>
          <w:sz w:val="22"/>
          <w:szCs w:val="22"/>
          <w:rtl/>
        </w:rPr>
        <w:tab/>
      </w:r>
      <w:r w:rsidRPr="00CC10AD">
        <w:rPr>
          <w:rStyle w:val="default"/>
          <w:rFonts w:cs="FrankRuehl"/>
          <w:sz w:val="22"/>
          <w:szCs w:val="22"/>
          <w:rtl/>
        </w:rPr>
        <w:tab/>
      </w:r>
      <w:r w:rsidRPr="00CC10AD">
        <w:rPr>
          <w:rStyle w:val="default"/>
          <w:rFonts w:cs="FrankRuehl"/>
          <w:sz w:val="22"/>
          <w:szCs w:val="22"/>
          <w:rtl/>
        </w:rPr>
        <w:tab/>
      </w:r>
      <w:r w:rsidRPr="00CC10AD">
        <w:rPr>
          <w:rStyle w:val="default"/>
          <w:rFonts w:cs="FrankRuehl"/>
          <w:sz w:val="22"/>
          <w:szCs w:val="22"/>
          <w:rtl/>
        </w:rPr>
        <w:tab/>
      </w:r>
      <w:r w:rsidRPr="00CC10AD">
        <w:rPr>
          <w:rStyle w:val="default"/>
          <w:rFonts w:cs="FrankRuehl"/>
          <w:sz w:val="22"/>
          <w:szCs w:val="22"/>
          <w:rtl/>
        </w:rPr>
        <w:tab/>
        <w:t xml:space="preserve">          </w:t>
      </w:r>
      <w:r w:rsidRPr="00CC10AD">
        <w:rPr>
          <w:rStyle w:val="default"/>
          <w:rFonts w:cs="FrankRuehl" w:hint="cs"/>
          <w:sz w:val="22"/>
          <w:szCs w:val="22"/>
          <w:rtl/>
        </w:rPr>
        <w:t>ל"י</w:t>
      </w:r>
      <w:r w:rsidRPr="00CC10AD">
        <w:rPr>
          <w:rFonts w:cs="FrankRuehl"/>
          <w:sz w:val="22"/>
          <w:szCs w:val="22"/>
          <w:rtl/>
        </w:rPr>
        <w:t> </w:t>
      </w:r>
      <w:r w:rsidRPr="00CC10AD">
        <w:rPr>
          <w:rFonts w:cs="FrankRuehl"/>
          <w:sz w:val="22"/>
          <w:szCs w:val="22"/>
          <w:rtl/>
        </w:rPr>
        <w:t> </w:t>
      </w:r>
    </w:p>
    <w:p w:rsidR="00880BDA" w:rsidRDefault="00880BDA">
      <w:pPr>
        <w:pStyle w:val="P00"/>
        <w:tabs>
          <w:tab w:val="clear" w:pos="2835"/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אז</w:t>
      </w:r>
      <w:r>
        <w:rPr>
          <w:rFonts w:cs="FrankRuehl" w:hint="cs"/>
          <w:sz w:val="26"/>
          <w:rtl/>
        </w:rPr>
        <w:t>ורי העיריות של ירושלים, תל- אביב וחיפה</w:t>
      </w:r>
      <w:r>
        <w:rPr>
          <w:rFonts w:cs="FrankRuehl"/>
          <w:sz w:val="26"/>
          <w:rtl/>
        </w:rPr>
        <w:tab/>
        <w:t>2,200</w:t>
      </w:r>
      <w:r>
        <w:rPr>
          <w:rFonts w:cs="FrankRuehl"/>
          <w:sz w:val="26"/>
          <w:rtl/>
        </w:rPr>
        <w:t> </w:t>
      </w:r>
    </w:p>
    <w:p w:rsidR="00880BDA" w:rsidRDefault="00880BDA">
      <w:pPr>
        <w:pStyle w:val="P00"/>
        <w:tabs>
          <w:tab w:val="clear" w:pos="2835"/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ורי העיריות של טבריה, לוד, נצרת, עכו, צפת ורמלה</w:t>
      </w:r>
      <w:r>
        <w:rPr>
          <w:rFonts w:cs="FrankRuehl"/>
          <w:sz w:val="26"/>
          <w:rtl/>
        </w:rPr>
        <w:tab/>
        <w:t>2,000</w:t>
      </w:r>
      <w:r>
        <w:rPr>
          <w:rFonts w:cs="FrankRuehl"/>
          <w:sz w:val="26"/>
          <w:rtl/>
        </w:rPr>
        <w:t> </w:t>
      </w:r>
    </w:p>
    <w:p w:rsidR="00880BDA" w:rsidRDefault="00880BDA">
      <w:pPr>
        <w:pStyle w:val="P00"/>
        <w:tabs>
          <w:tab w:val="clear" w:pos="2835"/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ורי עיריות אחרים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1,750</w:t>
      </w:r>
      <w:r>
        <w:rPr>
          <w:rFonts w:cs="FrankRuehl"/>
          <w:sz w:val="26"/>
          <w:rtl/>
        </w:rPr>
        <w:t> </w:t>
      </w:r>
    </w:p>
    <w:p w:rsidR="00880BDA" w:rsidRDefault="00880BDA" w:rsidP="00CC10AD">
      <w:pPr>
        <w:pStyle w:val="P00"/>
        <w:pBdr>
          <w:bottom w:val="single" w:sz="4" w:space="1" w:color="auto"/>
        </w:pBdr>
        <w:tabs>
          <w:tab w:val="clear" w:pos="2835"/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ורים אחרים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1,500</w:t>
      </w:r>
      <w:r>
        <w:rPr>
          <w:rFonts w:cs="FrankRuehl"/>
          <w:sz w:val="26"/>
          <w:rtl/>
        </w:rPr>
        <w:t> </w:t>
      </w:r>
    </w:p>
    <w:p w:rsidR="00880BDA" w:rsidRPr="00CC10AD" w:rsidRDefault="00880BDA">
      <w:pPr>
        <w:pStyle w:val="header-2"/>
        <w:ind w:left="0" w:right="1134"/>
        <w:rPr>
          <w:rFonts w:cs="David"/>
          <w:sz w:val="22"/>
          <w:szCs w:val="22"/>
          <w:rtl/>
        </w:rPr>
      </w:pPr>
      <w:r w:rsidRPr="00CC10AD">
        <w:rPr>
          <w:rFonts w:cs="David"/>
          <w:sz w:val="22"/>
          <w:szCs w:val="22"/>
          <w:rtl/>
        </w:rPr>
        <w:t>טב</w:t>
      </w:r>
      <w:r w:rsidRPr="00CC10AD">
        <w:rPr>
          <w:rFonts w:cs="David" w:hint="cs"/>
          <w:sz w:val="22"/>
          <w:szCs w:val="22"/>
          <w:rtl/>
        </w:rPr>
        <w:t>לה ג'</w:t>
      </w:r>
    </w:p>
    <w:p w:rsidR="00880BDA" w:rsidRPr="00CC10AD" w:rsidRDefault="00880BDA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CC10AD">
        <w:rPr>
          <w:rFonts w:cs="FrankRuehl"/>
          <w:b/>
          <w:bCs/>
          <w:sz w:val="22"/>
          <w:szCs w:val="22"/>
          <w:rtl/>
        </w:rPr>
        <w:t>דמ</w:t>
      </w:r>
      <w:r w:rsidRPr="00CC10AD">
        <w:rPr>
          <w:rFonts w:cs="FrankRuehl" w:hint="cs"/>
          <w:b/>
          <w:bCs/>
          <w:sz w:val="22"/>
          <w:szCs w:val="22"/>
          <w:rtl/>
        </w:rPr>
        <w:t>י השכירות השנתיים של מחסנים</w:t>
      </w:r>
    </w:p>
    <w:p w:rsidR="00880BDA" w:rsidRPr="00CC10AD" w:rsidRDefault="00880BDA" w:rsidP="00CC10AD">
      <w:pPr>
        <w:pStyle w:val="P03"/>
        <w:pBdr>
          <w:top w:val="single" w:sz="4" w:space="1" w:color="auto"/>
        </w:pBdr>
        <w:tabs>
          <w:tab w:val="clear" w:pos="1928"/>
          <w:tab w:val="clear" w:pos="2381"/>
          <w:tab w:val="clear" w:pos="2835"/>
          <w:tab w:val="left" w:pos="1984"/>
          <w:tab w:val="left" w:pos="4536"/>
        </w:tabs>
        <w:spacing w:before="72"/>
        <w:ind w:left="1474" w:right="1134"/>
        <w:rPr>
          <w:rStyle w:val="default"/>
          <w:rFonts w:cs="FrankRuehl"/>
          <w:sz w:val="22"/>
          <w:szCs w:val="22"/>
          <w:rtl/>
        </w:rPr>
      </w:pPr>
      <w:r w:rsidRPr="00CC10AD">
        <w:rPr>
          <w:rFonts w:cs="FrankRuehl"/>
          <w:sz w:val="22"/>
          <w:szCs w:val="22"/>
          <w:rtl/>
        </w:rPr>
        <w:tab/>
      </w:r>
      <w:r w:rsidRPr="00CC10AD">
        <w:rPr>
          <w:rFonts w:cs="FrankRuehl"/>
          <w:sz w:val="22"/>
          <w:szCs w:val="22"/>
          <w:rtl/>
        </w:rPr>
        <w:tab/>
      </w:r>
      <w:r w:rsidRPr="00CC10AD">
        <w:rPr>
          <w:rFonts w:cs="FrankRuehl"/>
          <w:sz w:val="22"/>
          <w:szCs w:val="22"/>
          <w:rtl/>
        </w:rPr>
        <w:tab/>
      </w:r>
      <w:r w:rsidRPr="00CC10AD">
        <w:rPr>
          <w:rFonts w:cs="FrankRuehl"/>
          <w:sz w:val="22"/>
          <w:szCs w:val="22"/>
          <w:rtl/>
        </w:rPr>
        <w:tab/>
      </w:r>
      <w:r w:rsidRPr="00CC10AD">
        <w:rPr>
          <w:rStyle w:val="default"/>
          <w:rFonts w:cs="FrankRuehl"/>
          <w:sz w:val="22"/>
          <w:szCs w:val="22"/>
          <w:rtl/>
        </w:rPr>
        <w:t>אז</w:t>
      </w:r>
      <w:r w:rsidRPr="00CC10AD">
        <w:rPr>
          <w:rStyle w:val="default"/>
          <w:rFonts w:cs="FrankRuehl" w:hint="cs"/>
          <w:sz w:val="22"/>
          <w:szCs w:val="22"/>
          <w:rtl/>
        </w:rPr>
        <w:t>ור</w:t>
      </w:r>
      <w:r w:rsidRPr="00CC10AD">
        <w:rPr>
          <w:rStyle w:val="default"/>
          <w:rFonts w:cs="FrankRuehl"/>
          <w:sz w:val="22"/>
          <w:szCs w:val="22"/>
          <w:rtl/>
        </w:rPr>
        <w:tab/>
        <w:t>ב</w:t>
      </w:r>
      <w:r w:rsidRPr="00CC10AD">
        <w:rPr>
          <w:rStyle w:val="default"/>
          <w:rFonts w:cs="FrankRuehl" w:hint="cs"/>
          <w:sz w:val="22"/>
          <w:szCs w:val="22"/>
          <w:rtl/>
        </w:rPr>
        <w:t>עד כל מטר מרובע</w:t>
      </w:r>
    </w:p>
    <w:p w:rsidR="00880BDA" w:rsidRDefault="00880BDA" w:rsidP="003267C2">
      <w:pPr>
        <w:pStyle w:val="P03"/>
        <w:tabs>
          <w:tab w:val="clear" w:pos="2835"/>
          <w:tab w:val="left" w:pos="4819"/>
        </w:tabs>
        <w:spacing w:before="0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ab/>
        <w:t xml:space="preserve">        </w:t>
      </w:r>
      <w:r>
        <w:rPr>
          <w:rStyle w:val="default"/>
          <w:rFonts w:cs="FrankRuehl"/>
          <w:sz w:val="20"/>
          <w:szCs w:val="20"/>
          <w:rtl/>
        </w:rPr>
        <w:tab/>
        <w:t xml:space="preserve">  </w:t>
      </w:r>
      <w:r>
        <w:rPr>
          <w:rStyle w:val="default"/>
          <w:rFonts w:cs="FrankRuehl" w:hint="cs"/>
          <w:sz w:val="20"/>
          <w:szCs w:val="20"/>
          <w:rtl/>
        </w:rPr>
        <w:t>ל"י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</w:p>
    <w:p w:rsidR="00880BDA" w:rsidRDefault="00880BDA">
      <w:pPr>
        <w:pStyle w:val="P00"/>
        <w:tabs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אז</w:t>
      </w:r>
      <w:r>
        <w:rPr>
          <w:rFonts w:cs="FrankRuehl" w:hint="cs"/>
          <w:sz w:val="26"/>
          <w:rtl/>
        </w:rPr>
        <w:t>ורי העיריות של ירושלים, תל- אביב</w:t>
      </w:r>
      <w:r>
        <w:rPr>
          <w:rFonts w:cs="FrankRuehl"/>
          <w:sz w:val="26"/>
          <w:rtl/>
        </w:rPr>
        <w:t>–י</w:t>
      </w:r>
      <w:r>
        <w:rPr>
          <w:rFonts w:cs="FrankRuehl" w:hint="cs"/>
          <w:sz w:val="26"/>
          <w:rtl/>
        </w:rPr>
        <w:t>פו וחיפה</w:t>
      </w:r>
      <w:r>
        <w:rPr>
          <w:rFonts w:cs="FrankRuehl"/>
          <w:sz w:val="26"/>
          <w:rtl/>
        </w:rPr>
        <w:tab/>
        <w:t>2,200</w:t>
      </w:r>
      <w:r>
        <w:rPr>
          <w:rFonts w:cs="FrankRuehl"/>
          <w:sz w:val="26"/>
          <w:rtl/>
        </w:rPr>
        <w:t> </w:t>
      </w:r>
    </w:p>
    <w:p w:rsidR="00880BDA" w:rsidRDefault="00880BDA">
      <w:pPr>
        <w:pStyle w:val="P00"/>
        <w:tabs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ורי העיריות של טבריה</w:t>
      </w:r>
      <w:r>
        <w:rPr>
          <w:rFonts w:cs="FrankRuehl"/>
          <w:sz w:val="26"/>
          <w:rtl/>
        </w:rPr>
        <w:t>, ל</w:t>
      </w:r>
      <w:r>
        <w:rPr>
          <w:rFonts w:cs="FrankRuehl" w:hint="cs"/>
          <w:sz w:val="26"/>
          <w:rtl/>
        </w:rPr>
        <w:t>וד, נצרת, עכו, צפת ורמלה</w:t>
      </w:r>
      <w:r>
        <w:rPr>
          <w:rFonts w:cs="FrankRuehl"/>
          <w:sz w:val="26"/>
          <w:rtl/>
        </w:rPr>
        <w:tab/>
        <w:t>2,000</w:t>
      </w:r>
      <w:r>
        <w:rPr>
          <w:rFonts w:cs="FrankRuehl"/>
          <w:sz w:val="26"/>
          <w:rtl/>
        </w:rPr>
        <w:t> </w:t>
      </w:r>
    </w:p>
    <w:p w:rsidR="00880BDA" w:rsidRDefault="00880BDA">
      <w:pPr>
        <w:pStyle w:val="P00"/>
        <w:tabs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ורי עיריות אחרים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1,750</w:t>
      </w:r>
      <w:r>
        <w:rPr>
          <w:rFonts w:cs="FrankRuehl"/>
          <w:sz w:val="26"/>
          <w:rtl/>
        </w:rPr>
        <w:t> </w:t>
      </w:r>
    </w:p>
    <w:p w:rsidR="00880BDA" w:rsidRDefault="00880BDA" w:rsidP="00CC10AD">
      <w:pPr>
        <w:pStyle w:val="P00"/>
        <w:pBdr>
          <w:bottom w:val="single" w:sz="4" w:space="1" w:color="auto"/>
        </w:pBdr>
        <w:tabs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ורים אחרים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1,500</w:t>
      </w:r>
      <w:r>
        <w:rPr>
          <w:rFonts w:cs="FrankRuehl"/>
          <w:sz w:val="26"/>
          <w:rtl/>
        </w:rPr>
        <w:t> </w:t>
      </w:r>
    </w:p>
    <w:p w:rsidR="00880BDA" w:rsidRDefault="00880BDA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880BDA" w:rsidRPr="00CC10AD" w:rsidRDefault="00880BDA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0" w:name="med2"/>
      <w:bookmarkEnd w:id="10"/>
      <w:r w:rsidRPr="00CC10AD">
        <w:rPr>
          <w:rFonts w:cs="FrankRuehl"/>
          <w:noProof/>
          <w:sz w:val="26"/>
          <w:szCs w:val="26"/>
          <w:rtl/>
        </w:rPr>
        <w:t>תו</w:t>
      </w:r>
      <w:r w:rsidRPr="00CC10AD">
        <w:rPr>
          <w:rFonts w:cs="FrankRuehl" w:hint="cs"/>
          <w:noProof/>
          <w:sz w:val="26"/>
          <w:szCs w:val="26"/>
          <w:rtl/>
        </w:rPr>
        <w:t>ספת שלישית</w:t>
      </w:r>
    </w:p>
    <w:p w:rsidR="00880BDA" w:rsidRPr="00CC10AD" w:rsidRDefault="00880BDA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CC10AD">
        <w:rPr>
          <w:rFonts w:cs="FrankRuehl"/>
          <w:sz w:val="24"/>
          <w:szCs w:val="24"/>
          <w:rtl/>
        </w:rPr>
        <w:t>(ת</w:t>
      </w:r>
      <w:r w:rsidRPr="00CC10AD">
        <w:rPr>
          <w:rFonts w:cs="FrankRuehl" w:hint="cs"/>
          <w:sz w:val="24"/>
          <w:szCs w:val="24"/>
          <w:rtl/>
        </w:rPr>
        <w:t>קנה 3)</w:t>
      </w:r>
    </w:p>
    <w:p w:rsidR="00880BDA" w:rsidRPr="003267C2" w:rsidRDefault="00880BDA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3267C2">
        <w:rPr>
          <w:rFonts w:cs="FrankRuehl" w:hint="cs"/>
          <w:b/>
          <w:bCs/>
          <w:sz w:val="22"/>
          <w:szCs w:val="22"/>
          <w:rtl/>
        </w:rPr>
        <w:t>ד</w:t>
      </w:r>
      <w:r w:rsidRPr="003267C2">
        <w:rPr>
          <w:rFonts w:cs="FrankRuehl"/>
          <w:b/>
          <w:bCs/>
          <w:sz w:val="22"/>
          <w:szCs w:val="22"/>
          <w:rtl/>
        </w:rPr>
        <w:t>מ</w:t>
      </w:r>
      <w:r w:rsidRPr="003267C2">
        <w:rPr>
          <w:rFonts w:cs="FrankRuehl" w:hint="cs"/>
          <w:b/>
          <w:bCs/>
          <w:sz w:val="22"/>
          <w:szCs w:val="22"/>
          <w:rtl/>
        </w:rPr>
        <w:t>י השכירות השנתיים של בתי הארחה</w:t>
      </w:r>
    </w:p>
    <w:p w:rsidR="00880BDA" w:rsidRPr="003267C2" w:rsidRDefault="00880BDA" w:rsidP="003267C2">
      <w:pPr>
        <w:pStyle w:val="P00"/>
        <w:pBdr>
          <w:top w:val="single" w:sz="4" w:space="1" w:color="auto"/>
        </w:pBdr>
        <w:tabs>
          <w:tab w:val="clear" w:pos="2835"/>
          <w:tab w:val="left" w:pos="4394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 w:rsidRPr="003267C2">
        <w:rPr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>דר</w:t>
      </w:r>
      <w:r w:rsidRPr="003267C2">
        <w:rPr>
          <w:rStyle w:val="default"/>
          <w:rFonts w:cs="FrankRuehl" w:hint="cs"/>
          <w:sz w:val="22"/>
          <w:szCs w:val="22"/>
          <w:rtl/>
        </w:rPr>
        <w:t>גה</w:t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  <w:t>ב</w:t>
      </w:r>
      <w:r w:rsidRPr="003267C2">
        <w:rPr>
          <w:rStyle w:val="default"/>
          <w:rFonts w:cs="FrankRuehl" w:hint="cs"/>
          <w:sz w:val="22"/>
          <w:szCs w:val="22"/>
          <w:rtl/>
        </w:rPr>
        <w:t>עד כל</w:t>
      </w:r>
      <w:r w:rsidRPr="003267C2">
        <w:rPr>
          <w:rStyle w:val="default"/>
          <w:rFonts w:cs="FrankRuehl"/>
          <w:sz w:val="22"/>
          <w:szCs w:val="22"/>
          <w:rtl/>
        </w:rPr>
        <w:t xml:space="preserve"> מ</w:t>
      </w:r>
      <w:r w:rsidRPr="003267C2">
        <w:rPr>
          <w:rStyle w:val="default"/>
          <w:rFonts w:cs="FrankRuehl" w:hint="cs"/>
          <w:sz w:val="22"/>
          <w:szCs w:val="22"/>
          <w:rtl/>
        </w:rPr>
        <w:t>טר מרובע</w:t>
      </w:r>
    </w:p>
    <w:p w:rsidR="00880BDA" w:rsidRPr="003267C2" w:rsidRDefault="00880BDA" w:rsidP="003267C2">
      <w:pPr>
        <w:pStyle w:val="P00"/>
        <w:tabs>
          <w:tab w:val="clear" w:pos="2835"/>
          <w:tab w:val="left" w:pos="4394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  <w:t xml:space="preserve">            </w:t>
      </w:r>
      <w:r w:rsidRPr="003267C2">
        <w:rPr>
          <w:rStyle w:val="default"/>
          <w:rFonts w:cs="FrankRuehl" w:hint="cs"/>
          <w:sz w:val="22"/>
          <w:szCs w:val="22"/>
          <w:rtl/>
        </w:rPr>
        <w:t>ל"י</w:t>
      </w:r>
      <w:r w:rsidRPr="003267C2">
        <w:rPr>
          <w:rFonts w:cs="FrankRuehl"/>
          <w:sz w:val="22"/>
          <w:szCs w:val="22"/>
          <w:rtl/>
        </w:rPr>
        <w:t> </w:t>
      </w:r>
      <w:r w:rsidRPr="003267C2">
        <w:rPr>
          <w:rFonts w:cs="FrankRuehl"/>
          <w:sz w:val="22"/>
          <w:szCs w:val="22"/>
          <w:rtl/>
        </w:rPr>
        <w:t> </w:t>
      </w:r>
    </w:p>
    <w:p w:rsidR="00880BDA" w:rsidRDefault="00880BDA">
      <w:pPr>
        <w:pStyle w:val="P00"/>
        <w:tabs>
          <w:tab w:val="left" w:pos="481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4.500</w:t>
      </w:r>
      <w:r>
        <w:rPr>
          <w:rFonts w:cs="FrankRuehl"/>
          <w:sz w:val="26"/>
          <w:rtl/>
        </w:rPr>
        <w:t> </w:t>
      </w:r>
    </w:p>
    <w:p w:rsidR="00880BDA" w:rsidRDefault="00880BDA">
      <w:pPr>
        <w:pStyle w:val="P00"/>
        <w:tabs>
          <w:tab w:val="left" w:pos="481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2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6.000</w:t>
      </w:r>
    </w:p>
    <w:p w:rsidR="00880BDA" w:rsidRDefault="00880BDA">
      <w:pPr>
        <w:pStyle w:val="P00"/>
        <w:tabs>
          <w:tab w:val="left" w:pos="481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3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5.000</w:t>
      </w:r>
    </w:p>
    <w:p w:rsidR="00880BDA" w:rsidRDefault="00880BDA">
      <w:pPr>
        <w:pStyle w:val="P00"/>
        <w:tabs>
          <w:tab w:val="left" w:pos="481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4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7.000</w:t>
      </w:r>
    </w:p>
    <w:p w:rsidR="00880BDA" w:rsidRDefault="00880BDA" w:rsidP="003267C2">
      <w:pPr>
        <w:pStyle w:val="P00"/>
        <w:pBdr>
          <w:bottom w:val="single" w:sz="4" w:space="1" w:color="auto"/>
        </w:pBdr>
        <w:tabs>
          <w:tab w:val="left" w:pos="481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5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7.500</w:t>
      </w:r>
    </w:p>
    <w:p w:rsidR="00880BDA" w:rsidRDefault="00880BDA">
      <w:pPr>
        <w:pStyle w:val="page"/>
        <w:widowControl/>
        <w:ind w:right="1134"/>
        <w:rPr>
          <w:rFonts w:cs="David" w:hint="cs"/>
          <w:position w:val="0"/>
          <w:sz w:val="22"/>
          <w:rtl/>
        </w:rPr>
      </w:pPr>
    </w:p>
    <w:p w:rsidR="00880BDA" w:rsidRPr="003267C2" w:rsidRDefault="00880BDA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1" w:name="med3"/>
      <w:bookmarkEnd w:id="11"/>
      <w:r w:rsidRPr="003267C2">
        <w:rPr>
          <w:rFonts w:cs="FrankRuehl"/>
          <w:noProof/>
          <w:sz w:val="26"/>
          <w:szCs w:val="26"/>
          <w:rtl/>
        </w:rPr>
        <w:t>תו</w:t>
      </w:r>
      <w:r w:rsidRPr="003267C2">
        <w:rPr>
          <w:rFonts w:cs="FrankRuehl" w:hint="cs"/>
          <w:noProof/>
          <w:sz w:val="26"/>
          <w:szCs w:val="26"/>
          <w:rtl/>
        </w:rPr>
        <w:t>ספת רביעית</w:t>
      </w:r>
    </w:p>
    <w:p w:rsidR="00880BDA" w:rsidRPr="003267C2" w:rsidRDefault="00880BDA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3267C2">
        <w:rPr>
          <w:rFonts w:cs="FrankRuehl"/>
          <w:sz w:val="24"/>
          <w:szCs w:val="24"/>
          <w:rtl/>
        </w:rPr>
        <w:t>(ת</w:t>
      </w:r>
      <w:r w:rsidRPr="003267C2">
        <w:rPr>
          <w:rFonts w:cs="FrankRuehl" w:hint="cs"/>
          <w:sz w:val="24"/>
          <w:szCs w:val="24"/>
          <w:rtl/>
        </w:rPr>
        <w:t>קנה 4)</w:t>
      </w:r>
    </w:p>
    <w:p w:rsidR="00880BDA" w:rsidRPr="003267C2" w:rsidRDefault="00880BDA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3267C2">
        <w:rPr>
          <w:rFonts w:cs="FrankRuehl" w:hint="cs"/>
          <w:b/>
          <w:bCs/>
          <w:sz w:val="22"/>
          <w:szCs w:val="22"/>
          <w:rtl/>
        </w:rPr>
        <w:t>ד</w:t>
      </w:r>
      <w:r w:rsidRPr="003267C2">
        <w:rPr>
          <w:rFonts w:cs="FrankRuehl"/>
          <w:b/>
          <w:bCs/>
          <w:sz w:val="22"/>
          <w:szCs w:val="22"/>
          <w:rtl/>
        </w:rPr>
        <w:t>מ</w:t>
      </w:r>
      <w:r w:rsidRPr="003267C2">
        <w:rPr>
          <w:rFonts w:cs="FrankRuehl" w:hint="cs"/>
          <w:b/>
          <w:bCs/>
          <w:sz w:val="22"/>
          <w:szCs w:val="22"/>
          <w:rtl/>
        </w:rPr>
        <w:t>י השכירות השנתיים של תיאטראות</w:t>
      </w:r>
    </w:p>
    <w:p w:rsidR="00880BDA" w:rsidRPr="003267C2" w:rsidRDefault="00880BDA" w:rsidP="003267C2">
      <w:pPr>
        <w:pStyle w:val="P03"/>
        <w:pBdr>
          <w:top w:val="single" w:sz="4" w:space="1" w:color="auto"/>
        </w:pBdr>
        <w:tabs>
          <w:tab w:val="clear" w:pos="2835"/>
          <w:tab w:val="left" w:pos="4252"/>
        </w:tabs>
        <w:spacing w:before="72"/>
        <w:ind w:left="1474" w:right="1134"/>
        <w:rPr>
          <w:rStyle w:val="default"/>
          <w:rFonts w:cs="FrankRuehl"/>
          <w:sz w:val="22"/>
          <w:szCs w:val="22"/>
          <w:rtl/>
        </w:rPr>
      </w:pPr>
      <w:r w:rsidRPr="003267C2">
        <w:rPr>
          <w:rFonts w:cs="FrankRuehl"/>
          <w:sz w:val="22"/>
          <w:szCs w:val="22"/>
          <w:rtl/>
        </w:rPr>
        <w:tab/>
      </w:r>
      <w:r w:rsidRPr="003267C2">
        <w:rPr>
          <w:rFonts w:cs="FrankRuehl"/>
          <w:sz w:val="22"/>
          <w:szCs w:val="22"/>
          <w:rtl/>
        </w:rPr>
        <w:tab/>
      </w:r>
      <w:r w:rsidRPr="003267C2">
        <w:rPr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>אז</w:t>
      </w:r>
      <w:r w:rsidRPr="003267C2">
        <w:rPr>
          <w:rStyle w:val="default"/>
          <w:rFonts w:cs="FrankRuehl" w:hint="cs"/>
          <w:sz w:val="22"/>
          <w:szCs w:val="22"/>
          <w:rtl/>
        </w:rPr>
        <w:t>ור</w:t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  <w:t>ב</w:t>
      </w:r>
      <w:r w:rsidRPr="003267C2">
        <w:rPr>
          <w:rStyle w:val="default"/>
          <w:rFonts w:cs="FrankRuehl" w:hint="cs"/>
          <w:sz w:val="22"/>
          <w:szCs w:val="22"/>
          <w:rtl/>
        </w:rPr>
        <w:t>עד כל מקום ישיבה</w:t>
      </w:r>
    </w:p>
    <w:p w:rsidR="00880BDA" w:rsidRPr="003267C2" w:rsidRDefault="00880BDA" w:rsidP="003267C2">
      <w:pPr>
        <w:pStyle w:val="P03"/>
        <w:tabs>
          <w:tab w:val="clear" w:pos="2835"/>
          <w:tab w:val="left" w:pos="4252"/>
        </w:tabs>
        <w:spacing w:before="0"/>
        <w:ind w:left="1474" w:right="1134"/>
        <w:rPr>
          <w:rStyle w:val="default"/>
          <w:rFonts w:cs="FrankRuehl"/>
          <w:sz w:val="22"/>
          <w:szCs w:val="22"/>
          <w:rtl/>
        </w:rPr>
      </w:pP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</w:r>
      <w:r w:rsidRPr="003267C2">
        <w:rPr>
          <w:rStyle w:val="default"/>
          <w:rFonts w:cs="FrankRuehl"/>
          <w:sz w:val="22"/>
          <w:szCs w:val="22"/>
          <w:rtl/>
        </w:rPr>
        <w:tab/>
        <w:t xml:space="preserve">            </w:t>
      </w:r>
      <w:r w:rsidRPr="003267C2">
        <w:rPr>
          <w:rStyle w:val="default"/>
          <w:rFonts w:cs="FrankRuehl" w:hint="cs"/>
          <w:sz w:val="22"/>
          <w:szCs w:val="22"/>
          <w:rtl/>
        </w:rPr>
        <w:t>ל"י</w:t>
      </w:r>
      <w:r w:rsidRPr="003267C2">
        <w:rPr>
          <w:rFonts w:cs="FrankRuehl"/>
          <w:sz w:val="22"/>
          <w:szCs w:val="22"/>
          <w:rtl/>
        </w:rPr>
        <w:t> </w:t>
      </w:r>
      <w:r w:rsidRPr="003267C2">
        <w:rPr>
          <w:rFonts w:cs="FrankRuehl"/>
          <w:sz w:val="22"/>
          <w:szCs w:val="22"/>
          <w:rtl/>
        </w:rPr>
        <w:t> </w:t>
      </w:r>
    </w:p>
    <w:p w:rsidR="00880BDA" w:rsidRDefault="00880BDA">
      <w:pPr>
        <w:pStyle w:val="P00"/>
        <w:tabs>
          <w:tab w:val="clear" w:pos="2835"/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אז</w:t>
      </w:r>
      <w:r>
        <w:rPr>
          <w:rFonts w:cs="FrankRuehl" w:hint="cs"/>
          <w:sz w:val="26"/>
          <w:rtl/>
        </w:rPr>
        <w:t>ורי העיריות של ירושלים, תל- אביב</w:t>
      </w:r>
      <w:r>
        <w:rPr>
          <w:rFonts w:cs="FrankRuehl"/>
          <w:sz w:val="26"/>
          <w:rtl/>
        </w:rPr>
        <w:t>–י</w:t>
      </w:r>
      <w:r>
        <w:rPr>
          <w:rFonts w:cs="FrankRuehl" w:hint="cs"/>
          <w:sz w:val="26"/>
          <w:rtl/>
        </w:rPr>
        <w:t>פו וחיפה</w:t>
      </w:r>
      <w:r>
        <w:rPr>
          <w:rFonts w:cs="FrankRuehl"/>
          <w:sz w:val="26"/>
          <w:rtl/>
        </w:rPr>
        <w:tab/>
        <w:t>4.000</w:t>
      </w:r>
      <w:r>
        <w:rPr>
          <w:rFonts w:cs="FrankRuehl"/>
          <w:sz w:val="26"/>
          <w:rtl/>
        </w:rPr>
        <w:t> </w:t>
      </w:r>
    </w:p>
    <w:p w:rsidR="00880BDA" w:rsidRDefault="00880BDA">
      <w:pPr>
        <w:pStyle w:val="P00"/>
        <w:tabs>
          <w:tab w:val="clear" w:pos="2835"/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ורי עיריות אחרים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3.000</w:t>
      </w:r>
      <w:r>
        <w:rPr>
          <w:rFonts w:cs="FrankRuehl"/>
          <w:sz w:val="26"/>
          <w:rtl/>
        </w:rPr>
        <w:t> </w:t>
      </w:r>
    </w:p>
    <w:p w:rsidR="00880BDA" w:rsidRDefault="00880BDA" w:rsidP="003267C2">
      <w:pPr>
        <w:pStyle w:val="P00"/>
        <w:pBdr>
          <w:bottom w:val="single" w:sz="4" w:space="1" w:color="auto"/>
        </w:pBdr>
        <w:tabs>
          <w:tab w:val="clear" w:pos="2835"/>
          <w:tab w:val="left" w:pos="4819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ורים אחרים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2.000</w:t>
      </w:r>
      <w:r>
        <w:rPr>
          <w:rFonts w:cs="FrankRuehl"/>
          <w:sz w:val="26"/>
          <w:rtl/>
        </w:rPr>
        <w:t> </w:t>
      </w:r>
    </w:p>
    <w:p w:rsidR="00880BDA" w:rsidRDefault="00880BDA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דמ</w:t>
      </w:r>
      <w:r>
        <w:rPr>
          <w:rStyle w:val="default"/>
          <w:rFonts w:cs="FrankRuehl" w:hint="cs"/>
          <w:rtl/>
        </w:rPr>
        <w:t>י השכירות לתיאטרון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פתוח בחדשי הקיץ בלבד ייקבעו במחצית השיעור הנקוב לעיל.</w:t>
      </w:r>
    </w:p>
    <w:p w:rsidR="00880BDA" w:rsidRDefault="00880B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C10AD" w:rsidRDefault="00CC1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80BDA" w:rsidRPr="00CC10AD" w:rsidRDefault="00880BDA" w:rsidP="00CC10A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CC10AD">
        <w:rPr>
          <w:rFonts w:cs="FrankRuehl"/>
          <w:sz w:val="26"/>
          <w:szCs w:val="26"/>
          <w:rtl/>
        </w:rPr>
        <w:t>כ"</w:t>
      </w:r>
      <w:r w:rsidRPr="00CC10AD">
        <w:rPr>
          <w:rFonts w:cs="FrankRuehl" w:hint="cs"/>
          <w:sz w:val="26"/>
          <w:szCs w:val="26"/>
          <w:rtl/>
        </w:rPr>
        <w:t>ג באייר תשי"א (29 במאי 1951)</w:t>
      </w:r>
      <w:r w:rsidRPr="00CC10AD">
        <w:rPr>
          <w:rFonts w:cs="FrankRuehl"/>
          <w:sz w:val="26"/>
          <w:szCs w:val="26"/>
          <w:rtl/>
        </w:rPr>
        <w:tab/>
        <w:t>פ</w:t>
      </w:r>
      <w:r w:rsidRPr="00CC10AD">
        <w:rPr>
          <w:rFonts w:cs="FrankRuehl" w:hint="cs"/>
          <w:sz w:val="26"/>
          <w:szCs w:val="26"/>
          <w:rtl/>
        </w:rPr>
        <w:t>נחס לבון</w:t>
      </w:r>
    </w:p>
    <w:p w:rsidR="00880BDA" w:rsidRDefault="00880BDA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880BDA" w:rsidRDefault="00880BDA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שר האוצר</w:t>
      </w:r>
    </w:p>
    <w:p w:rsidR="00CC10AD" w:rsidRPr="00CC10AD" w:rsidRDefault="00CC10AD" w:rsidP="00CC1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C10AD" w:rsidRPr="00CC10AD" w:rsidRDefault="00CC10AD" w:rsidP="00CC10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0BDA" w:rsidRPr="00CC10AD" w:rsidRDefault="00880BDA" w:rsidP="00CC1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880BDA" w:rsidRPr="00CC10AD" w:rsidRDefault="00880BDA" w:rsidP="00CC1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880BDA" w:rsidRPr="00CC10A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C25" w:rsidRDefault="00415C25" w:rsidP="003A38E3">
      <w:pPr>
        <w:pStyle w:val="P00"/>
      </w:pPr>
      <w:r>
        <w:separator/>
      </w:r>
    </w:p>
  </w:endnote>
  <w:endnote w:type="continuationSeparator" w:id="0">
    <w:p w:rsidR="00415C25" w:rsidRDefault="00415C25" w:rsidP="003A38E3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BDA" w:rsidRDefault="00880B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80BDA" w:rsidRDefault="00880B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0BDA" w:rsidRDefault="00880B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10AD">
      <w:rPr>
        <w:rFonts w:cs="TopType Jerushalmi"/>
        <w:noProof/>
        <w:color w:val="000000"/>
        <w:sz w:val="14"/>
        <w:szCs w:val="14"/>
      </w:rPr>
      <w:t>D:\Yael\hakika\Revadim</w:t>
    </w:r>
    <w:r w:rsidR="00CC10AD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בלבד\313_004.</w:t>
    </w:r>
    <w:r w:rsidR="00CC10A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BDA" w:rsidRDefault="00880B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7585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80BDA" w:rsidRDefault="00880B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0BDA" w:rsidRDefault="00880B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10AD">
      <w:rPr>
        <w:rFonts w:cs="TopType Jerushalmi"/>
        <w:noProof/>
        <w:color w:val="000000"/>
        <w:sz w:val="14"/>
        <w:szCs w:val="14"/>
      </w:rPr>
      <w:t>D:\Yael\hakika\Revadim</w:t>
    </w:r>
    <w:r w:rsidR="00CC10AD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בלבד\313_004.</w:t>
    </w:r>
    <w:r w:rsidR="00CC10A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C25" w:rsidRDefault="00415C25" w:rsidP="00CC10AD">
      <w:pPr>
        <w:pStyle w:val="P00"/>
        <w:ind w:left="0" w:right="1134"/>
      </w:pPr>
      <w:r>
        <w:separator/>
      </w:r>
    </w:p>
  </w:footnote>
  <w:footnote w:type="continuationSeparator" w:id="0">
    <w:p w:rsidR="00415C25" w:rsidRDefault="00415C25" w:rsidP="003A38E3">
      <w:pPr>
        <w:pStyle w:val="P00"/>
      </w:pPr>
      <w:r>
        <w:continuationSeparator/>
      </w:r>
    </w:p>
  </w:footnote>
  <w:footnote w:id="1">
    <w:p w:rsidR="00CC10AD" w:rsidRPr="00CC10AD" w:rsidRDefault="00CC10AD" w:rsidP="00CC10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C10A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57BA4">
          <w:rPr>
            <w:rStyle w:val="Hyperlink"/>
            <w:rFonts w:cs="FrankRuehl" w:hint="cs"/>
            <w:rtl/>
          </w:rPr>
          <w:t>ק"ת תשי"א מס' 186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>יום 26.6.1951 עמ' 1219.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BDA" w:rsidRDefault="00880B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נכסי נפקדים (דמי שכירות של בתי עסק), תשי"א–1951</w:t>
    </w:r>
  </w:p>
  <w:p w:rsidR="00880BDA" w:rsidRDefault="00880B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0BDA" w:rsidRDefault="00880B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BDA" w:rsidRDefault="00880BDA" w:rsidP="00CC10A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נכסי נפקדים (דמי שכירות של בתי עסק), תשי"א</w:t>
    </w:r>
    <w:r w:rsidR="00CC10A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:rsidR="00880BDA" w:rsidRDefault="00880B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0BDA" w:rsidRDefault="00880B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7BA4"/>
    <w:rsid w:val="00057BA4"/>
    <w:rsid w:val="003267C2"/>
    <w:rsid w:val="003A38E3"/>
    <w:rsid w:val="00415C25"/>
    <w:rsid w:val="004A0649"/>
    <w:rsid w:val="00880BDA"/>
    <w:rsid w:val="008E7B2F"/>
    <w:rsid w:val="00972B18"/>
    <w:rsid w:val="009D39D3"/>
    <w:rsid w:val="00C7585E"/>
    <w:rsid w:val="00C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9718FBE-9CFF-4128-BF10-137E12AC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C10AD"/>
    <w:rPr>
      <w:sz w:val="20"/>
      <w:szCs w:val="20"/>
    </w:rPr>
  </w:style>
  <w:style w:type="character" w:styleId="a6">
    <w:name w:val="footnote reference"/>
    <w:basedOn w:val="a0"/>
    <w:semiHidden/>
    <w:rsid w:val="00CC10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313</vt:lpstr>
    </vt:vector>
  </TitlesOfParts>
  <Company/>
  <LinksUpToDate>false</LinksUpToDate>
  <CharactersWithSpaces>5612</CharactersWithSpaces>
  <SharedDoc>false</SharedDoc>
  <HLinks>
    <vt:vector size="78" baseType="variant">
      <vt:variant>
        <vt:i4>5636105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5701641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313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0313</vt:lpwstr>
  </property>
  <property fmtid="{D5CDD505-2E9C-101B-9397-08002B2CF9AE}" pid="3" name="CHNAME">
    <vt:lpwstr>נכסי נפקדים</vt:lpwstr>
  </property>
  <property fmtid="{D5CDD505-2E9C-101B-9397-08002B2CF9AE}" pid="4" name="LAWNAME">
    <vt:lpwstr>תקנות נכסי נפקדים (דמי שכירות של בתי עסק), תשי"א-1951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נכסי נפקדים</vt:lpwstr>
  </property>
  <property fmtid="{D5CDD505-2E9C-101B-9397-08002B2CF9AE}" pid="8" name="MEKOR_SAIF1">
    <vt:lpwstr>12XגX;39X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נכסי נפקדים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