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7B82A" w14:textId="77777777" w:rsidR="00E06455" w:rsidRDefault="00E06455" w:rsidP="00E06455">
      <w:pPr>
        <w:pStyle w:val="big-header"/>
        <w:ind w:left="0" w:right="1134"/>
        <w:rPr>
          <w:rFonts w:cs="FrankRuehl" w:hint="cs"/>
          <w:sz w:val="32"/>
          <w:rtl/>
        </w:rPr>
      </w:pPr>
      <w:r>
        <w:rPr>
          <w:rFonts w:cs="FrankRuehl" w:hint="cs"/>
          <w:sz w:val="32"/>
          <w:rtl/>
        </w:rPr>
        <w:t>תקנות נציב תלונות הציבור על שופטים, תשס"ד-2003</w:t>
      </w:r>
    </w:p>
    <w:p w14:paraId="5E2120E9" w14:textId="77777777" w:rsidR="00E06455" w:rsidRDefault="00E06455" w:rsidP="00E06455">
      <w:pPr>
        <w:spacing w:line="320" w:lineRule="auto"/>
        <w:rPr>
          <w:rFonts w:cs="Miriam"/>
          <w:szCs w:val="22"/>
          <w:rtl/>
        </w:rPr>
      </w:pPr>
      <w:r w:rsidRPr="00E06455">
        <w:rPr>
          <w:rFonts w:cs="Miriam"/>
          <w:szCs w:val="22"/>
          <w:rtl/>
        </w:rPr>
        <w:t>בתי משפט וסדרי דין</w:t>
      </w:r>
      <w:r w:rsidRPr="00E06455">
        <w:rPr>
          <w:rFonts w:cs="FrankRuehl"/>
          <w:szCs w:val="26"/>
          <w:rtl/>
        </w:rPr>
        <w:t xml:space="preserve"> – בתי משפט ובתי דין – שופטים – אתיקה ותלונות הציבור</w:t>
      </w:r>
    </w:p>
    <w:p w14:paraId="37F87C03" w14:textId="77777777" w:rsidR="00E06455" w:rsidRDefault="00E06455" w:rsidP="00E06455">
      <w:pPr>
        <w:spacing w:line="320" w:lineRule="auto"/>
        <w:rPr>
          <w:rFonts w:cs="Miriam"/>
          <w:szCs w:val="22"/>
          <w:rtl/>
        </w:rPr>
      </w:pPr>
      <w:r w:rsidRPr="00E06455">
        <w:rPr>
          <w:rFonts w:cs="Miriam"/>
          <w:szCs w:val="22"/>
          <w:rtl/>
        </w:rPr>
        <w:t>משפט פרטי וכלכלה</w:t>
      </w:r>
      <w:r w:rsidRPr="00E06455">
        <w:rPr>
          <w:rFonts w:cs="FrankRuehl"/>
          <w:szCs w:val="26"/>
          <w:rtl/>
        </w:rPr>
        <w:t xml:space="preserve"> – הסדרת עיסוק – שופטים – אתיקה ותלונות הציבור</w:t>
      </w:r>
    </w:p>
    <w:p w14:paraId="52BA521C" w14:textId="77777777" w:rsidR="00E06455" w:rsidRPr="00E06455" w:rsidRDefault="00E06455" w:rsidP="00E06455">
      <w:pPr>
        <w:spacing w:line="320" w:lineRule="auto"/>
        <w:rPr>
          <w:rFonts w:cs="Miriam" w:hint="cs"/>
          <w:szCs w:val="22"/>
          <w:rtl/>
        </w:rPr>
      </w:pPr>
      <w:r w:rsidRPr="00E06455">
        <w:rPr>
          <w:rFonts w:cs="Miriam"/>
          <w:szCs w:val="22"/>
          <w:rtl/>
        </w:rPr>
        <w:t>רשויות ומשפט מנהלי</w:t>
      </w:r>
      <w:r w:rsidRPr="00E06455">
        <w:rPr>
          <w:rFonts w:cs="FrankRuehl"/>
          <w:szCs w:val="26"/>
          <w:rtl/>
        </w:rPr>
        <w:t xml:space="preserve"> – הסדרת עיסוק – שופטים – אתיקה ותלונות הציבור</w:t>
      </w:r>
    </w:p>
    <w:p w14:paraId="50ECDFE7" w14:textId="77777777" w:rsidR="008D0EC0" w:rsidRDefault="008D0EC0">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92843" w:rsidRPr="00392843" w14:paraId="438CC96F" w14:textId="77777777">
        <w:tblPrEx>
          <w:tblCellMar>
            <w:top w:w="0" w:type="dxa"/>
            <w:bottom w:w="0" w:type="dxa"/>
          </w:tblCellMar>
        </w:tblPrEx>
        <w:tc>
          <w:tcPr>
            <w:tcW w:w="1247" w:type="dxa"/>
          </w:tcPr>
          <w:p w14:paraId="2A5671B1" w14:textId="77777777" w:rsidR="00392843" w:rsidRPr="00392843" w:rsidRDefault="00392843" w:rsidP="00392843">
            <w:pPr>
              <w:rPr>
                <w:rFonts w:cs="Frankruhel" w:hint="cs"/>
                <w:rtl/>
              </w:rPr>
            </w:pPr>
            <w:r>
              <w:rPr>
                <w:rtl/>
              </w:rPr>
              <w:t xml:space="preserve">סעיף 1 </w:t>
            </w:r>
          </w:p>
        </w:tc>
        <w:tc>
          <w:tcPr>
            <w:tcW w:w="5669" w:type="dxa"/>
          </w:tcPr>
          <w:p w14:paraId="515465CC" w14:textId="77777777" w:rsidR="00392843" w:rsidRPr="00392843" w:rsidRDefault="00392843" w:rsidP="00392843">
            <w:pPr>
              <w:rPr>
                <w:rFonts w:cs="Frankruhel" w:hint="cs"/>
                <w:rtl/>
              </w:rPr>
            </w:pPr>
            <w:r>
              <w:rPr>
                <w:rtl/>
              </w:rPr>
              <w:t>הגדרות</w:t>
            </w:r>
          </w:p>
        </w:tc>
        <w:tc>
          <w:tcPr>
            <w:tcW w:w="567" w:type="dxa"/>
          </w:tcPr>
          <w:p w14:paraId="2DD21C6D" w14:textId="77777777" w:rsidR="00392843" w:rsidRPr="00392843" w:rsidRDefault="00392843" w:rsidP="00392843">
            <w:pPr>
              <w:rPr>
                <w:rStyle w:val="Hyperlink"/>
                <w:rFonts w:hint="cs"/>
                <w:rtl/>
              </w:rPr>
            </w:pPr>
            <w:hyperlink w:anchor="Seif1" w:tooltip="הגדרות" w:history="1">
              <w:r w:rsidRPr="00392843">
                <w:rPr>
                  <w:rStyle w:val="Hyperlink"/>
                </w:rPr>
                <w:t>Go</w:t>
              </w:r>
            </w:hyperlink>
          </w:p>
        </w:tc>
        <w:tc>
          <w:tcPr>
            <w:tcW w:w="850" w:type="dxa"/>
          </w:tcPr>
          <w:p w14:paraId="709948DA" w14:textId="77777777" w:rsidR="00392843" w:rsidRPr="00392843" w:rsidRDefault="00392843" w:rsidP="00392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92843" w:rsidRPr="00392843" w14:paraId="576F7E9D" w14:textId="77777777">
        <w:tblPrEx>
          <w:tblCellMar>
            <w:top w:w="0" w:type="dxa"/>
            <w:bottom w:w="0" w:type="dxa"/>
          </w:tblCellMar>
        </w:tblPrEx>
        <w:tc>
          <w:tcPr>
            <w:tcW w:w="1247" w:type="dxa"/>
          </w:tcPr>
          <w:p w14:paraId="0B187315" w14:textId="77777777" w:rsidR="00392843" w:rsidRPr="00392843" w:rsidRDefault="00392843" w:rsidP="00392843">
            <w:pPr>
              <w:rPr>
                <w:rFonts w:cs="Frankruhel" w:hint="cs"/>
                <w:rtl/>
              </w:rPr>
            </w:pPr>
            <w:r>
              <w:rPr>
                <w:rtl/>
              </w:rPr>
              <w:t xml:space="preserve">סעיף 2 </w:t>
            </w:r>
          </w:p>
        </w:tc>
        <w:tc>
          <w:tcPr>
            <w:tcW w:w="5669" w:type="dxa"/>
          </w:tcPr>
          <w:p w14:paraId="4403923E" w14:textId="77777777" w:rsidR="00392843" w:rsidRPr="00392843" w:rsidRDefault="00392843" w:rsidP="00392843">
            <w:pPr>
              <w:rPr>
                <w:rFonts w:cs="Frankruhel" w:hint="cs"/>
                <w:rtl/>
              </w:rPr>
            </w:pPr>
            <w:r>
              <w:rPr>
                <w:rtl/>
              </w:rPr>
              <w:t>דרך פרסום הודעה</w:t>
            </w:r>
          </w:p>
        </w:tc>
        <w:tc>
          <w:tcPr>
            <w:tcW w:w="567" w:type="dxa"/>
          </w:tcPr>
          <w:p w14:paraId="580E3568" w14:textId="77777777" w:rsidR="00392843" w:rsidRPr="00392843" w:rsidRDefault="00392843" w:rsidP="00392843">
            <w:pPr>
              <w:rPr>
                <w:rStyle w:val="Hyperlink"/>
                <w:rFonts w:hint="cs"/>
                <w:rtl/>
              </w:rPr>
            </w:pPr>
            <w:hyperlink w:anchor="Seif2" w:tooltip="דרך פרסום הודעה" w:history="1">
              <w:r w:rsidRPr="00392843">
                <w:rPr>
                  <w:rStyle w:val="Hyperlink"/>
                </w:rPr>
                <w:t>Go</w:t>
              </w:r>
            </w:hyperlink>
          </w:p>
        </w:tc>
        <w:tc>
          <w:tcPr>
            <w:tcW w:w="850" w:type="dxa"/>
          </w:tcPr>
          <w:p w14:paraId="3423AB4D" w14:textId="77777777" w:rsidR="00392843" w:rsidRPr="00392843" w:rsidRDefault="00392843" w:rsidP="00392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92843" w:rsidRPr="00392843" w14:paraId="04F096B4" w14:textId="77777777">
        <w:tblPrEx>
          <w:tblCellMar>
            <w:top w:w="0" w:type="dxa"/>
            <w:bottom w:w="0" w:type="dxa"/>
          </w:tblCellMar>
        </w:tblPrEx>
        <w:tc>
          <w:tcPr>
            <w:tcW w:w="1247" w:type="dxa"/>
          </w:tcPr>
          <w:p w14:paraId="6B593E79" w14:textId="77777777" w:rsidR="00392843" w:rsidRPr="00392843" w:rsidRDefault="00392843" w:rsidP="00392843">
            <w:pPr>
              <w:rPr>
                <w:rFonts w:cs="Frankruhel" w:hint="cs"/>
                <w:rtl/>
              </w:rPr>
            </w:pPr>
            <w:r>
              <w:rPr>
                <w:rtl/>
              </w:rPr>
              <w:t xml:space="preserve">סעיף 3 </w:t>
            </w:r>
          </w:p>
        </w:tc>
        <w:tc>
          <w:tcPr>
            <w:tcW w:w="5669" w:type="dxa"/>
          </w:tcPr>
          <w:p w14:paraId="59BEA84F" w14:textId="77777777" w:rsidR="00392843" w:rsidRPr="00392843" w:rsidRDefault="00392843" w:rsidP="00392843">
            <w:pPr>
              <w:rPr>
                <w:rFonts w:cs="Frankruhel" w:hint="cs"/>
                <w:rtl/>
              </w:rPr>
            </w:pPr>
            <w:r>
              <w:rPr>
                <w:rtl/>
              </w:rPr>
              <w:t>הגשת תלונה לנציב</w:t>
            </w:r>
          </w:p>
        </w:tc>
        <w:tc>
          <w:tcPr>
            <w:tcW w:w="567" w:type="dxa"/>
          </w:tcPr>
          <w:p w14:paraId="024BBE63" w14:textId="77777777" w:rsidR="00392843" w:rsidRPr="00392843" w:rsidRDefault="00392843" w:rsidP="00392843">
            <w:pPr>
              <w:rPr>
                <w:rStyle w:val="Hyperlink"/>
                <w:rFonts w:hint="cs"/>
                <w:rtl/>
              </w:rPr>
            </w:pPr>
            <w:hyperlink w:anchor="Seif3" w:tooltip="הגשת תלונה לנציב" w:history="1">
              <w:r w:rsidRPr="00392843">
                <w:rPr>
                  <w:rStyle w:val="Hyperlink"/>
                </w:rPr>
                <w:t>Go</w:t>
              </w:r>
            </w:hyperlink>
          </w:p>
        </w:tc>
        <w:tc>
          <w:tcPr>
            <w:tcW w:w="850" w:type="dxa"/>
          </w:tcPr>
          <w:p w14:paraId="2ED38DB8" w14:textId="77777777" w:rsidR="00392843" w:rsidRPr="00392843" w:rsidRDefault="00392843" w:rsidP="00392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92843" w:rsidRPr="00392843" w14:paraId="18C1DD03" w14:textId="77777777">
        <w:tblPrEx>
          <w:tblCellMar>
            <w:top w:w="0" w:type="dxa"/>
            <w:bottom w:w="0" w:type="dxa"/>
          </w:tblCellMar>
        </w:tblPrEx>
        <w:tc>
          <w:tcPr>
            <w:tcW w:w="1247" w:type="dxa"/>
          </w:tcPr>
          <w:p w14:paraId="1CD22D1E" w14:textId="77777777" w:rsidR="00392843" w:rsidRPr="00392843" w:rsidRDefault="00392843" w:rsidP="00392843">
            <w:pPr>
              <w:rPr>
                <w:rFonts w:cs="Frankruhel" w:hint="cs"/>
                <w:rtl/>
              </w:rPr>
            </w:pPr>
            <w:r>
              <w:rPr>
                <w:rtl/>
              </w:rPr>
              <w:t xml:space="preserve">סעיף 4 </w:t>
            </w:r>
          </w:p>
        </w:tc>
        <w:tc>
          <w:tcPr>
            <w:tcW w:w="5669" w:type="dxa"/>
          </w:tcPr>
          <w:p w14:paraId="46199471" w14:textId="77777777" w:rsidR="00392843" w:rsidRPr="00392843" w:rsidRDefault="00392843" w:rsidP="00392843">
            <w:pPr>
              <w:rPr>
                <w:rFonts w:cs="Frankruhel" w:hint="cs"/>
                <w:rtl/>
              </w:rPr>
            </w:pPr>
            <w:r>
              <w:rPr>
                <w:rtl/>
              </w:rPr>
              <w:t>תוכן התלונה</w:t>
            </w:r>
          </w:p>
        </w:tc>
        <w:tc>
          <w:tcPr>
            <w:tcW w:w="567" w:type="dxa"/>
          </w:tcPr>
          <w:p w14:paraId="5E6083E6" w14:textId="77777777" w:rsidR="00392843" w:rsidRPr="00392843" w:rsidRDefault="00392843" w:rsidP="00392843">
            <w:pPr>
              <w:rPr>
                <w:rStyle w:val="Hyperlink"/>
                <w:rFonts w:hint="cs"/>
                <w:rtl/>
              </w:rPr>
            </w:pPr>
            <w:hyperlink w:anchor="Seif4" w:tooltip="תוכן התלונה" w:history="1">
              <w:r w:rsidRPr="00392843">
                <w:rPr>
                  <w:rStyle w:val="Hyperlink"/>
                </w:rPr>
                <w:t>Go</w:t>
              </w:r>
            </w:hyperlink>
          </w:p>
        </w:tc>
        <w:tc>
          <w:tcPr>
            <w:tcW w:w="850" w:type="dxa"/>
          </w:tcPr>
          <w:p w14:paraId="37B0E805" w14:textId="77777777" w:rsidR="00392843" w:rsidRPr="00392843" w:rsidRDefault="00392843" w:rsidP="00392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92843" w:rsidRPr="00392843" w14:paraId="29FD0957" w14:textId="77777777">
        <w:tblPrEx>
          <w:tblCellMar>
            <w:top w:w="0" w:type="dxa"/>
            <w:bottom w:w="0" w:type="dxa"/>
          </w:tblCellMar>
        </w:tblPrEx>
        <w:tc>
          <w:tcPr>
            <w:tcW w:w="1247" w:type="dxa"/>
          </w:tcPr>
          <w:p w14:paraId="604883B8" w14:textId="77777777" w:rsidR="00392843" w:rsidRPr="00392843" w:rsidRDefault="00392843" w:rsidP="00392843">
            <w:pPr>
              <w:rPr>
                <w:rFonts w:cs="Frankruhel" w:hint="cs"/>
                <w:rtl/>
              </w:rPr>
            </w:pPr>
            <w:r>
              <w:rPr>
                <w:rtl/>
              </w:rPr>
              <w:t xml:space="preserve">סעיף 5 </w:t>
            </w:r>
          </w:p>
        </w:tc>
        <w:tc>
          <w:tcPr>
            <w:tcW w:w="5669" w:type="dxa"/>
          </w:tcPr>
          <w:p w14:paraId="58F21C8F" w14:textId="77777777" w:rsidR="00392843" w:rsidRPr="00392843" w:rsidRDefault="00392843" w:rsidP="00392843">
            <w:pPr>
              <w:rPr>
                <w:rFonts w:cs="Frankruhel" w:hint="cs"/>
                <w:rtl/>
              </w:rPr>
            </w:pPr>
            <w:r>
              <w:rPr>
                <w:rtl/>
              </w:rPr>
              <w:t>תלונה חוזרת</w:t>
            </w:r>
          </w:p>
        </w:tc>
        <w:tc>
          <w:tcPr>
            <w:tcW w:w="567" w:type="dxa"/>
          </w:tcPr>
          <w:p w14:paraId="5B3E774F" w14:textId="77777777" w:rsidR="00392843" w:rsidRPr="00392843" w:rsidRDefault="00392843" w:rsidP="00392843">
            <w:pPr>
              <w:rPr>
                <w:rStyle w:val="Hyperlink"/>
                <w:rFonts w:hint="cs"/>
                <w:rtl/>
              </w:rPr>
            </w:pPr>
            <w:hyperlink w:anchor="Seif5" w:tooltip="תלונה חוזרת" w:history="1">
              <w:r w:rsidRPr="00392843">
                <w:rPr>
                  <w:rStyle w:val="Hyperlink"/>
                </w:rPr>
                <w:t>Go</w:t>
              </w:r>
            </w:hyperlink>
          </w:p>
        </w:tc>
        <w:tc>
          <w:tcPr>
            <w:tcW w:w="850" w:type="dxa"/>
          </w:tcPr>
          <w:p w14:paraId="0673F7FB" w14:textId="77777777" w:rsidR="00392843" w:rsidRPr="00392843" w:rsidRDefault="00392843" w:rsidP="00392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392843" w:rsidRPr="00392843" w14:paraId="7F38964A" w14:textId="77777777">
        <w:tblPrEx>
          <w:tblCellMar>
            <w:top w:w="0" w:type="dxa"/>
            <w:bottom w:w="0" w:type="dxa"/>
          </w:tblCellMar>
        </w:tblPrEx>
        <w:tc>
          <w:tcPr>
            <w:tcW w:w="1247" w:type="dxa"/>
          </w:tcPr>
          <w:p w14:paraId="6B5C0813" w14:textId="77777777" w:rsidR="00392843" w:rsidRPr="00392843" w:rsidRDefault="00392843" w:rsidP="00392843">
            <w:pPr>
              <w:rPr>
                <w:rFonts w:cs="Frankruhel" w:hint="cs"/>
                <w:rtl/>
              </w:rPr>
            </w:pPr>
            <w:r>
              <w:rPr>
                <w:rtl/>
              </w:rPr>
              <w:t xml:space="preserve">סעיף 6 </w:t>
            </w:r>
          </w:p>
        </w:tc>
        <w:tc>
          <w:tcPr>
            <w:tcW w:w="5669" w:type="dxa"/>
          </w:tcPr>
          <w:p w14:paraId="44AEA6F4" w14:textId="77777777" w:rsidR="00392843" w:rsidRPr="00392843" w:rsidRDefault="00392843" w:rsidP="00392843">
            <w:pPr>
              <w:rPr>
                <w:rFonts w:cs="Frankruhel" w:hint="cs"/>
                <w:rtl/>
              </w:rPr>
            </w:pPr>
            <w:r>
              <w:rPr>
                <w:rtl/>
              </w:rPr>
              <w:t>המצאת מסמכים</w:t>
            </w:r>
          </w:p>
        </w:tc>
        <w:tc>
          <w:tcPr>
            <w:tcW w:w="567" w:type="dxa"/>
          </w:tcPr>
          <w:p w14:paraId="7B47C7C3" w14:textId="77777777" w:rsidR="00392843" w:rsidRPr="00392843" w:rsidRDefault="00392843" w:rsidP="00392843">
            <w:pPr>
              <w:rPr>
                <w:rStyle w:val="Hyperlink"/>
                <w:rFonts w:hint="cs"/>
                <w:rtl/>
              </w:rPr>
            </w:pPr>
            <w:hyperlink w:anchor="Seif6" w:tooltip="המצאת מסמכים" w:history="1">
              <w:r w:rsidRPr="00392843">
                <w:rPr>
                  <w:rStyle w:val="Hyperlink"/>
                </w:rPr>
                <w:t>Go</w:t>
              </w:r>
            </w:hyperlink>
          </w:p>
        </w:tc>
        <w:tc>
          <w:tcPr>
            <w:tcW w:w="850" w:type="dxa"/>
          </w:tcPr>
          <w:p w14:paraId="0BC77DFA" w14:textId="77777777" w:rsidR="00392843" w:rsidRPr="00392843" w:rsidRDefault="00392843" w:rsidP="003928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bl>
    <w:p w14:paraId="38EA971C" w14:textId="77777777" w:rsidR="008D0EC0" w:rsidRDefault="008D0EC0">
      <w:pPr>
        <w:pStyle w:val="big-header"/>
        <w:ind w:left="0" w:right="1134"/>
        <w:rPr>
          <w:rFonts w:cs="FrankRuehl" w:hint="cs"/>
          <w:sz w:val="32"/>
          <w:rtl/>
        </w:rPr>
      </w:pPr>
    </w:p>
    <w:p w14:paraId="1AB3DB53" w14:textId="77777777" w:rsidR="009F278B" w:rsidRDefault="008D0EC0">
      <w:pPr>
        <w:pStyle w:val="big-header"/>
        <w:ind w:left="0" w:right="1134"/>
        <w:rPr>
          <w:rFonts w:cs="FrankRuehl" w:hint="cs"/>
          <w:sz w:val="32"/>
          <w:rtl/>
        </w:rPr>
      </w:pPr>
      <w:r>
        <w:rPr>
          <w:rFonts w:cs="FrankRuehl"/>
          <w:sz w:val="32"/>
          <w:rtl/>
        </w:rPr>
        <w:br w:type="page"/>
      </w:r>
      <w:r w:rsidR="009F278B">
        <w:rPr>
          <w:rFonts w:cs="FrankRuehl" w:hint="cs"/>
          <w:sz w:val="32"/>
          <w:rtl/>
        </w:rPr>
        <w:lastRenderedPageBreak/>
        <w:t>תקנות נציב תלונות הציבור על שופטים, תשס"ד-2003</w:t>
      </w:r>
      <w:r w:rsidR="009F278B">
        <w:rPr>
          <w:rStyle w:val="default"/>
          <w:sz w:val="22"/>
          <w:szCs w:val="22"/>
          <w:rtl/>
        </w:rPr>
        <w:footnoteReference w:customMarkFollows="1" w:id="1"/>
        <w:t>*</w:t>
      </w:r>
    </w:p>
    <w:p w14:paraId="00F1C3F1" w14:textId="77777777" w:rsidR="009F278B" w:rsidRDefault="009F278B">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סעיפים 28 ו-30 לחוק נציב תלונות הציבור על שופטים, התשס"ב-2002 (להלן </w:t>
      </w:r>
      <w:r>
        <w:rPr>
          <w:rStyle w:val="default"/>
          <w:rFonts w:cs="FrankRuehl"/>
          <w:rtl/>
        </w:rPr>
        <w:t>–</w:t>
      </w:r>
      <w:r>
        <w:rPr>
          <w:rStyle w:val="default"/>
          <w:rFonts w:cs="FrankRuehl" w:hint="cs"/>
          <w:rtl/>
        </w:rPr>
        <w:t xml:space="preserve"> החוק)</w:t>
      </w:r>
      <w:r>
        <w:rPr>
          <w:rStyle w:val="default"/>
          <w:rFonts w:cs="FrankRuehl"/>
          <w:rtl/>
        </w:rPr>
        <w:t>,</w:t>
      </w:r>
      <w:r>
        <w:rPr>
          <w:rStyle w:val="default"/>
          <w:rFonts w:cs="FrankRuehl" w:hint="cs"/>
          <w:rtl/>
        </w:rPr>
        <w:t xml:space="preserve"> ובאישור ועדת החוקה חוק ומשפט של הכנסת, </w:t>
      </w:r>
      <w:r>
        <w:rPr>
          <w:rStyle w:val="default"/>
          <w:rFonts w:cs="FrankRuehl"/>
          <w:rtl/>
        </w:rPr>
        <w:t xml:space="preserve">אני </w:t>
      </w:r>
      <w:r>
        <w:rPr>
          <w:rStyle w:val="default"/>
          <w:rFonts w:cs="FrankRuehl" w:hint="cs"/>
          <w:rtl/>
        </w:rPr>
        <w:t>מתקין תקנות אלה</w:t>
      </w:r>
      <w:r>
        <w:rPr>
          <w:rStyle w:val="default"/>
          <w:rFonts w:cs="FrankRuehl"/>
          <w:rtl/>
        </w:rPr>
        <w:t>:</w:t>
      </w:r>
    </w:p>
    <w:p w14:paraId="55F69E49" w14:textId="77777777" w:rsidR="009F278B" w:rsidRDefault="009F278B">
      <w:pPr>
        <w:pStyle w:val="P00"/>
        <w:spacing w:before="72"/>
        <w:ind w:left="0" w:right="1134"/>
        <w:rPr>
          <w:rStyle w:val="default"/>
          <w:rFonts w:cs="FrankRuehl" w:hint="cs"/>
          <w:rtl/>
        </w:rPr>
      </w:pPr>
      <w:bookmarkStart w:id="0" w:name="Seif1"/>
      <w:bookmarkEnd w:id="0"/>
      <w:r>
        <w:rPr>
          <w:rFonts w:cs="Miriam"/>
          <w:lang w:val="he-IL"/>
        </w:rPr>
        <w:pict w14:anchorId="5257F8FA">
          <v:rect id="_x0000_s1026" style="position:absolute;left:0;text-align:left;margin-left:464.5pt;margin-top:8.05pt;width:75.05pt;height:9.5pt;z-index:251655168" o:allowincell="f" filled="f" stroked="f" strokecolor="lime" strokeweight=".25pt">
            <v:textbox inset="0,0,0,0">
              <w:txbxContent>
                <w:p w14:paraId="0275FA3A" w14:textId="77777777" w:rsidR="009F278B" w:rsidRDefault="009F278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71233707" w14:textId="77777777" w:rsidR="009F278B" w:rsidRDefault="009F278B">
      <w:pPr>
        <w:pStyle w:val="P00"/>
        <w:spacing w:before="72"/>
        <w:ind w:left="0" w:right="1134"/>
        <w:rPr>
          <w:rStyle w:val="default"/>
          <w:rFonts w:cs="FrankRuehl" w:hint="cs"/>
          <w:rtl/>
        </w:rPr>
      </w:pPr>
      <w:r>
        <w:rPr>
          <w:rStyle w:val="default"/>
          <w:rFonts w:cs="FrankRuehl" w:hint="cs"/>
          <w:rtl/>
        </w:rPr>
        <w:tab/>
        <w:t xml:space="preserve">"הנציב" </w:t>
      </w:r>
      <w:r>
        <w:rPr>
          <w:rStyle w:val="default"/>
          <w:rFonts w:cs="FrankRuehl"/>
          <w:rtl/>
        </w:rPr>
        <w:t>–</w:t>
      </w:r>
      <w:r>
        <w:rPr>
          <w:rStyle w:val="default"/>
          <w:rFonts w:cs="FrankRuehl" w:hint="cs"/>
          <w:rtl/>
        </w:rPr>
        <w:t xml:space="preserve"> נציב תלונות הציבור על שופטים, לרבות מי שהוא הסמיכו;</w:t>
      </w:r>
    </w:p>
    <w:p w14:paraId="6F02EB0C" w14:textId="77777777" w:rsidR="009F278B" w:rsidRDefault="009F278B">
      <w:pPr>
        <w:pStyle w:val="P00"/>
        <w:spacing w:before="72"/>
        <w:ind w:left="0" w:right="1134"/>
        <w:rPr>
          <w:rStyle w:val="default"/>
          <w:rFonts w:cs="FrankRuehl" w:hint="cs"/>
          <w:rtl/>
        </w:rPr>
      </w:pPr>
      <w:r>
        <w:rPr>
          <w:rStyle w:val="default"/>
          <w:rFonts w:cs="FrankRuehl" w:hint="cs"/>
          <w:rtl/>
        </w:rPr>
        <w:tab/>
        <w:t xml:space="preserve">"תלונה" </w:t>
      </w:r>
      <w:r>
        <w:rPr>
          <w:rStyle w:val="default"/>
          <w:rFonts w:cs="FrankRuehl"/>
          <w:rtl/>
        </w:rPr>
        <w:t>–</w:t>
      </w:r>
      <w:r>
        <w:rPr>
          <w:rStyle w:val="default"/>
          <w:rFonts w:cs="FrankRuehl" w:hint="cs"/>
          <w:rtl/>
        </w:rPr>
        <w:t xml:space="preserve"> כמשמעה בסעיפים 14(א) ו-19 לחוק;</w:t>
      </w:r>
    </w:p>
    <w:p w14:paraId="5E000D97" w14:textId="77777777" w:rsidR="009F278B" w:rsidRDefault="009F278B">
      <w:pPr>
        <w:pStyle w:val="P00"/>
        <w:spacing w:before="72"/>
        <w:ind w:left="0" w:right="1134"/>
        <w:rPr>
          <w:rStyle w:val="default"/>
          <w:rFonts w:cs="FrankRuehl" w:hint="cs"/>
          <w:rtl/>
        </w:rPr>
      </w:pPr>
      <w:r>
        <w:rPr>
          <w:rStyle w:val="default"/>
          <w:rFonts w:cs="FrankRuehl" w:hint="cs"/>
          <w:rtl/>
        </w:rPr>
        <w:tab/>
        <w:t>שאר המונחים שבתקנות אלה תהא משמעותם כמשמעות הנודעת להם בחוק, אם אין כוונה אחרת משתמעת.</w:t>
      </w:r>
    </w:p>
    <w:p w14:paraId="431638CA" w14:textId="77777777" w:rsidR="009F278B" w:rsidRDefault="009F278B">
      <w:pPr>
        <w:pStyle w:val="P00"/>
        <w:spacing w:before="72"/>
        <w:ind w:left="0" w:right="1134"/>
        <w:rPr>
          <w:rStyle w:val="default"/>
          <w:rFonts w:cs="FrankRuehl" w:hint="cs"/>
          <w:rtl/>
        </w:rPr>
      </w:pPr>
      <w:bookmarkStart w:id="1" w:name="Seif2"/>
      <w:bookmarkEnd w:id="1"/>
      <w:r>
        <w:rPr>
          <w:rFonts w:cs="Miriam"/>
          <w:lang w:val="he-IL"/>
        </w:rPr>
        <w:pict w14:anchorId="13F77AA5">
          <v:rect id="_x0000_s1032" style="position:absolute;left:0;text-align:left;margin-left:464.5pt;margin-top:8.05pt;width:75.05pt;height:13.1pt;z-index:251656192" o:allowincell="f" filled="f" stroked="f" strokecolor="lime" strokeweight=".25pt">
            <v:textbox style="mso-next-textbox:#_x0000_s1032" inset="0,0,0,0">
              <w:txbxContent>
                <w:p w14:paraId="085DBDC3" w14:textId="77777777" w:rsidR="009F278B" w:rsidRDefault="009F278B">
                  <w:pPr>
                    <w:pStyle w:val="a7"/>
                    <w:rPr>
                      <w:rFonts w:hint="cs"/>
                      <w:noProof/>
                      <w:rtl/>
                    </w:rPr>
                  </w:pPr>
                  <w:r>
                    <w:rPr>
                      <w:rFonts w:hint="cs"/>
                      <w:rtl/>
                    </w:rPr>
                    <w:t>דרך פרסום הודעה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נוסף על דרך הפרסום הקבועה בסעיף 5(ב) לחוק, ייעשה פרסום הודעה על מינוי הנציב, על הדרך לפנות אליו ועל עיקרי סמכויותיו בשני עיתונים יומיים בעברית, בעיתון אחד בערבית ובאתר האינטרנט של משרד המשפטים.</w:t>
      </w:r>
    </w:p>
    <w:p w14:paraId="468D7C8B" w14:textId="77777777" w:rsidR="009F278B" w:rsidRDefault="009F278B">
      <w:pPr>
        <w:pStyle w:val="P00"/>
        <w:spacing w:before="72"/>
        <w:ind w:left="0" w:right="1134"/>
        <w:rPr>
          <w:rStyle w:val="default"/>
          <w:rFonts w:cs="FrankRuehl" w:hint="cs"/>
          <w:rtl/>
        </w:rPr>
      </w:pPr>
      <w:bookmarkStart w:id="2" w:name="Seif3"/>
      <w:bookmarkEnd w:id="2"/>
      <w:r>
        <w:rPr>
          <w:rFonts w:cs="Miriam"/>
          <w:lang w:val="he-IL"/>
        </w:rPr>
        <w:pict w14:anchorId="1828CE08">
          <v:rect id="_x0000_s1064" style="position:absolute;left:0;text-align:left;margin-left:464.5pt;margin-top:8.05pt;width:75.05pt;height:13.1pt;z-index:251657216" o:allowincell="f" filled="f" stroked="f" strokecolor="lime" strokeweight=".25pt">
            <v:textbox style="mso-next-textbox:#_x0000_s1064" inset="0,0,0,0">
              <w:txbxContent>
                <w:p w14:paraId="6EB896AF" w14:textId="77777777" w:rsidR="009F278B" w:rsidRDefault="009F278B">
                  <w:pPr>
                    <w:pStyle w:val="a7"/>
                    <w:rPr>
                      <w:rFonts w:hint="cs"/>
                      <w:noProof/>
                      <w:rtl/>
                    </w:rPr>
                  </w:pPr>
                  <w:r>
                    <w:rPr>
                      <w:rFonts w:hint="cs"/>
                      <w:rtl/>
                    </w:rPr>
                    <w:t>הגשת תלונה לנציב</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תלונה תוגש בכתב, בשני עותקים, לפי הטופס שבתוספת, כשהיא מודפסת או בכתב יד אם אין המתלונן יכול להגישה בדפוס, ותישלח לנציב במעטפה סגורה.</w:t>
      </w:r>
    </w:p>
    <w:p w14:paraId="3CEFAE32" w14:textId="77777777" w:rsidR="009F278B" w:rsidRDefault="009F2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התלונה תיחתם ביד המתלונן ואם הוגשה בשמו </w:t>
      </w:r>
      <w:r>
        <w:rPr>
          <w:rStyle w:val="default"/>
          <w:rFonts w:cs="FrankRuehl"/>
          <w:rtl/>
        </w:rPr>
        <w:t>–</w:t>
      </w:r>
      <w:r>
        <w:rPr>
          <w:rStyle w:val="default"/>
          <w:rFonts w:cs="FrankRuehl" w:hint="cs"/>
          <w:rtl/>
        </w:rPr>
        <w:t xml:space="preserve"> ביד מי שהוסמך להגיש את התלונה בשם המתלונן (להלן </w:t>
      </w:r>
      <w:r>
        <w:rPr>
          <w:rStyle w:val="default"/>
          <w:rFonts w:cs="FrankRuehl"/>
          <w:rtl/>
        </w:rPr>
        <w:t>–</w:t>
      </w:r>
      <w:r>
        <w:rPr>
          <w:rStyle w:val="default"/>
          <w:rFonts w:cs="FrankRuehl" w:hint="cs"/>
          <w:rtl/>
        </w:rPr>
        <w:t xml:space="preserve"> מגיש התלונה), ותצורף לה הסמכתו החתומה.</w:t>
      </w:r>
    </w:p>
    <w:p w14:paraId="51FA9BDD" w14:textId="77777777" w:rsidR="009F278B" w:rsidRDefault="009F2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הנציב לא יפתח בבירור תלונה שהוגשה בעילום שם.</w:t>
      </w:r>
    </w:p>
    <w:p w14:paraId="163A561D" w14:textId="77777777" w:rsidR="009F278B" w:rsidRDefault="009F278B">
      <w:pPr>
        <w:pStyle w:val="P00"/>
        <w:spacing w:before="72"/>
        <w:ind w:left="0" w:right="1134"/>
        <w:rPr>
          <w:rStyle w:val="default"/>
          <w:rFonts w:cs="FrankRuehl" w:hint="cs"/>
          <w:rtl/>
        </w:rPr>
      </w:pPr>
      <w:bookmarkStart w:id="3" w:name="Seif4"/>
      <w:bookmarkEnd w:id="3"/>
      <w:r>
        <w:rPr>
          <w:rFonts w:cs="Miriam"/>
          <w:lang w:val="he-IL"/>
        </w:rPr>
        <w:pict w14:anchorId="7074C452">
          <v:rect id="_x0000_s1065" style="position:absolute;left:0;text-align:left;margin-left:464.5pt;margin-top:8.05pt;width:75.05pt;height:13.1pt;z-index:251658240" o:allowincell="f" filled="f" stroked="f" strokecolor="lime" strokeweight=".25pt">
            <v:textbox style="mso-next-textbox:#_x0000_s1065" inset="0,0,0,0">
              <w:txbxContent>
                <w:p w14:paraId="00A04973" w14:textId="77777777" w:rsidR="009F278B" w:rsidRDefault="009F278B">
                  <w:pPr>
                    <w:pStyle w:val="a7"/>
                    <w:rPr>
                      <w:rFonts w:hint="cs"/>
                      <w:noProof/>
                      <w:rtl/>
                    </w:rPr>
                  </w:pPr>
                  <w:r>
                    <w:rPr>
                      <w:rFonts w:hint="cs"/>
                      <w:rtl/>
                    </w:rPr>
                    <w:t>תוכן התלונה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התלונה תכיל </w:t>
      </w:r>
      <w:r>
        <w:rPr>
          <w:rStyle w:val="default"/>
          <w:rFonts w:cs="FrankRuehl"/>
          <w:rtl/>
        </w:rPr>
        <w:t>–</w:t>
      </w:r>
    </w:p>
    <w:p w14:paraId="57064E6E" w14:textId="77777777" w:rsidR="009F278B" w:rsidRDefault="009F2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את פרטי המתלונן, את שמו של השופט שעליו מלין המתלונן, ואם אין בידו לנקוב בשמו, יציין כל פרט אחר המסייע לזיהויו;</w:t>
      </w:r>
    </w:p>
    <w:p w14:paraId="27FBBF22" w14:textId="77777777" w:rsidR="009F278B" w:rsidRDefault="009F2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תיאור מפורט של המעשה שעליו היא נסבה, המועד שהתרחש בו וכל פרט אחר שהוגע לה, ויצורף לה כל מסמך שיש בו כדי לסייע לבירורה היעיל; במקרה של תלונה על כמה אירועים, יצוין כל אירוע ואירוע בנפרד.</w:t>
      </w:r>
    </w:p>
    <w:p w14:paraId="7FE047C6" w14:textId="77777777" w:rsidR="009F278B" w:rsidRDefault="009F278B">
      <w:pPr>
        <w:pStyle w:val="P00"/>
        <w:spacing w:before="72"/>
        <w:ind w:left="0" w:right="1134"/>
        <w:rPr>
          <w:rStyle w:val="default"/>
          <w:rFonts w:cs="FrankRuehl" w:hint="cs"/>
          <w:rtl/>
        </w:rPr>
      </w:pPr>
      <w:bookmarkStart w:id="4" w:name="Seif5"/>
      <w:bookmarkEnd w:id="4"/>
      <w:r>
        <w:rPr>
          <w:rFonts w:cs="Miriam"/>
          <w:lang w:val="he-IL"/>
        </w:rPr>
        <w:pict w14:anchorId="4A9C7F91">
          <v:rect id="_x0000_s1066" style="position:absolute;left:0;text-align:left;margin-left:464.5pt;margin-top:8.05pt;width:75.05pt;height:13.1pt;z-index:251659264" o:allowincell="f" filled="f" stroked="f" strokecolor="lime" strokeweight=".25pt">
            <v:textbox style="mso-next-textbox:#_x0000_s1066" inset="0,0,0,0">
              <w:txbxContent>
                <w:p w14:paraId="7EF7684C" w14:textId="77777777" w:rsidR="009F278B" w:rsidRDefault="009F278B">
                  <w:pPr>
                    <w:pStyle w:val="a7"/>
                    <w:rPr>
                      <w:rFonts w:hint="cs"/>
                      <w:noProof/>
                      <w:rtl/>
                    </w:rPr>
                  </w:pPr>
                  <w:r>
                    <w:rPr>
                      <w:rFonts w:hint="cs"/>
                      <w:rtl/>
                    </w:rPr>
                    <w:t>תלונה חוזרת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הגיש אדם תלונה בקשר לאירוע שלגביו הגיש אותו אדם תלונה בעבר, יציין זאת במפורש ויפרט את פרטי התלונה הקודמת ואת הנימוקים להגשתה מחדש.</w:t>
      </w:r>
    </w:p>
    <w:p w14:paraId="5A2E819F" w14:textId="77777777" w:rsidR="009F278B" w:rsidRDefault="009F278B">
      <w:pPr>
        <w:pStyle w:val="P00"/>
        <w:spacing w:before="72"/>
        <w:ind w:left="0" w:right="1134"/>
        <w:rPr>
          <w:rStyle w:val="default"/>
          <w:rFonts w:cs="FrankRuehl" w:hint="cs"/>
          <w:rtl/>
        </w:rPr>
      </w:pPr>
      <w:bookmarkStart w:id="5" w:name="Seif6"/>
      <w:bookmarkEnd w:id="5"/>
      <w:r>
        <w:rPr>
          <w:rFonts w:cs="Miriam"/>
          <w:lang w:val="he-IL"/>
        </w:rPr>
        <w:pict w14:anchorId="70D6A83A">
          <v:rect id="_x0000_s1067" style="position:absolute;left:0;text-align:left;margin-left:464.5pt;margin-top:8.05pt;width:75.05pt;height:13.1pt;z-index:251660288" o:allowincell="f" filled="f" stroked="f" strokecolor="lime" strokeweight=".25pt">
            <v:textbox style="mso-next-textbox:#_x0000_s1067" inset="0,0,0,0">
              <w:txbxContent>
                <w:p w14:paraId="0D43A4E8" w14:textId="77777777" w:rsidR="009F278B" w:rsidRDefault="009F278B">
                  <w:pPr>
                    <w:pStyle w:val="a7"/>
                    <w:rPr>
                      <w:rFonts w:hint="cs"/>
                      <w:noProof/>
                      <w:rtl/>
                    </w:rPr>
                  </w:pPr>
                  <w:r>
                    <w:rPr>
                      <w:rFonts w:hint="cs"/>
                      <w:rtl/>
                    </w:rPr>
                    <w:t>המצאת מסמכים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המצאת מסמכים למתלונן, למגיש התלונה, לנילון ולכל אדם אחר, וזימונם לדיון ככל שיידרש, תיעשה בדואר, בפקס, בטלפון או בכל דרך אחרת שהנציב יראה לנכון, לפי המקרה.</w:t>
      </w:r>
    </w:p>
    <w:p w14:paraId="452F92FE" w14:textId="77777777" w:rsidR="009F278B" w:rsidRDefault="009F2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המצאת תלונה של אדם המוחזק במשמורת והמצאת מסמכים מאת הנציב לאדם במשמורת, תיעשה באמצעות מנהל בית הסוהר, מפקד בית המעצר או מפקד מיתקן הכליאה, לפי הענין.</w:t>
      </w:r>
    </w:p>
    <w:p w14:paraId="4D26F922" w14:textId="77777777" w:rsidR="009F278B" w:rsidRDefault="009F278B">
      <w:pPr>
        <w:pStyle w:val="P00"/>
        <w:spacing w:before="72"/>
        <w:ind w:left="0" w:right="1134"/>
        <w:rPr>
          <w:rStyle w:val="default"/>
          <w:rFonts w:cs="FrankRuehl" w:hint="cs"/>
          <w:rtl/>
        </w:rPr>
      </w:pPr>
    </w:p>
    <w:p w14:paraId="6B30658A" w14:textId="77777777" w:rsidR="009F278B" w:rsidRDefault="009F278B">
      <w:pPr>
        <w:pStyle w:val="P00"/>
        <w:spacing w:before="72"/>
        <w:ind w:left="0" w:right="1134"/>
        <w:jc w:val="center"/>
        <w:rPr>
          <w:rStyle w:val="default"/>
          <w:rFonts w:cs="FrankRuehl" w:hint="cs"/>
          <w:b/>
          <w:bCs/>
          <w:rtl/>
        </w:rPr>
      </w:pPr>
      <w:r>
        <w:rPr>
          <w:rStyle w:val="default"/>
          <w:rFonts w:cs="FrankRuehl" w:hint="cs"/>
          <w:b/>
          <w:bCs/>
          <w:rtl/>
        </w:rPr>
        <w:t>תוספת</w:t>
      </w:r>
    </w:p>
    <w:p w14:paraId="3AB45752" w14:textId="77777777" w:rsidR="004311F2" w:rsidRPr="00D8373D" w:rsidRDefault="004311F2" w:rsidP="004311F2">
      <w:pPr>
        <w:pStyle w:val="P00"/>
        <w:spacing w:before="72"/>
        <w:ind w:left="0" w:right="1134"/>
        <w:jc w:val="left"/>
        <w:rPr>
          <w:rStyle w:val="default"/>
          <w:rFonts w:cs="FrankRuehl" w:hint="cs"/>
          <w:sz w:val="24"/>
          <w:szCs w:val="24"/>
          <w:rtl/>
        </w:rPr>
      </w:pPr>
      <w:r w:rsidRPr="00D8373D">
        <w:rPr>
          <w:rStyle w:val="default"/>
          <w:rFonts w:cs="FrankRuehl" w:hint="cs"/>
          <w:sz w:val="24"/>
          <w:szCs w:val="24"/>
          <w:rtl/>
        </w:rPr>
        <w:t xml:space="preserve"> (תקנה 3(א))</w:t>
      </w:r>
    </w:p>
    <w:p w14:paraId="3386A5C1" w14:textId="77777777" w:rsidR="004311F2" w:rsidRPr="00D8373D" w:rsidRDefault="004311F2" w:rsidP="004311F2">
      <w:pPr>
        <w:pStyle w:val="P00"/>
        <w:spacing w:before="72"/>
        <w:ind w:left="0" w:right="1134"/>
        <w:jc w:val="left"/>
        <w:rPr>
          <w:rStyle w:val="default"/>
          <w:rFonts w:cs="FrankRuehl"/>
          <w:sz w:val="24"/>
          <w:szCs w:val="24"/>
          <w:rtl/>
        </w:rPr>
      </w:pPr>
      <w:r w:rsidRPr="00D8373D">
        <w:rPr>
          <w:rStyle w:val="default"/>
          <w:rFonts w:cs="FrankRuehl"/>
          <w:sz w:val="24"/>
          <w:szCs w:val="24"/>
        </w:rPr>
        <w:t>]</w:t>
      </w:r>
      <w:hyperlink r:id="rId7" w:history="1">
        <w:r w:rsidRPr="00275CB5">
          <w:rPr>
            <w:rStyle w:val="Hyperlink"/>
            <w:rFonts w:cs="FrankRuehl" w:hint="cs"/>
            <w:sz w:val="24"/>
            <w:szCs w:val="24"/>
            <w:rtl/>
          </w:rPr>
          <w:t>תלונה</w:t>
        </w:r>
      </w:hyperlink>
      <w:r w:rsidRPr="00D8373D">
        <w:rPr>
          <w:rStyle w:val="default"/>
          <w:rFonts w:cs="FrankRuehl"/>
          <w:sz w:val="24"/>
          <w:szCs w:val="24"/>
        </w:rPr>
        <w:t>[</w:t>
      </w:r>
    </w:p>
    <w:p w14:paraId="4F91A318" w14:textId="77777777" w:rsidR="009F278B" w:rsidRPr="008D0EC0" w:rsidRDefault="009F278B" w:rsidP="008D0EC0">
      <w:pPr>
        <w:pStyle w:val="P00"/>
        <w:spacing w:before="72"/>
        <w:ind w:left="0" w:right="1134"/>
        <w:rPr>
          <w:rStyle w:val="default"/>
          <w:rFonts w:cs="FrankRuehl" w:hint="cs"/>
          <w:rtl/>
        </w:rPr>
      </w:pPr>
    </w:p>
    <w:p w14:paraId="212AC296" w14:textId="77777777" w:rsidR="009F278B" w:rsidRDefault="009F278B" w:rsidP="008D0EC0">
      <w:pPr>
        <w:pStyle w:val="P00"/>
        <w:spacing w:before="72"/>
        <w:ind w:left="0" w:right="1134"/>
        <w:rPr>
          <w:rStyle w:val="default"/>
          <w:rFonts w:cs="FrankRuehl"/>
          <w:rtl/>
        </w:rPr>
      </w:pPr>
    </w:p>
    <w:p w14:paraId="0077B96E" w14:textId="77777777" w:rsidR="009F278B" w:rsidRDefault="009F278B">
      <w:pPr>
        <w:pStyle w:val="sig-0"/>
        <w:ind w:left="0" w:right="1134"/>
        <w:rPr>
          <w:rFonts w:cs="FrankRuehl" w:hint="cs"/>
          <w:sz w:val="26"/>
          <w:rtl/>
        </w:rPr>
      </w:pPr>
      <w:r>
        <w:rPr>
          <w:rFonts w:cs="FrankRuehl" w:hint="cs"/>
          <w:sz w:val="26"/>
          <w:rtl/>
        </w:rPr>
        <w:t>י"ג בתשרי התשס"ד (9 באוקטובר 2003)</w:t>
      </w:r>
      <w:r>
        <w:rPr>
          <w:rFonts w:cs="FrankRuehl"/>
          <w:sz w:val="26"/>
          <w:rtl/>
        </w:rPr>
        <w:tab/>
      </w:r>
      <w:r>
        <w:rPr>
          <w:rFonts w:cs="FrankRuehl" w:hint="cs"/>
          <w:sz w:val="26"/>
          <w:rtl/>
        </w:rPr>
        <w:t>יוסף (טומי) לפיד</w:t>
      </w:r>
    </w:p>
    <w:p w14:paraId="0C1168A3" w14:textId="77777777" w:rsidR="00392843" w:rsidRDefault="009F278B" w:rsidP="004311F2">
      <w:pPr>
        <w:pStyle w:val="sig-1"/>
        <w:widowControl/>
        <w:ind w:left="0" w:right="1134"/>
        <w:rPr>
          <w:rtl/>
        </w:rPr>
      </w:pPr>
      <w:r>
        <w:rPr>
          <w:rtl/>
        </w:rPr>
        <w:tab/>
      </w:r>
      <w:r>
        <w:rPr>
          <w:rtl/>
        </w:rPr>
        <w:tab/>
      </w:r>
      <w:r>
        <w:rPr>
          <w:rtl/>
        </w:rPr>
        <w:tab/>
      </w:r>
      <w:r>
        <w:rPr>
          <w:rFonts w:hint="cs"/>
          <w:rtl/>
        </w:rPr>
        <w:t>שר המשפטים</w:t>
      </w:r>
    </w:p>
    <w:p w14:paraId="12E7E71F" w14:textId="77777777" w:rsidR="00392843" w:rsidRDefault="00392843" w:rsidP="004311F2">
      <w:pPr>
        <w:pStyle w:val="sig-1"/>
        <w:widowControl/>
        <w:ind w:left="0" w:right="1134"/>
        <w:rPr>
          <w:rStyle w:val="default"/>
          <w:rFonts w:cs="FrankRuehl"/>
          <w:sz w:val="22"/>
          <w:szCs w:val="22"/>
          <w:rtl/>
        </w:rPr>
      </w:pPr>
    </w:p>
    <w:p w14:paraId="659A4E30" w14:textId="77777777" w:rsidR="00392843" w:rsidRDefault="00392843" w:rsidP="00392843">
      <w:pPr>
        <w:pStyle w:val="sig-1"/>
        <w:widowControl/>
        <w:ind w:left="0" w:right="1134"/>
        <w:jc w:val="center"/>
        <w:rPr>
          <w:rStyle w:val="default"/>
          <w:rFonts w:cs="David"/>
          <w:color w:val="0000FF"/>
          <w:sz w:val="22"/>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6BB6794A" w14:textId="77777777" w:rsidR="009F278B" w:rsidRPr="00392843" w:rsidRDefault="009F278B" w:rsidP="00392843">
      <w:pPr>
        <w:pStyle w:val="sig-1"/>
        <w:widowControl/>
        <w:ind w:left="0" w:right="1134"/>
        <w:jc w:val="center"/>
        <w:rPr>
          <w:rStyle w:val="default"/>
          <w:rFonts w:cs="David"/>
          <w:color w:val="0000FF"/>
          <w:sz w:val="22"/>
          <w:szCs w:val="24"/>
          <w:u w:val="single"/>
          <w:rtl/>
        </w:rPr>
      </w:pPr>
    </w:p>
    <w:sectPr w:rsidR="009F278B" w:rsidRPr="00392843">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28398" w14:textId="77777777" w:rsidR="00A244ED" w:rsidRDefault="00A244ED">
      <w:r>
        <w:separator/>
      </w:r>
    </w:p>
  </w:endnote>
  <w:endnote w:type="continuationSeparator" w:id="0">
    <w:p w14:paraId="0B1E881B" w14:textId="77777777" w:rsidR="00A244ED" w:rsidRDefault="00A24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A902" w14:textId="77777777" w:rsidR="009F278B" w:rsidRDefault="009F278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8496BA" w14:textId="77777777" w:rsidR="009F278B" w:rsidRDefault="009F27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6975814" w14:textId="77777777" w:rsidR="009F278B" w:rsidRDefault="009F27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2843">
      <w:rPr>
        <w:rFonts w:cs="TopType Jerushalmi"/>
        <w:noProof/>
        <w:color w:val="000000"/>
        <w:sz w:val="14"/>
        <w:szCs w:val="14"/>
      </w:rPr>
      <w:t>Z:\00000000000000000000000=2014------------------------\Laws Without Table of Contents\03\999_212.doc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EBA6" w14:textId="77777777" w:rsidR="009F278B" w:rsidRDefault="009F278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2843">
      <w:rPr>
        <w:rFonts w:hAnsi="FrankRuehl" w:cs="FrankRuehl"/>
        <w:noProof/>
        <w:sz w:val="24"/>
        <w:szCs w:val="24"/>
        <w:rtl/>
      </w:rPr>
      <w:t>2</w:t>
    </w:r>
    <w:r>
      <w:rPr>
        <w:rFonts w:hAnsi="FrankRuehl" w:cs="FrankRuehl"/>
        <w:sz w:val="24"/>
        <w:szCs w:val="24"/>
        <w:rtl/>
      </w:rPr>
      <w:fldChar w:fldCharType="end"/>
    </w:r>
  </w:p>
  <w:p w14:paraId="3FEEF10F" w14:textId="77777777" w:rsidR="009F278B" w:rsidRDefault="009F27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A2974D" w14:textId="77777777" w:rsidR="009F278B" w:rsidRDefault="009F27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2843">
      <w:rPr>
        <w:rFonts w:cs="TopType Jerushalmi"/>
        <w:noProof/>
        <w:color w:val="000000"/>
        <w:sz w:val="14"/>
        <w:szCs w:val="14"/>
      </w:rPr>
      <w:t>Z:\00000000000000000000000=2014------------------------\Laws Without Table of Contents\03\999_212.doc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AF01" w14:textId="77777777" w:rsidR="00A244ED" w:rsidRDefault="00A244ED">
      <w:r>
        <w:separator/>
      </w:r>
    </w:p>
  </w:footnote>
  <w:footnote w:type="continuationSeparator" w:id="0">
    <w:p w14:paraId="1ABFC7A2" w14:textId="77777777" w:rsidR="00A244ED" w:rsidRDefault="00A244ED">
      <w:r>
        <w:continuationSeparator/>
      </w:r>
    </w:p>
  </w:footnote>
  <w:footnote w:id="1">
    <w:p w14:paraId="5AA3A27E" w14:textId="77777777" w:rsidR="009F278B" w:rsidRDefault="009F27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6E7A20">
          <w:rPr>
            <w:rStyle w:val="Hyperlink"/>
            <w:rFonts w:cs="FrankRuehl" w:hint="cs"/>
            <w:rtl/>
          </w:rPr>
          <w:t>ק"ת תשס"ד מס' 6270</w:t>
        </w:r>
      </w:hyperlink>
      <w:r>
        <w:rPr>
          <w:rFonts w:cs="FrankRuehl" w:hint="cs"/>
          <w:rtl/>
        </w:rPr>
        <w:t xml:space="preserve"> מיום 27.10.2003 עמ' 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57926" w14:textId="77777777" w:rsidR="009F278B" w:rsidRDefault="009F278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625673F" w14:textId="77777777" w:rsidR="009F278B" w:rsidRDefault="009F278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F69774" w14:textId="77777777" w:rsidR="009F278B" w:rsidRDefault="009F278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7216" w14:textId="77777777" w:rsidR="009F278B" w:rsidRDefault="009F278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נציב תלונות הציבור על שופטים, תשס"ד-2003</w:t>
    </w:r>
  </w:p>
  <w:p w14:paraId="53D78650" w14:textId="77777777" w:rsidR="009F278B" w:rsidRDefault="009F278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48A07A" w14:textId="77777777" w:rsidR="009F278B" w:rsidRDefault="009F278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5421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455"/>
    <w:rsid w:val="00086B2E"/>
    <w:rsid w:val="00275CB5"/>
    <w:rsid w:val="00392843"/>
    <w:rsid w:val="004311F2"/>
    <w:rsid w:val="006E7A20"/>
    <w:rsid w:val="00707663"/>
    <w:rsid w:val="008D0EC0"/>
    <w:rsid w:val="009F278B"/>
    <w:rsid w:val="00A244ED"/>
    <w:rsid w:val="00C229ED"/>
    <w:rsid w:val="00E06455"/>
    <w:rsid w:val="00F422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5C0E0863"/>
  <w15:chartTrackingRefBased/>
  <w15:docId w15:val="{AEB25724-5846-4A04-816C-ACE62F61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TFASIM/&#1496;&#1508;&#1505;&#1497;&#1501;%20&#1502;&#1513;&#1508;&#1496;&#1497;&#1497;&#1501;/&#1489;&#1514;&#1497;-&#1502;&#1513;&#1508;&#1496;/&#1513;&#1493;&#1508;&#1496;&#1497;&#1501;/&#1514;&#1500;&#1493;&#1504;&#1492;%20&#1500;&#1504;&#1510;&#1497;&#1489;%20&#1511;&#1489;&#1497;&#1500;&#1493;&#1514;%20&#1513;&#1493;&#1508;&#1496;&#1497;&#1501;.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2440</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255</vt:lpstr>
      <vt:lpstr>פרק 255</vt:lpstr>
    </vt:vector>
  </TitlesOfParts>
  <Company/>
  <LinksUpToDate>false</LinksUpToDate>
  <CharactersWithSpaces>2863</CharactersWithSpaces>
  <SharedDoc>false</SharedDoc>
  <HLinks>
    <vt:vector size="54" baseType="variant">
      <vt:variant>
        <vt:i4>393283</vt:i4>
      </vt:variant>
      <vt:variant>
        <vt:i4>39</vt:i4>
      </vt:variant>
      <vt:variant>
        <vt:i4>0</vt:i4>
      </vt:variant>
      <vt:variant>
        <vt:i4>5</vt:i4>
      </vt:variant>
      <vt:variant>
        <vt:lpwstr>http://www.nevo.co.il/advertisements/nevo-100.doc</vt:lpwstr>
      </vt:variant>
      <vt:variant>
        <vt:lpwstr/>
      </vt:variant>
      <vt:variant>
        <vt:i4>4654472</vt:i4>
      </vt:variant>
      <vt:variant>
        <vt:i4>36</vt:i4>
      </vt:variant>
      <vt:variant>
        <vt:i4>0</vt:i4>
      </vt:variant>
      <vt:variant>
        <vt:i4>5</vt:i4>
      </vt:variant>
      <vt:variant>
        <vt:lpwstr>http://www.nevo.co.il/TFASIM/טפסים משפטיים/בתי-משפט/שופטים/תלונה לנציב קבילות שופטים.DOC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7864330</vt:i4>
      </vt:variant>
      <vt:variant>
        <vt:i4>0</vt:i4>
      </vt:variant>
      <vt:variant>
        <vt:i4>0</vt:i4>
      </vt:variant>
      <vt:variant>
        <vt:i4>5</vt:i4>
      </vt:variant>
      <vt:variant>
        <vt:lpwstr>http://www.nevo.co.il/Law_word/law06/TAK-6270.pdf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נציב תלונות הציבור על שופטים, תשס"ד-2003</vt:lpwstr>
  </property>
  <property fmtid="{D5CDD505-2E9C-101B-9397-08002B2CF9AE}" pid="4" name="LAWNUMBER">
    <vt:lpwstr>0212</vt:lpwstr>
  </property>
  <property fmtid="{D5CDD505-2E9C-101B-9397-08002B2CF9AE}" pid="5" name="TYPE">
    <vt:lpwstr>01</vt:lpwstr>
  </property>
  <property fmtid="{D5CDD505-2E9C-101B-9397-08002B2CF9AE}" pid="6" name="CHNAME">
    <vt:lpwstr>בתי משפט</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שופטים</vt:lpwstr>
  </property>
  <property fmtid="{D5CDD505-2E9C-101B-9397-08002B2CF9AE}" pid="10" name="NOSE41">
    <vt:lpwstr>אתיקה ותלונות הציבור</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שופטים</vt:lpwstr>
  </property>
  <property fmtid="{D5CDD505-2E9C-101B-9397-08002B2CF9AE}" pid="14" name="NOSE42">
    <vt:lpwstr>אתיקה ותלונות הציבור</vt:lpwstr>
  </property>
  <property fmtid="{D5CDD505-2E9C-101B-9397-08002B2CF9AE}" pid="15" name="NOSE13">
    <vt:lpwstr>רשויות ומשפט מנהלי</vt:lpwstr>
  </property>
  <property fmtid="{D5CDD505-2E9C-101B-9397-08002B2CF9AE}" pid="16" name="NOSE23">
    <vt:lpwstr>הסדרת עיסוק</vt:lpwstr>
  </property>
  <property fmtid="{D5CDD505-2E9C-101B-9397-08002B2CF9AE}" pid="17" name="NOSE33">
    <vt:lpwstr>שופטים</vt:lpwstr>
  </property>
  <property fmtid="{D5CDD505-2E9C-101B-9397-08002B2CF9AE}" pid="18" name="NOSE43">
    <vt:lpwstr>אתיקה ותלונות הציבור</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