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386EF5" w:rsidP="00320967">
      <w:pPr>
        <w:pStyle w:val="big-header"/>
        <w:ind w:left="0" w:right="1134"/>
      </w:pPr>
      <w:r>
        <w:rPr>
          <w:rFonts w:hint="cs"/>
          <w:rtl/>
        </w:rPr>
        <w:t>תקנות</w:t>
      </w:r>
      <w:r w:rsidR="00E22C9F">
        <w:rPr>
          <w:rFonts w:hint="cs"/>
          <w:rtl/>
        </w:rPr>
        <w:t xml:space="preserve"> נתוני אשראי</w:t>
      </w:r>
      <w:r w:rsidR="009816EA">
        <w:rPr>
          <w:rFonts w:hint="cs"/>
          <w:rtl/>
        </w:rPr>
        <w:t xml:space="preserve">, </w:t>
      </w:r>
      <w:r w:rsidR="00320967">
        <w:rPr>
          <w:rFonts w:hint="cs"/>
          <w:rtl/>
        </w:rPr>
        <w:t>תשע"</w:t>
      </w:r>
      <w:r w:rsidR="00E7102F">
        <w:rPr>
          <w:rFonts w:hint="cs"/>
          <w:rtl/>
        </w:rPr>
        <w:t>ח</w:t>
      </w:r>
      <w:r w:rsidR="00320967">
        <w:rPr>
          <w:rFonts w:hint="cs"/>
          <w:rtl/>
        </w:rPr>
        <w:t>-2017</w:t>
      </w:r>
    </w:p>
    <w:p w:rsidR="006D2E19" w:rsidRDefault="006D2E19" w:rsidP="006D2E19">
      <w:pPr>
        <w:spacing w:line="320" w:lineRule="auto"/>
        <w:jc w:val="left"/>
        <w:rPr>
          <w:rFonts w:cs="FrankRuehl"/>
          <w:szCs w:val="26"/>
        </w:rPr>
      </w:pPr>
    </w:p>
    <w:p w:rsidR="006D2E19" w:rsidRDefault="006D2E19" w:rsidP="006D2E19">
      <w:pPr>
        <w:spacing w:line="320" w:lineRule="auto"/>
        <w:jc w:val="left"/>
        <w:rPr>
          <w:rtl/>
        </w:rPr>
      </w:pPr>
    </w:p>
    <w:p w:rsidR="00E7102F" w:rsidRPr="00E7102F" w:rsidRDefault="00E7102F" w:rsidP="00E7102F">
      <w:pPr>
        <w:spacing w:line="320" w:lineRule="auto"/>
        <w:jc w:val="left"/>
        <w:rPr>
          <w:rFonts w:cs="Times New Roman"/>
          <w:color w:val="000000"/>
          <w:szCs w:val="22"/>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xml:space="preserve"> – כספים – בנקאות – </w:t>
      </w:r>
      <w:r w:rsidRPr="00E7102F">
        <w:rPr>
          <w:rFonts w:cs="FrankRuehl"/>
          <w:szCs w:val="26"/>
          <w:rtl/>
        </w:rPr>
        <w:t>שירות</w:t>
      </w:r>
      <w:r w:rsidRPr="00E7102F">
        <w:rPr>
          <w:rFonts w:ascii="FrankRuehl" w:hAnsi="FrankRuehl" w:cs="FrankRuehl"/>
          <w:color w:val="000000"/>
          <w:sz w:val="26"/>
          <w:szCs w:val="26"/>
          <w:rtl/>
          <w:lang w:eastAsia="en-US"/>
        </w:rPr>
        <w:t xml:space="preserve"> ללקוח</w:t>
      </w:r>
    </w:p>
    <w:p w:rsidR="00E7102F" w:rsidRPr="00E7102F" w:rsidRDefault="00E7102F" w:rsidP="00E7102F">
      <w:pPr>
        <w:spacing w:line="320" w:lineRule="auto"/>
        <w:jc w:val="left"/>
        <w:rPr>
          <w:rFonts w:cs="Times New Roman"/>
          <w:color w:val="000000"/>
          <w:szCs w:val="22"/>
          <w:rtl/>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 כספים – שירות נתוני אשראי</w:t>
      </w:r>
    </w:p>
    <w:p w:rsidR="00B8420E" w:rsidRPr="00E7102F" w:rsidRDefault="00B8420E" w:rsidP="006D2E19">
      <w:pPr>
        <w:spacing w:line="320" w:lineRule="auto"/>
        <w:jc w:val="left"/>
        <w:rPr>
          <w:rFonts w:cs="FrankRuehl"/>
          <w:szCs w:val="26"/>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א': פרשנות</w:t>
            </w:r>
          </w:p>
        </w:tc>
        <w:tc>
          <w:tcPr>
            <w:tcW w:w="567" w:type="dxa"/>
          </w:tcPr>
          <w:p w:rsidR="009063ED" w:rsidRPr="009063ED" w:rsidRDefault="009063ED" w:rsidP="009063ED">
            <w:pPr>
              <w:spacing w:line="240" w:lineRule="auto"/>
              <w:jc w:val="left"/>
              <w:rPr>
                <w:rStyle w:val="Hyperlink"/>
                <w:rFonts w:hint="cs"/>
                <w:rtl/>
              </w:rPr>
            </w:pPr>
            <w:hyperlink w:anchor="med0" w:tooltip="פרק א: פרשנות"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הגדרות</w:t>
            </w:r>
          </w:p>
        </w:tc>
        <w:tc>
          <w:tcPr>
            <w:tcW w:w="567" w:type="dxa"/>
          </w:tcPr>
          <w:p w:rsidR="009063ED" w:rsidRPr="009063ED" w:rsidRDefault="009063ED" w:rsidP="009063ED">
            <w:pPr>
              <w:spacing w:line="240" w:lineRule="auto"/>
              <w:jc w:val="left"/>
              <w:rPr>
                <w:rStyle w:val="Hyperlink"/>
                <w:rFonts w:hint="cs"/>
                <w:rtl/>
              </w:rPr>
            </w:pPr>
            <w:hyperlink w:anchor="Seif1" w:tooltip="הגדרות"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ב': העברת נתוני אשראי למאגר בידי מקורות המידע</w:t>
            </w:r>
          </w:p>
        </w:tc>
        <w:tc>
          <w:tcPr>
            <w:tcW w:w="567" w:type="dxa"/>
          </w:tcPr>
          <w:p w:rsidR="009063ED" w:rsidRPr="009063ED" w:rsidRDefault="009063ED" w:rsidP="009063ED">
            <w:pPr>
              <w:spacing w:line="240" w:lineRule="auto"/>
              <w:jc w:val="left"/>
              <w:rPr>
                <w:rStyle w:val="Hyperlink"/>
                <w:rFonts w:hint="cs"/>
                <w:rtl/>
              </w:rPr>
            </w:pPr>
            <w:hyperlink w:anchor="med1" w:tooltip="פרק ב: העברת נתוני אשראי למאגר בידי מקורות המידע"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2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העברת נתוני אשראי</w:t>
            </w:r>
          </w:p>
        </w:tc>
        <w:tc>
          <w:tcPr>
            <w:tcW w:w="567" w:type="dxa"/>
          </w:tcPr>
          <w:p w:rsidR="009063ED" w:rsidRPr="009063ED" w:rsidRDefault="009063ED" w:rsidP="009063ED">
            <w:pPr>
              <w:spacing w:line="240" w:lineRule="auto"/>
              <w:jc w:val="left"/>
              <w:rPr>
                <w:rStyle w:val="Hyperlink"/>
                <w:rFonts w:hint="cs"/>
                <w:rtl/>
              </w:rPr>
            </w:pPr>
            <w:hyperlink w:anchor="Seif2" w:tooltip="העברת נתוני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ג': נתונים המעידים באופן מובהק על כל שהלקו אינו עומד בפירעון תשלומים</w:t>
            </w:r>
          </w:p>
        </w:tc>
        <w:tc>
          <w:tcPr>
            <w:tcW w:w="567" w:type="dxa"/>
          </w:tcPr>
          <w:p w:rsidR="009063ED" w:rsidRPr="009063ED" w:rsidRDefault="009063ED" w:rsidP="009063ED">
            <w:pPr>
              <w:spacing w:line="240" w:lineRule="auto"/>
              <w:jc w:val="left"/>
              <w:rPr>
                <w:rStyle w:val="Hyperlink"/>
                <w:rFonts w:hint="cs"/>
                <w:rtl/>
              </w:rPr>
            </w:pPr>
            <w:hyperlink w:anchor="med2" w:tooltip="פרק ג: נתונים המעידים באופן מובהק על כל שהלקו אינו עומד בפירעון תשלומים"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3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נתונים המעידים באופן מובהק על כך שהלקוח אינו עומד בפירעון תשלומים לעניין הכללה במאגר נתוני אשראי</w:t>
            </w:r>
          </w:p>
        </w:tc>
        <w:tc>
          <w:tcPr>
            <w:tcW w:w="567" w:type="dxa"/>
          </w:tcPr>
          <w:p w:rsidR="009063ED" w:rsidRPr="009063ED" w:rsidRDefault="009063ED" w:rsidP="009063ED">
            <w:pPr>
              <w:spacing w:line="240" w:lineRule="auto"/>
              <w:jc w:val="left"/>
              <w:rPr>
                <w:rStyle w:val="Hyperlink"/>
                <w:rFonts w:hint="cs"/>
                <w:rtl/>
              </w:rPr>
            </w:pPr>
            <w:hyperlink w:anchor="Seif3" w:tooltip="נתונים המעידים באופן מובהק על כך שהלקוח אינו עומד בפירעון תשלומים לעניין הכללה במאגר נתוני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4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נסיבות שיש בהן כדי להעיד באופן מובהק על כך שהלקוח אינו עומד בפירעון תשלומים לעניין חיווי אשראי</w:t>
            </w:r>
          </w:p>
        </w:tc>
        <w:tc>
          <w:tcPr>
            <w:tcW w:w="567" w:type="dxa"/>
          </w:tcPr>
          <w:p w:rsidR="009063ED" w:rsidRPr="009063ED" w:rsidRDefault="009063ED" w:rsidP="009063ED">
            <w:pPr>
              <w:spacing w:line="240" w:lineRule="auto"/>
              <w:jc w:val="left"/>
              <w:rPr>
                <w:rStyle w:val="Hyperlink"/>
                <w:rFonts w:hint="cs"/>
                <w:rtl/>
              </w:rPr>
            </w:pPr>
            <w:hyperlink w:anchor="Seif4" w:tooltip="נסיבות שיש בהן כדי להעיד באופן מובהק על כך שהלקוח אינו עומד בפירעון תשלומים לעניין חיווי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ד': הוראות לעניין הסכמת הלקוח לדוח אשראי</w:t>
            </w:r>
          </w:p>
        </w:tc>
        <w:tc>
          <w:tcPr>
            <w:tcW w:w="567" w:type="dxa"/>
          </w:tcPr>
          <w:p w:rsidR="009063ED" w:rsidRPr="009063ED" w:rsidRDefault="009063ED" w:rsidP="009063ED">
            <w:pPr>
              <w:spacing w:line="240" w:lineRule="auto"/>
              <w:jc w:val="left"/>
              <w:rPr>
                <w:rStyle w:val="Hyperlink"/>
                <w:rFonts w:hint="cs"/>
                <w:rtl/>
              </w:rPr>
            </w:pPr>
            <w:hyperlink w:anchor="med3" w:tooltip="פרק ד: הוראות לעניין הסכמת הלקוח לדוח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5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הוראות לעניין זיהוי הלקוח, קבלת הסכמתו להעברת נתוני האשראי לגביו ותיעודה</w:t>
            </w:r>
          </w:p>
        </w:tc>
        <w:tc>
          <w:tcPr>
            <w:tcW w:w="567" w:type="dxa"/>
          </w:tcPr>
          <w:p w:rsidR="009063ED" w:rsidRPr="009063ED" w:rsidRDefault="009063ED" w:rsidP="009063ED">
            <w:pPr>
              <w:spacing w:line="240" w:lineRule="auto"/>
              <w:jc w:val="left"/>
              <w:rPr>
                <w:rStyle w:val="Hyperlink"/>
                <w:rFonts w:hint="cs"/>
                <w:rtl/>
              </w:rPr>
            </w:pPr>
            <w:hyperlink w:anchor="Seif5" w:tooltip="הוראות לעניין זיהוי הלקוח, קבלת הסכמתו להעברת נתוני האשראי לגביו ותיעוד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ה': ייפוי כוח בתמורה</w:t>
            </w:r>
          </w:p>
        </w:tc>
        <w:tc>
          <w:tcPr>
            <w:tcW w:w="567" w:type="dxa"/>
          </w:tcPr>
          <w:p w:rsidR="009063ED" w:rsidRPr="009063ED" w:rsidRDefault="009063ED" w:rsidP="009063ED">
            <w:pPr>
              <w:spacing w:line="240" w:lineRule="auto"/>
              <w:jc w:val="left"/>
              <w:rPr>
                <w:rStyle w:val="Hyperlink"/>
                <w:rFonts w:hint="cs"/>
                <w:rtl/>
              </w:rPr>
            </w:pPr>
            <w:hyperlink w:anchor="med4" w:tooltip="פרק ה: ייפוי כוח בתמור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6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ייפוי כוח בתמורה</w:t>
            </w:r>
          </w:p>
        </w:tc>
        <w:tc>
          <w:tcPr>
            <w:tcW w:w="567" w:type="dxa"/>
          </w:tcPr>
          <w:p w:rsidR="009063ED" w:rsidRPr="009063ED" w:rsidRDefault="009063ED" w:rsidP="009063ED">
            <w:pPr>
              <w:spacing w:line="240" w:lineRule="auto"/>
              <w:jc w:val="left"/>
              <w:rPr>
                <w:rStyle w:val="Hyperlink"/>
                <w:rFonts w:hint="cs"/>
                <w:rtl/>
              </w:rPr>
            </w:pPr>
            <w:hyperlink w:anchor="Seif6" w:tooltip="ייפוי כוח בתמור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7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ייפוי כוח חד פעמי או מתמשך</w:t>
            </w:r>
          </w:p>
        </w:tc>
        <w:tc>
          <w:tcPr>
            <w:tcW w:w="567" w:type="dxa"/>
          </w:tcPr>
          <w:p w:rsidR="009063ED" w:rsidRPr="009063ED" w:rsidRDefault="009063ED" w:rsidP="009063ED">
            <w:pPr>
              <w:spacing w:line="240" w:lineRule="auto"/>
              <w:jc w:val="left"/>
              <w:rPr>
                <w:rStyle w:val="Hyperlink"/>
                <w:rFonts w:hint="cs"/>
                <w:rtl/>
              </w:rPr>
            </w:pPr>
            <w:hyperlink w:anchor="Seif7" w:tooltip="ייפוי כוח חד פעמי או מתמשך"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8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ייפוי כוח בכתב</w:t>
            </w:r>
          </w:p>
        </w:tc>
        <w:tc>
          <w:tcPr>
            <w:tcW w:w="567" w:type="dxa"/>
          </w:tcPr>
          <w:p w:rsidR="009063ED" w:rsidRPr="009063ED" w:rsidRDefault="009063ED" w:rsidP="009063ED">
            <w:pPr>
              <w:spacing w:line="240" w:lineRule="auto"/>
              <w:jc w:val="left"/>
              <w:rPr>
                <w:rStyle w:val="Hyperlink"/>
                <w:rFonts w:hint="cs"/>
                <w:rtl/>
              </w:rPr>
            </w:pPr>
            <w:hyperlink w:anchor="Seif8" w:tooltip="ייפוי כוח בכתב"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9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הצהרת מיופה כוח בתמורה</w:t>
            </w:r>
          </w:p>
        </w:tc>
        <w:tc>
          <w:tcPr>
            <w:tcW w:w="567" w:type="dxa"/>
          </w:tcPr>
          <w:p w:rsidR="009063ED" w:rsidRPr="009063ED" w:rsidRDefault="009063ED" w:rsidP="009063ED">
            <w:pPr>
              <w:spacing w:line="240" w:lineRule="auto"/>
              <w:jc w:val="left"/>
              <w:rPr>
                <w:rStyle w:val="Hyperlink"/>
                <w:rFonts w:hint="cs"/>
                <w:rtl/>
              </w:rPr>
            </w:pPr>
            <w:hyperlink w:anchor="Seif9" w:tooltip="הצהרת מיופה כוח בתמור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10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הוכחת קיומם של תנאים להעברת דוח ריכוז נתונים רגיל למיופה כוח בתמורה</w:t>
            </w:r>
          </w:p>
        </w:tc>
        <w:tc>
          <w:tcPr>
            <w:tcW w:w="567" w:type="dxa"/>
          </w:tcPr>
          <w:p w:rsidR="009063ED" w:rsidRPr="009063ED" w:rsidRDefault="009063ED" w:rsidP="009063ED">
            <w:pPr>
              <w:spacing w:line="240" w:lineRule="auto"/>
              <w:jc w:val="left"/>
              <w:rPr>
                <w:rStyle w:val="Hyperlink"/>
                <w:rFonts w:hint="cs"/>
                <w:rtl/>
              </w:rPr>
            </w:pPr>
            <w:hyperlink w:anchor="Seif10" w:tooltip="הוכחת קיומם של תנאים להעברת דוח ריכוז נתונים רגיל למיופה כוח בתמור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11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תקופת החזקת נתוני אשראי בידי מיופה כוח בתמורה</w:t>
            </w:r>
          </w:p>
        </w:tc>
        <w:tc>
          <w:tcPr>
            <w:tcW w:w="567" w:type="dxa"/>
          </w:tcPr>
          <w:p w:rsidR="009063ED" w:rsidRPr="009063ED" w:rsidRDefault="009063ED" w:rsidP="009063ED">
            <w:pPr>
              <w:spacing w:line="240" w:lineRule="auto"/>
              <w:jc w:val="left"/>
              <w:rPr>
                <w:rStyle w:val="Hyperlink"/>
                <w:rFonts w:hint="cs"/>
                <w:rtl/>
              </w:rPr>
            </w:pPr>
            <w:hyperlink w:anchor="Seif11" w:tooltip="תקופת החזקת נתוני אשראי בידי מיופה כוח בתמור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פרק ו': שונות</w:t>
            </w:r>
          </w:p>
        </w:tc>
        <w:tc>
          <w:tcPr>
            <w:tcW w:w="567" w:type="dxa"/>
          </w:tcPr>
          <w:p w:rsidR="009063ED" w:rsidRPr="009063ED" w:rsidRDefault="009063ED" w:rsidP="009063ED">
            <w:pPr>
              <w:spacing w:line="240" w:lineRule="auto"/>
              <w:jc w:val="left"/>
              <w:rPr>
                <w:rStyle w:val="Hyperlink"/>
                <w:rFonts w:hint="cs"/>
                <w:rtl/>
              </w:rPr>
            </w:pPr>
            <w:hyperlink w:anchor="med5" w:tooltip="פרק ו: שונות"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12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מתווך בעסקאות אשראי</w:t>
            </w:r>
          </w:p>
        </w:tc>
        <w:tc>
          <w:tcPr>
            <w:tcW w:w="567" w:type="dxa"/>
          </w:tcPr>
          <w:p w:rsidR="009063ED" w:rsidRPr="009063ED" w:rsidRDefault="009063ED" w:rsidP="009063ED">
            <w:pPr>
              <w:spacing w:line="240" w:lineRule="auto"/>
              <w:jc w:val="left"/>
              <w:rPr>
                <w:rStyle w:val="Hyperlink"/>
                <w:rFonts w:hint="cs"/>
                <w:rtl/>
              </w:rPr>
            </w:pPr>
            <w:hyperlink w:anchor="Seif12" w:tooltip="מתווך בעסקאות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13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נותן אשראי בסיכון נמוך</w:t>
            </w:r>
          </w:p>
        </w:tc>
        <w:tc>
          <w:tcPr>
            <w:tcW w:w="567" w:type="dxa"/>
          </w:tcPr>
          <w:p w:rsidR="009063ED" w:rsidRPr="009063ED" w:rsidRDefault="009063ED" w:rsidP="009063ED">
            <w:pPr>
              <w:spacing w:line="240" w:lineRule="auto"/>
              <w:jc w:val="left"/>
              <w:rPr>
                <w:rStyle w:val="Hyperlink"/>
                <w:rFonts w:hint="cs"/>
                <w:rtl/>
              </w:rPr>
            </w:pPr>
            <w:hyperlink w:anchor="Seif13" w:tooltip="נותן אשראי בסיכון נמוך"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14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נתוני אשראי שניתנים למסירה יחד עם חיווי אשראי</w:t>
            </w:r>
          </w:p>
        </w:tc>
        <w:tc>
          <w:tcPr>
            <w:tcW w:w="567" w:type="dxa"/>
          </w:tcPr>
          <w:p w:rsidR="009063ED" w:rsidRPr="009063ED" w:rsidRDefault="009063ED" w:rsidP="009063ED">
            <w:pPr>
              <w:spacing w:line="240" w:lineRule="auto"/>
              <w:jc w:val="left"/>
              <w:rPr>
                <w:rStyle w:val="Hyperlink"/>
                <w:rFonts w:hint="cs"/>
                <w:rtl/>
              </w:rPr>
            </w:pPr>
            <w:hyperlink w:anchor="Seif14" w:tooltip="נתוני אשראי שניתנים למסירה יחד עם חיווי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15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נתוני אשראי שלא יימסרו ללשכת האשראי</w:t>
            </w:r>
          </w:p>
        </w:tc>
        <w:tc>
          <w:tcPr>
            <w:tcW w:w="567" w:type="dxa"/>
          </w:tcPr>
          <w:p w:rsidR="009063ED" w:rsidRPr="009063ED" w:rsidRDefault="009063ED" w:rsidP="009063ED">
            <w:pPr>
              <w:spacing w:line="240" w:lineRule="auto"/>
              <w:jc w:val="left"/>
              <w:rPr>
                <w:rStyle w:val="Hyperlink"/>
                <w:rFonts w:hint="cs"/>
                <w:rtl/>
              </w:rPr>
            </w:pPr>
            <w:hyperlink w:anchor="Seif15" w:tooltip="נתוני אשראי שלא יימסרו ללשכת ה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16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בקשת לקוח שלא יימסרו נתוני אשראי לגביו מהמאגר</w:t>
            </w:r>
          </w:p>
        </w:tc>
        <w:tc>
          <w:tcPr>
            <w:tcW w:w="567" w:type="dxa"/>
          </w:tcPr>
          <w:p w:rsidR="009063ED" w:rsidRPr="009063ED" w:rsidRDefault="009063ED" w:rsidP="009063ED">
            <w:pPr>
              <w:spacing w:line="240" w:lineRule="auto"/>
              <w:jc w:val="left"/>
              <w:rPr>
                <w:rStyle w:val="Hyperlink"/>
                <w:rFonts w:hint="cs"/>
                <w:rtl/>
              </w:rPr>
            </w:pPr>
            <w:hyperlink w:anchor="Seif16" w:tooltip="בקשת לקוח שלא יימסרו נתוני אשראי לגביו מהמאגר"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17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תקופת החזקת נתוני אשראי בידי לשכת האשראי</w:t>
            </w:r>
          </w:p>
        </w:tc>
        <w:tc>
          <w:tcPr>
            <w:tcW w:w="567" w:type="dxa"/>
          </w:tcPr>
          <w:p w:rsidR="009063ED" w:rsidRPr="009063ED" w:rsidRDefault="009063ED" w:rsidP="009063ED">
            <w:pPr>
              <w:spacing w:line="240" w:lineRule="auto"/>
              <w:jc w:val="left"/>
              <w:rPr>
                <w:rStyle w:val="Hyperlink"/>
                <w:rFonts w:hint="cs"/>
                <w:rtl/>
              </w:rPr>
            </w:pPr>
            <w:hyperlink w:anchor="Seif17" w:tooltip="תקופת החזקת נתוני אשראי בידי לשכת ה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18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פרטים מזהים הכלולים בנתוני אשראי</w:t>
            </w:r>
          </w:p>
        </w:tc>
        <w:tc>
          <w:tcPr>
            <w:tcW w:w="567" w:type="dxa"/>
          </w:tcPr>
          <w:p w:rsidR="009063ED" w:rsidRPr="009063ED" w:rsidRDefault="009063ED" w:rsidP="009063ED">
            <w:pPr>
              <w:spacing w:line="240" w:lineRule="auto"/>
              <w:jc w:val="left"/>
              <w:rPr>
                <w:rStyle w:val="Hyperlink"/>
                <w:rFonts w:hint="cs"/>
                <w:rtl/>
              </w:rPr>
            </w:pPr>
            <w:hyperlink w:anchor="Seif18" w:tooltip="פרטים מזהים הכלולים בנתוני אשראי"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19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הוראות</w:t>
            </w:r>
          </w:p>
        </w:tc>
        <w:tc>
          <w:tcPr>
            <w:tcW w:w="567" w:type="dxa"/>
          </w:tcPr>
          <w:p w:rsidR="009063ED" w:rsidRPr="009063ED" w:rsidRDefault="009063ED" w:rsidP="009063ED">
            <w:pPr>
              <w:spacing w:line="240" w:lineRule="auto"/>
              <w:jc w:val="left"/>
              <w:rPr>
                <w:rStyle w:val="Hyperlink"/>
                <w:rFonts w:hint="cs"/>
                <w:rtl/>
              </w:rPr>
            </w:pPr>
            <w:hyperlink w:anchor="Seif19" w:tooltip="הוראות"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r>
              <w:rPr>
                <w:rFonts w:cs="Times New Roman"/>
                <w:sz w:val="24"/>
                <w:rtl/>
              </w:rPr>
              <w:t xml:space="preserve">סעיף 20 </w:t>
            </w: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עדכון סכומים</w:t>
            </w:r>
          </w:p>
        </w:tc>
        <w:tc>
          <w:tcPr>
            <w:tcW w:w="567" w:type="dxa"/>
          </w:tcPr>
          <w:p w:rsidR="009063ED" w:rsidRPr="009063ED" w:rsidRDefault="009063ED" w:rsidP="009063ED">
            <w:pPr>
              <w:spacing w:line="240" w:lineRule="auto"/>
              <w:jc w:val="left"/>
              <w:rPr>
                <w:rStyle w:val="Hyperlink"/>
                <w:rFonts w:hint="cs"/>
                <w:rtl/>
              </w:rPr>
            </w:pPr>
            <w:hyperlink w:anchor="Seif20" w:tooltip="עדכון סכומים"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תוספת ראשונה</w:t>
            </w:r>
          </w:p>
        </w:tc>
        <w:tc>
          <w:tcPr>
            <w:tcW w:w="567" w:type="dxa"/>
          </w:tcPr>
          <w:p w:rsidR="009063ED" w:rsidRPr="009063ED" w:rsidRDefault="009063ED" w:rsidP="009063ED">
            <w:pPr>
              <w:spacing w:line="240" w:lineRule="auto"/>
              <w:jc w:val="left"/>
              <w:rPr>
                <w:rStyle w:val="Hyperlink"/>
                <w:rFonts w:hint="cs"/>
                <w:rtl/>
              </w:rPr>
            </w:pPr>
            <w:hyperlink w:anchor="med6" w:tooltip="תוספת ראשונ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תוספת שנייה</w:t>
            </w:r>
          </w:p>
        </w:tc>
        <w:tc>
          <w:tcPr>
            <w:tcW w:w="567" w:type="dxa"/>
          </w:tcPr>
          <w:p w:rsidR="009063ED" w:rsidRPr="009063ED" w:rsidRDefault="009063ED" w:rsidP="009063ED">
            <w:pPr>
              <w:spacing w:line="240" w:lineRule="auto"/>
              <w:jc w:val="left"/>
              <w:rPr>
                <w:rStyle w:val="Hyperlink"/>
                <w:rFonts w:hint="cs"/>
                <w:rtl/>
              </w:rPr>
            </w:pPr>
            <w:hyperlink w:anchor="med7" w:tooltip="תוספת שנייה"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063ED" w:rsidRPr="009063ED" w:rsidTr="009063ED">
        <w:tblPrEx>
          <w:tblCellMar>
            <w:top w:w="0" w:type="dxa"/>
            <w:bottom w:w="0" w:type="dxa"/>
          </w:tblCellMar>
        </w:tblPrEx>
        <w:tc>
          <w:tcPr>
            <w:tcW w:w="1247" w:type="dxa"/>
          </w:tcPr>
          <w:p w:rsidR="009063ED" w:rsidRPr="009063ED" w:rsidRDefault="009063ED" w:rsidP="009063ED">
            <w:pPr>
              <w:spacing w:line="240" w:lineRule="auto"/>
              <w:jc w:val="left"/>
              <w:rPr>
                <w:rFonts w:cs="Frankruhel" w:hint="cs"/>
                <w:sz w:val="24"/>
                <w:rtl/>
              </w:rPr>
            </w:pPr>
          </w:p>
        </w:tc>
        <w:tc>
          <w:tcPr>
            <w:tcW w:w="5669" w:type="dxa"/>
          </w:tcPr>
          <w:p w:rsidR="009063ED" w:rsidRPr="009063ED" w:rsidRDefault="009063ED" w:rsidP="009063ED">
            <w:pPr>
              <w:spacing w:line="240" w:lineRule="auto"/>
              <w:jc w:val="left"/>
              <w:rPr>
                <w:rFonts w:cs="Frankruhel" w:hint="cs"/>
                <w:sz w:val="24"/>
                <w:rtl/>
              </w:rPr>
            </w:pPr>
            <w:r>
              <w:rPr>
                <w:rFonts w:cs="Times New Roman"/>
                <w:sz w:val="24"/>
                <w:rtl/>
              </w:rPr>
              <w:t>תוספת שלישית</w:t>
            </w:r>
          </w:p>
        </w:tc>
        <w:tc>
          <w:tcPr>
            <w:tcW w:w="567" w:type="dxa"/>
          </w:tcPr>
          <w:p w:rsidR="009063ED" w:rsidRPr="009063ED" w:rsidRDefault="009063ED" w:rsidP="009063ED">
            <w:pPr>
              <w:spacing w:line="240" w:lineRule="auto"/>
              <w:jc w:val="left"/>
              <w:rPr>
                <w:rStyle w:val="Hyperlink"/>
                <w:rFonts w:hint="cs"/>
                <w:rtl/>
              </w:rPr>
            </w:pPr>
            <w:hyperlink w:anchor="med8" w:tooltip="תוספת שלישית" w:history="1">
              <w:r w:rsidRPr="009063ED">
                <w:rPr>
                  <w:rStyle w:val="Hyperlink"/>
                </w:rPr>
                <w:t>Go</w:t>
              </w:r>
            </w:hyperlink>
          </w:p>
        </w:tc>
        <w:tc>
          <w:tcPr>
            <w:tcW w:w="850" w:type="dxa"/>
          </w:tcPr>
          <w:p w:rsidR="009063ED" w:rsidRPr="009063ED" w:rsidRDefault="009063ED" w:rsidP="009063E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320967">
      <w:pPr>
        <w:pStyle w:val="big-header"/>
        <w:ind w:left="0" w:right="1134"/>
        <w:rPr>
          <w:rStyle w:val="default"/>
          <w:rFonts w:hint="cs"/>
          <w:sz w:val="22"/>
          <w:szCs w:val="22"/>
          <w:rtl/>
        </w:rPr>
      </w:pPr>
      <w:r>
        <w:rPr>
          <w:rtl/>
        </w:rPr>
        <w:br w:type="page"/>
      </w:r>
      <w:r w:rsidR="00386EF5">
        <w:rPr>
          <w:rFonts w:hint="cs"/>
          <w:rtl/>
        </w:rPr>
        <w:lastRenderedPageBreak/>
        <w:t>תקנות נתוני אשראי, תשע"ח-2017</w:t>
      </w:r>
      <w:r>
        <w:rPr>
          <w:rStyle w:val="default"/>
          <w:sz w:val="22"/>
          <w:szCs w:val="22"/>
          <w:rtl/>
        </w:rPr>
        <w:footnoteReference w:customMarkFollows="1" w:id="1"/>
        <w:t>*</w:t>
      </w:r>
    </w:p>
    <w:p w:rsidR="001153D7" w:rsidRDefault="001153D7" w:rsidP="00EF4509">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sidR="00E22C9F">
        <w:rPr>
          <w:rStyle w:val="default"/>
          <w:rFonts w:cs="FrankRuehl" w:hint="cs"/>
          <w:rtl/>
        </w:rPr>
        <w:t xml:space="preserve">סמכותי לפי </w:t>
      </w:r>
      <w:r w:rsidR="005F65FC">
        <w:rPr>
          <w:rStyle w:val="default"/>
          <w:rFonts w:cs="FrankRuehl" w:hint="cs"/>
          <w:rtl/>
        </w:rPr>
        <w:t>הגדרת נותן אשראי שבסעיף 2 ולפי סעיפים 19(ב) ו-(ד)(1), 22(ה)(1), 26(א)(3), 26(ג), 30(א), 35(א), 36, 42(ב), 46, 49(א) ו-(ב), 107, 115 ו-125(ד)</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w:t>
      </w:r>
      <w:r w:rsidR="002B600C">
        <w:rPr>
          <w:rStyle w:val="default"/>
          <w:rFonts w:cs="FrankRuehl" w:hint="cs"/>
          <w:rtl/>
        </w:rPr>
        <w:t>בהסכמת שר האוצר לעניין תקנות 2, 18 והתוספת הראשונה, בהסכמת הנגיד לעניין תקנות 2 עד 4, 6 עד 9, 18, התוספת הראשונה והתוספת השלישית, בהתייעצות עם הנגיד לעניין תקנות 5, 12 והתוספת השנייה, ובאישור ועדת הכלכלה לעניין תקנות 2 עד 13, 16 עד 18 והתוספת הראשונה עד התוספת השלישית, אני מתקינה תקנות אלה</w:t>
      </w:r>
      <w:r>
        <w:rPr>
          <w:rStyle w:val="default"/>
          <w:rFonts w:cs="FrankRuehl"/>
          <w:rtl/>
        </w:rPr>
        <w:t>:</w:t>
      </w:r>
    </w:p>
    <w:p w:rsidR="002B600C" w:rsidRPr="00CE7469" w:rsidRDefault="002B600C" w:rsidP="00CE7469">
      <w:pPr>
        <w:pStyle w:val="medium2-header"/>
        <w:keepLines w:val="0"/>
        <w:spacing w:before="72"/>
        <w:ind w:left="0" w:right="1134"/>
        <w:rPr>
          <w:noProof/>
          <w:rtl/>
        </w:rPr>
      </w:pPr>
      <w:bookmarkStart w:id="0" w:name="med0"/>
      <w:bookmarkEnd w:id="0"/>
      <w:r w:rsidRPr="00CE7469">
        <w:rPr>
          <w:rFonts w:hint="cs"/>
          <w:noProof/>
          <w:rtl/>
        </w:rPr>
        <w:t>פרק א': פרשנות</w:t>
      </w:r>
    </w:p>
    <w:p w:rsidR="001153D7" w:rsidRDefault="001153D7" w:rsidP="00EF4509">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2.4pt;z-index:251634176" o:allowincell="f" filled="f" stroked="f" strokecolor="lime" strokeweight=".25pt">
            <v:textbox style="mso-next-textbox:#_x0000_s2050" inset="0,0,0,0">
              <w:txbxContent>
                <w:p w:rsidR="00BC191A" w:rsidRDefault="00BC191A">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CE7469">
        <w:rPr>
          <w:rStyle w:val="default"/>
          <w:rFonts w:cs="FrankRuehl" w:hint="cs"/>
          <w:rtl/>
        </w:rPr>
        <w:t>בתקנות</w:t>
      </w:r>
      <w:r w:rsidR="00EF4509">
        <w:rPr>
          <w:rStyle w:val="default"/>
          <w:rFonts w:cs="FrankRuehl" w:hint="cs"/>
          <w:rtl/>
        </w:rPr>
        <w:t xml:space="preserve"> אלה</w:t>
      </w:r>
      <w:r w:rsidR="008B1FCD">
        <w:rPr>
          <w:rStyle w:val="default"/>
          <w:rFonts w:cs="FrankRuehl" w:hint="cs"/>
          <w:rtl/>
        </w:rPr>
        <w:t xml:space="preserve"> </w:t>
      </w:r>
      <w:r w:rsidR="008B1FCD">
        <w:rPr>
          <w:rStyle w:val="default"/>
          <w:rFonts w:cs="FrankRuehl"/>
          <w:rtl/>
        </w:rPr>
        <w:t>–</w:t>
      </w:r>
    </w:p>
    <w:p w:rsidR="00CE7469" w:rsidRDefault="008D69AC" w:rsidP="008D69AC">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2335" type="#_x0000_t202" style="position:absolute;left:0;text-align:left;margin-left:470.35pt;margin-top:7.1pt;width:1in;height:10.95pt;z-index:251654656"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sidR="00CE7469">
        <w:rPr>
          <w:rStyle w:val="default"/>
          <w:rFonts w:cs="FrankRuehl" w:hint="cs"/>
          <w:rtl/>
        </w:rPr>
        <w:t xml:space="preserve">הכונס הרשמי" </w:t>
      </w:r>
      <w:r w:rsidR="00CE7469">
        <w:rPr>
          <w:rStyle w:val="default"/>
          <w:rFonts w:cs="FrankRuehl"/>
          <w:rtl/>
        </w:rPr>
        <w:t>–</w:t>
      </w:r>
      <w:r w:rsidR="00CE7469">
        <w:rPr>
          <w:rStyle w:val="default"/>
          <w:rFonts w:cs="FrankRuehl" w:hint="cs"/>
          <w:rtl/>
        </w:rPr>
        <w:t xml:space="preserve"> </w:t>
      </w:r>
      <w:r>
        <w:rPr>
          <w:rStyle w:val="default"/>
          <w:rFonts w:cs="FrankRuehl" w:hint="cs"/>
          <w:rtl/>
        </w:rPr>
        <w:t>(נמחקה)</w:t>
      </w:r>
      <w:r w:rsidR="00CE7469">
        <w:rPr>
          <w:rStyle w:val="default"/>
          <w:rFonts w:cs="FrankRuehl" w:hint="cs"/>
          <w:rtl/>
        </w:rPr>
        <w:t>;</w:t>
      </w:r>
    </w:p>
    <w:p w:rsidR="008D69AC" w:rsidRPr="00330173" w:rsidRDefault="008D69AC" w:rsidP="008D69AC">
      <w:pPr>
        <w:pStyle w:val="P00"/>
        <w:spacing w:before="0"/>
        <w:ind w:left="0" w:right="1134"/>
        <w:rPr>
          <w:rStyle w:val="default"/>
          <w:rFonts w:cs="FrankRuehl"/>
          <w:vanish/>
          <w:color w:val="FF0000"/>
          <w:szCs w:val="20"/>
          <w:shd w:val="clear" w:color="auto" w:fill="FFFF99"/>
          <w:rtl/>
        </w:rPr>
      </w:pPr>
      <w:bookmarkStart w:id="2" w:name="Rov133"/>
      <w:r w:rsidRPr="00330173">
        <w:rPr>
          <w:rStyle w:val="default"/>
          <w:rFonts w:cs="FrankRuehl" w:hint="cs"/>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תק' תשפ"א-2021</w:t>
      </w:r>
    </w:p>
    <w:p w:rsidR="008D69AC" w:rsidRPr="00330173" w:rsidRDefault="008D69AC" w:rsidP="008D69AC">
      <w:pPr>
        <w:pStyle w:val="P00"/>
        <w:spacing w:before="0"/>
        <w:ind w:left="0" w:right="1134"/>
        <w:rPr>
          <w:rStyle w:val="default"/>
          <w:rFonts w:cs="FrankRuehl"/>
          <w:vanish/>
          <w:szCs w:val="20"/>
          <w:shd w:val="clear" w:color="auto" w:fill="FFFF99"/>
          <w:rtl/>
        </w:rPr>
      </w:pPr>
      <w:hyperlink r:id="rId6" w:history="1">
        <w:r w:rsidRPr="00330173">
          <w:rPr>
            <w:rStyle w:val="Hyperlink"/>
            <w:rFonts w:hint="cs"/>
            <w:vanish/>
            <w:szCs w:val="20"/>
            <w:shd w:val="clear" w:color="auto" w:fill="FFFF99"/>
            <w:rtl/>
          </w:rPr>
          <w:t>ק"ת תשפ"א מס' 9242</w:t>
        </w:r>
      </w:hyperlink>
      <w:r w:rsidRPr="00330173">
        <w:rPr>
          <w:rStyle w:val="default"/>
          <w:rFonts w:cs="FrankRuehl" w:hint="cs"/>
          <w:vanish/>
          <w:szCs w:val="20"/>
          <w:shd w:val="clear" w:color="auto" w:fill="FFFF99"/>
          <w:rtl/>
        </w:rPr>
        <w:t xml:space="preserve"> מיום 4.3.2021 עמ' 2404</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מחיקת הגדרת "הכונס הרשמי"</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vanish/>
          <w:szCs w:val="20"/>
          <w:shd w:val="clear" w:color="auto" w:fill="FFFF99"/>
          <w:rtl/>
        </w:rPr>
        <w:t>הנוסח הקודם:</w:t>
      </w:r>
    </w:p>
    <w:p w:rsidR="008D69AC" w:rsidRPr="008D69AC" w:rsidRDefault="008D69AC" w:rsidP="008D69AC">
      <w:pPr>
        <w:pStyle w:val="P00"/>
        <w:spacing w:before="0"/>
        <w:ind w:left="0" w:right="1134"/>
        <w:rPr>
          <w:rStyle w:val="default"/>
          <w:rFonts w:cs="FrankRuehl"/>
          <w:strike/>
          <w:sz w:val="2"/>
          <w:szCs w:val="2"/>
          <w:rtl/>
        </w:rPr>
      </w:pPr>
      <w:r w:rsidRPr="00330173">
        <w:rPr>
          <w:rStyle w:val="default"/>
          <w:rFonts w:cs="FrankRuehl"/>
          <w:vanish/>
          <w:sz w:val="16"/>
          <w:szCs w:val="22"/>
          <w:shd w:val="clear" w:color="auto" w:fill="FFFF99"/>
          <w:rtl/>
        </w:rPr>
        <w:tab/>
      </w:r>
      <w:r w:rsidRPr="00330173">
        <w:rPr>
          <w:rStyle w:val="default"/>
          <w:rFonts w:cs="FrankRuehl" w:hint="cs"/>
          <w:strike/>
          <w:vanish/>
          <w:sz w:val="16"/>
          <w:szCs w:val="22"/>
          <w:shd w:val="clear" w:color="auto" w:fill="FFFF99"/>
          <w:rtl/>
        </w:rPr>
        <w:t xml:space="preserve">"הכונס הרשמי" </w:t>
      </w:r>
      <w:r w:rsidRPr="00330173">
        <w:rPr>
          <w:rStyle w:val="default"/>
          <w:rFonts w:cs="FrankRuehl"/>
          <w:strike/>
          <w:vanish/>
          <w:sz w:val="16"/>
          <w:szCs w:val="22"/>
          <w:shd w:val="clear" w:color="auto" w:fill="FFFF99"/>
          <w:rtl/>
        </w:rPr>
        <w:t>–</w:t>
      </w:r>
      <w:r w:rsidRPr="00330173">
        <w:rPr>
          <w:rStyle w:val="default"/>
          <w:rFonts w:cs="FrankRuehl" w:hint="cs"/>
          <w:strike/>
          <w:vanish/>
          <w:sz w:val="16"/>
          <w:szCs w:val="22"/>
          <w:shd w:val="clear" w:color="auto" w:fill="FFFF99"/>
          <w:rtl/>
        </w:rPr>
        <w:t xml:space="preserve"> כמשמעותו בפקודת פשיטת הרגל;</w:t>
      </w:r>
      <w:bookmarkEnd w:id="2"/>
    </w:p>
    <w:p w:rsidR="008D69AC" w:rsidRDefault="008D69AC" w:rsidP="008D69AC">
      <w:pPr>
        <w:pStyle w:val="P00"/>
        <w:spacing w:before="72"/>
        <w:ind w:left="0" w:right="1134"/>
        <w:rPr>
          <w:rStyle w:val="default"/>
          <w:rFonts w:cs="FrankRuehl"/>
          <w:rtl/>
        </w:rPr>
      </w:pPr>
      <w:r>
        <w:rPr>
          <w:rtl/>
          <w:lang w:eastAsia="en-US"/>
        </w:rPr>
        <w:pict>
          <v:shape id="_x0000_s2336" type="#_x0000_t202" style="position:absolute;left:0;text-align:left;margin-left:470.35pt;margin-top:7.1pt;width:1in;height:10.95pt;z-index:251655680"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 xml:space="preserve">הליכי חדלות פירעון" </w:t>
      </w:r>
      <w:r>
        <w:rPr>
          <w:rStyle w:val="default"/>
          <w:rFonts w:cs="FrankRuehl"/>
          <w:rtl/>
        </w:rPr>
        <w:t>–</w:t>
      </w:r>
      <w:r>
        <w:rPr>
          <w:rStyle w:val="default"/>
          <w:rFonts w:cs="FrankRuehl" w:hint="cs"/>
          <w:rtl/>
        </w:rPr>
        <w:t xml:space="preserve"> כהגדרתם בחוק חדלות פירעון ושיקום כלכלי;</w:t>
      </w:r>
    </w:p>
    <w:p w:rsidR="008D69AC" w:rsidRPr="00330173" w:rsidRDefault="008D69AC" w:rsidP="008D69AC">
      <w:pPr>
        <w:pStyle w:val="P00"/>
        <w:spacing w:before="0"/>
        <w:ind w:left="0" w:right="1134"/>
        <w:rPr>
          <w:rStyle w:val="default"/>
          <w:rFonts w:cs="FrankRuehl"/>
          <w:vanish/>
          <w:color w:val="FF0000"/>
          <w:szCs w:val="20"/>
          <w:shd w:val="clear" w:color="auto" w:fill="FFFF99"/>
          <w:rtl/>
        </w:rPr>
      </w:pPr>
      <w:bookmarkStart w:id="3" w:name="Rov134"/>
      <w:r w:rsidRPr="00330173">
        <w:rPr>
          <w:rStyle w:val="default"/>
          <w:rFonts w:cs="FrankRuehl" w:hint="cs"/>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תק' תשפ"א-2021</w:t>
      </w:r>
    </w:p>
    <w:p w:rsidR="008D69AC" w:rsidRPr="00330173" w:rsidRDefault="008D69AC" w:rsidP="008D69AC">
      <w:pPr>
        <w:pStyle w:val="P00"/>
        <w:spacing w:before="0"/>
        <w:ind w:left="0" w:right="1134"/>
        <w:rPr>
          <w:rStyle w:val="default"/>
          <w:rFonts w:cs="FrankRuehl"/>
          <w:vanish/>
          <w:szCs w:val="20"/>
          <w:shd w:val="clear" w:color="auto" w:fill="FFFF99"/>
          <w:rtl/>
        </w:rPr>
      </w:pPr>
      <w:hyperlink r:id="rId7" w:history="1">
        <w:r w:rsidRPr="00330173">
          <w:rPr>
            <w:rStyle w:val="Hyperlink"/>
            <w:rFonts w:hint="cs"/>
            <w:vanish/>
            <w:szCs w:val="20"/>
            <w:shd w:val="clear" w:color="auto" w:fill="FFFF99"/>
            <w:rtl/>
          </w:rPr>
          <w:t>ק"ת תשפ"א מס' 9242</w:t>
        </w:r>
      </w:hyperlink>
      <w:r w:rsidRPr="00330173">
        <w:rPr>
          <w:rStyle w:val="default"/>
          <w:rFonts w:cs="FrankRuehl" w:hint="cs"/>
          <w:vanish/>
          <w:szCs w:val="20"/>
          <w:shd w:val="clear" w:color="auto" w:fill="FFFF99"/>
          <w:rtl/>
        </w:rPr>
        <w:t xml:space="preserve"> מיום 4.3.2021 עמ' 2404</w:t>
      </w:r>
    </w:p>
    <w:p w:rsidR="008D69AC" w:rsidRPr="008D69AC" w:rsidRDefault="008D69AC" w:rsidP="008D69AC">
      <w:pPr>
        <w:pStyle w:val="P00"/>
        <w:spacing w:before="0"/>
        <w:ind w:left="0" w:right="1134"/>
        <w:rPr>
          <w:rStyle w:val="default"/>
          <w:rFonts w:cs="FrankRuehl"/>
          <w:sz w:val="2"/>
          <w:szCs w:val="2"/>
          <w:rtl/>
        </w:rPr>
      </w:pPr>
      <w:r w:rsidRPr="00330173">
        <w:rPr>
          <w:rStyle w:val="default"/>
          <w:rFonts w:cs="FrankRuehl" w:hint="cs"/>
          <w:b/>
          <w:bCs/>
          <w:vanish/>
          <w:szCs w:val="20"/>
          <w:shd w:val="clear" w:color="auto" w:fill="FFFF99"/>
          <w:rtl/>
        </w:rPr>
        <w:t>הוספת הגדרת "הליכי חדלות פירעון"</w:t>
      </w:r>
      <w:bookmarkEnd w:id="3"/>
    </w:p>
    <w:p w:rsidR="008D69AC" w:rsidRDefault="008D69AC" w:rsidP="008D69AC">
      <w:pPr>
        <w:pStyle w:val="P00"/>
        <w:spacing w:before="72"/>
        <w:ind w:left="0" w:right="1134"/>
        <w:rPr>
          <w:rStyle w:val="default"/>
          <w:rFonts w:cs="FrankRuehl"/>
          <w:rtl/>
        </w:rPr>
      </w:pPr>
      <w:r>
        <w:rPr>
          <w:rtl/>
          <w:lang w:eastAsia="en-US"/>
        </w:rPr>
        <w:pict>
          <v:shape id="_x0000_s2337" type="#_x0000_t202" style="position:absolute;left:0;text-align:left;margin-left:470.35pt;margin-top:7.1pt;width:1in;height:10.95pt;z-index:251656704"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 xml:space="preserve">הסדר חוב" </w:t>
      </w:r>
      <w:r>
        <w:rPr>
          <w:rStyle w:val="default"/>
          <w:rFonts w:cs="FrankRuehl"/>
          <w:rtl/>
        </w:rPr>
        <w:t>–</w:t>
      </w:r>
      <w:r>
        <w:rPr>
          <w:rStyle w:val="default"/>
          <w:rFonts w:cs="FrankRuehl" w:hint="cs"/>
          <w:rtl/>
        </w:rPr>
        <w:t xml:space="preserve"> הסדר חוב לפי חלק י' לחוק חדלות פירעון ושיקום כלכלי;</w:t>
      </w:r>
    </w:p>
    <w:p w:rsidR="008D69AC" w:rsidRPr="00330173" w:rsidRDefault="008D69AC" w:rsidP="008D69AC">
      <w:pPr>
        <w:pStyle w:val="P00"/>
        <w:spacing w:before="0"/>
        <w:ind w:left="0" w:right="1134"/>
        <w:rPr>
          <w:rStyle w:val="default"/>
          <w:rFonts w:cs="FrankRuehl"/>
          <w:vanish/>
          <w:color w:val="FF0000"/>
          <w:szCs w:val="20"/>
          <w:shd w:val="clear" w:color="auto" w:fill="FFFF99"/>
          <w:rtl/>
        </w:rPr>
      </w:pPr>
      <w:bookmarkStart w:id="4" w:name="Rov135"/>
      <w:r w:rsidRPr="00330173">
        <w:rPr>
          <w:rStyle w:val="default"/>
          <w:rFonts w:cs="FrankRuehl" w:hint="cs"/>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תק' תשפ"א-2021</w:t>
      </w:r>
    </w:p>
    <w:p w:rsidR="008D69AC" w:rsidRPr="00330173" w:rsidRDefault="008D69AC" w:rsidP="008D69AC">
      <w:pPr>
        <w:pStyle w:val="P00"/>
        <w:spacing w:before="0"/>
        <w:ind w:left="0" w:right="1134"/>
        <w:rPr>
          <w:rStyle w:val="default"/>
          <w:rFonts w:cs="FrankRuehl"/>
          <w:vanish/>
          <w:szCs w:val="20"/>
          <w:shd w:val="clear" w:color="auto" w:fill="FFFF99"/>
          <w:rtl/>
        </w:rPr>
      </w:pPr>
      <w:hyperlink r:id="rId8" w:history="1">
        <w:r w:rsidRPr="00330173">
          <w:rPr>
            <w:rStyle w:val="Hyperlink"/>
            <w:rFonts w:hint="cs"/>
            <w:vanish/>
            <w:szCs w:val="20"/>
            <w:shd w:val="clear" w:color="auto" w:fill="FFFF99"/>
            <w:rtl/>
          </w:rPr>
          <w:t>ק"ת תשפ"א מס' 9242</w:t>
        </w:r>
      </w:hyperlink>
      <w:r w:rsidRPr="00330173">
        <w:rPr>
          <w:rStyle w:val="default"/>
          <w:rFonts w:cs="FrankRuehl" w:hint="cs"/>
          <w:vanish/>
          <w:szCs w:val="20"/>
          <w:shd w:val="clear" w:color="auto" w:fill="FFFF99"/>
          <w:rtl/>
        </w:rPr>
        <w:t xml:space="preserve"> מיום 4.3.2021 עמ' 2404</w:t>
      </w:r>
    </w:p>
    <w:p w:rsidR="008D69AC" w:rsidRPr="008D69AC" w:rsidRDefault="008D69AC" w:rsidP="008D69AC">
      <w:pPr>
        <w:pStyle w:val="P00"/>
        <w:spacing w:before="0"/>
        <w:ind w:left="0" w:right="1134"/>
        <w:rPr>
          <w:rStyle w:val="default"/>
          <w:rFonts w:cs="FrankRuehl"/>
          <w:sz w:val="2"/>
          <w:szCs w:val="2"/>
          <w:rtl/>
        </w:rPr>
      </w:pPr>
      <w:r w:rsidRPr="00330173">
        <w:rPr>
          <w:rStyle w:val="default"/>
          <w:rFonts w:cs="FrankRuehl" w:hint="cs"/>
          <w:b/>
          <w:bCs/>
          <w:vanish/>
          <w:szCs w:val="20"/>
          <w:shd w:val="clear" w:color="auto" w:fill="FFFF99"/>
          <w:rtl/>
        </w:rPr>
        <w:t>הוספת הגדרת "הסדר חוב"</w:t>
      </w:r>
      <w:bookmarkEnd w:id="4"/>
    </w:p>
    <w:p w:rsidR="008D69AC" w:rsidRDefault="008D69AC" w:rsidP="008D69AC">
      <w:pPr>
        <w:pStyle w:val="P00"/>
        <w:spacing w:before="72"/>
        <w:ind w:left="0" w:right="1134"/>
        <w:rPr>
          <w:rStyle w:val="default"/>
          <w:rFonts w:cs="FrankRuehl"/>
          <w:rtl/>
        </w:rPr>
      </w:pPr>
      <w:r>
        <w:rPr>
          <w:rtl/>
          <w:lang w:eastAsia="en-US"/>
        </w:rPr>
        <w:pict>
          <v:shape id="_x0000_s2338" type="#_x0000_t202" style="position:absolute;left:0;text-align:left;margin-left:470.35pt;margin-top:7.1pt;width:1in;height:10.95pt;z-index:251657728"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 xml:space="preserve">הממונה על הליכי חדלות פירעון ושיקום כלכלי" </w:t>
      </w:r>
      <w:r>
        <w:rPr>
          <w:rStyle w:val="default"/>
          <w:rFonts w:cs="FrankRuehl"/>
          <w:rtl/>
        </w:rPr>
        <w:t>–</w:t>
      </w:r>
      <w:r>
        <w:rPr>
          <w:rStyle w:val="default"/>
          <w:rFonts w:cs="FrankRuehl" w:hint="cs"/>
          <w:rtl/>
        </w:rPr>
        <w:t xml:space="preserve"> מי שמונה לפי סעיף 266 לחוק חדלות פירעון ושיקום כלכלי;</w:t>
      </w:r>
    </w:p>
    <w:p w:rsidR="008D69AC" w:rsidRPr="00330173" w:rsidRDefault="008D69AC" w:rsidP="008D69AC">
      <w:pPr>
        <w:pStyle w:val="P00"/>
        <w:spacing w:before="0"/>
        <w:ind w:left="0" w:right="1134"/>
        <w:rPr>
          <w:rStyle w:val="default"/>
          <w:rFonts w:cs="FrankRuehl"/>
          <w:vanish/>
          <w:color w:val="FF0000"/>
          <w:szCs w:val="20"/>
          <w:shd w:val="clear" w:color="auto" w:fill="FFFF99"/>
          <w:rtl/>
        </w:rPr>
      </w:pPr>
      <w:bookmarkStart w:id="5" w:name="Rov136"/>
      <w:r w:rsidRPr="00330173">
        <w:rPr>
          <w:rStyle w:val="default"/>
          <w:rFonts w:cs="FrankRuehl" w:hint="cs"/>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תק' תשפ"א-2021</w:t>
      </w:r>
    </w:p>
    <w:p w:rsidR="008D69AC" w:rsidRPr="00330173" w:rsidRDefault="008D69AC" w:rsidP="008D69AC">
      <w:pPr>
        <w:pStyle w:val="P00"/>
        <w:spacing w:before="0"/>
        <w:ind w:left="0" w:right="1134"/>
        <w:rPr>
          <w:rStyle w:val="default"/>
          <w:rFonts w:cs="FrankRuehl"/>
          <w:vanish/>
          <w:szCs w:val="20"/>
          <w:shd w:val="clear" w:color="auto" w:fill="FFFF99"/>
          <w:rtl/>
        </w:rPr>
      </w:pPr>
      <w:hyperlink r:id="rId9" w:history="1">
        <w:r w:rsidRPr="00330173">
          <w:rPr>
            <w:rStyle w:val="Hyperlink"/>
            <w:rFonts w:hint="cs"/>
            <w:vanish/>
            <w:szCs w:val="20"/>
            <w:shd w:val="clear" w:color="auto" w:fill="FFFF99"/>
            <w:rtl/>
          </w:rPr>
          <w:t>ק"ת תשפ"א מס' 9242</w:t>
        </w:r>
      </w:hyperlink>
      <w:r w:rsidRPr="00330173">
        <w:rPr>
          <w:rStyle w:val="default"/>
          <w:rFonts w:cs="FrankRuehl" w:hint="cs"/>
          <w:vanish/>
          <w:szCs w:val="20"/>
          <w:shd w:val="clear" w:color="auto" w:fill="FFFF99"/>
          <w:rtl/>
        </w:rPr>
        <w:t xml:space="preserve"> מיום 4.3.2021 עמ' 2404</w:t>
      </w:r>
    </w:p>
    <w:p w:rsidR="008D69AC" w:rsidRPr="008D69AC" w:rsidRDefault="008D69AC" w:rsidP="008D69AC">
      <w:pPr>
        <w:pStyle w:val="P00"/>
        <w:spacing w:before="0"/>
        <w:ind w:left="0" w:right="1134"/>
        <w:rPr>
          <w:rStyle w:val="default"/>
          <w:rFonts w:cs="FrankRuehl"/>
          <w:sz w:val="2"/>
          <w:szCs w:val="2"/>
          <w:rtl/>
        </w:rPr>
      </w:pPr>
      <w:r w:rsidRPr="00330173">
        <w:rPr>
          <w:rStyle w:val="default"/>
          <w:rFonts w:cs="FrankRuehl" w:hint="cs"/>
          <w:b/>
          <w:bCs/>
          <w:vanish/>
          <w:szCs w:val="20"/>
          <w:shd w:val="clear" w:color="auto" w:fill="FFFF99"/>
          <w:rtl/>
        </w:rPr>
        <w:t>הוספת הגדרת "הממונה על הליכי חדלות פירעון ושיקום כלכלי"</w:t>
      </w:r>
      <w:bookmarkEnd w:id="5"/>
    </w:p>
    <w:p w:rsidR="00CE7469" w:rsidRDefault="00CE7469"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ההוצאה לפועל" </w:t>
      </w:r>
      <w:r>
        <w:rPr>
          <w:rStyle w:val="default"/>
          <w:rFonts w:cs="FrankRuehl"/>
          <w:rtl/>
        </w:rPr>
        <w:t>–</w:t>
      </w:r>
      <w:r>
        <w:rPr>
          <w:rStyle w:val="default"/>
          <w:rFonts w:cs="FrankRuehl" w:hint="cs"/>
          <w:rtl/>
        </w:rPr>
        <w:t xml:space="preserve"> חוק ההוצאה לפועל, התשכ"ז-1967;</w:t>
      </w:r>
    </w:p>
    <w:p w:rsidR="008D69AC" w:rsidRDefault="008D69AC" w:rsidP="008D69AC">
      <w:pPr>
        <w:pStyle w:val="P00"/>
        <w:spacing w:before="72"/>
        <w:ind w:left="0" w:right="1134"/>
        <w:rPr>
          <w:rStyle w:val="default"/>
          <w:rFonts w:cs="FrankRuehl"/>
          <w:rtl/>
        </w:rPr>
      </w:pPr>
      <w:r>
        <w:rPr>
          <w:rtl/>
          <w:lang w:eastAsia="en-US"/>
        </w:rPr>
        <w:pict>
          <v:shape id="_x0000_s2339" type="#_x0000_t202" style="position:absolute;left:0;text-align:left;margin-left:470.35pt;margin-top:7.1pt;width:1in;height:10.95pt;z-index:251658752"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 xml:space="preserve">חוק חדלות פירעון ושיקום כלכלי" </w:t>
      </w:r>
      <w:r>
        <w:rPr>
          <w:rStyle w:val="default"/>
          <w:rFonts w:cs="FrankRuehl"/>
          <w:rtl/>
        </w:rPr>
        <w:t>–</w:t>
      </w:r>
      <w:r>
        <w:rPr>
          <w:rStyle w:val="default"/>
          <w:rFonts w:cs="FrankRuehl" w:hint="cs"/>
          <w:rtl/>
        </w:rPr>
        <w:t xml:space="preserve"> חוק חדלות פירעון ושיקום כלכלי, התשע"ח-2018;</w:t>
      </w:r>
    </w:p>
    <w:p w:rsidR="008D69AC" w:rsidRPr="00330173" w:rsidRDefault="008D69AC" w:rsidP="008D69AC">
      <w:pPr>
        <w:pStyle w:val="P00"/>
        <w:spacing w:before="0"/>
        <w:ind w:left="0" w:right="1134"/>
        <w:rPr>
          <w:rStyle w:val="default"/>
          <w:rFonts w:cs="FrankRuehl"/>
          <w:vanish/>
          <w:color w:val="FF0000"/>
          <w:szCs w:val="20"/>
          <w:shd w:val="clear" w:color="auto" w:fill="FFFF99"/>
          <w:rtl/>
        </w:rPr>
      </w:pPr>
      <w:bookmarkStart w:id="6" w:name="Rov137"/>
      <w:r w:rsidRPr="00330173">
        <w:rPr>
          <w:rStyle w:val="default"/>
          <w:rFonts w:cs="FrankRuehl" w:hint="cs"/>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cs="FrankRuehl"/>
          <w:vanish/>
          <w:szCs w:val="20"/>
          <w:shd w:val="clear" w:color="auto" w:fill="FFFF99"/>
          <w:rtl/>
        </w:rPr>
      </w:pPr>
      <w:r w:rsidRPr="00330173">
        <w:rPr>
          <w:rStyle w:val="default"/>
          <w:rFonts w:cs="FrankRuehl" w:hint="cs"/>
          <w:b/>
          <w:bCs/>
          <w:vanish/>
          <w:szCs w:val="20"/>
          <w:shd w:val="clear" w:color="auto" w:fill="FFFF99"/>
          <w:rtl/>
        </w:rPr>
        <w:t>תק' תשפ"א-2021</w:t>
      </w:r>
    </w:p>
    <w:p w:rsidR="008D69AC" w:rsidRPr="00330173" w:rsidRDefault="008D69AC" w:rsidP="008D69AC">
      <w:pPr>
        <w:pStyle w:val="P00"/>
        <w:spacing w:before="0"/>
        <w:ind w:left="0" w:right="1134"/>
        <w:rPr>
          <w:rStyle w:val="default"/>
          <w:rFonts w:cs="FrankRuehl"/>
          <w:vanish/>
          <w:szCs w:val="20"/>
          <w:shd w:val="clear" w:color="auto" w:fill="FFFF99"/>
          <w:rtl/>
        </w:rPr>
      </w:pPr>
      <w:hyperlink r:id="rId10" w:history="1">
        <w:r w:rsidRPr="00330173">
          <w:rPr>
            <w:rStyle w:val="Hyperlink"/>
            <w:rFonts w:hint="cs"/>
            <w:vanish/>
            <w:szCs w:val="20"/>
            <w:shd w:val="clear" w:color="auto" w:fill="FFFF99"/>
            <w:rtl/>
          </w:rPr>
          <w:t>ק"ת תשפ"א מס' 9242</w:t>
        </w:r>
      </w:hyperlink>
      <w:r w:rsidRPr="00330173">
        <w:rPr>
          <w:rStyle w:val="default"/>
          <w:rFonts w:cs="FrankRuehl" w:hint="cs"/>
          <w:vanish/>
          <w:szCs w:val="20"/>
          <w:shd w:val="clear" w:color="auto" w:fill="FFFF99"/>
          <w:rtl/>
        </w:rPr>
        <w:t xml:space="preserve"> מיום 4.3.2021 עמ' 2404</w:t>
      </w:r>
    </w:p>
    <w:p w:rsidR="008D69AC" w:rsidRPr="008D69AC" w:rsidRDefault="008D69AC" w:rsidP="008D69AC">
      <w:pPr>
        <w:pStyle w:val="P00"/>
        <w:spacing w:before="0"/>
        <w:ind w:left="0" w:right="1134"/>
        <w:rPr>
          <w:rStyle w:val="default"/>
          <w:rFonts w:cs="FrankRuehl"/>
          <w:sz w:val="2"/>
          <w:szCs w:val="2"/>
          <w:rtl/>
        </w:rPr>
      </w:pPr>
      <w:r w:rsidRPr="00330173">
        <w:rPr>
          <w:rStyle w:val="default"/>
          <w:rFonts w:cs="FrankRuehl" w:hint="cs"/>
          <w:b/>
          <w:bCs/>
          <w:vanish/>
          <w:szCs w:val="20"/>
          <w:shd w:val="clear" w:color="auto" w:fill="FFFF99"/>
          <w:rtl/>
        </w:rPr>
        <w:t>הוספת הגדרת "חוק חדלות פירעון ושיקום כלכלי"</w:t>
      </w:r>
      <w:bookmarkEnd w:id="6"/>
    </w:p>
    <w:p w:rsidR="00CE7469" w:rsidRDefault="00CE7469"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הכשרות המשפטית והאפוטרופסות" </w:t>
      </w:r>
      <w:r>
        <w:rPr>
          <w:rStyle w:val="default"/>
          <w:rFonts w:cs="FrankRuehl"/>
          <w:rtl/>
        </w:rPr>
        <w:t>–</w:t>
      </w:r>
      <w:r>
        <w:rPr>
          <w:rStyle w:val="default"/>
          <w:rFonts w:cs="FrankRuehl" w:hint="cs"/>
          <w:rtl/>
        </w:rPr>
        <w:t xml:space="preserve"> חוק הכשרות המשפטית והאפוטרופסות, התשכ"ב-1962;</w:t>
      </w:r>
    </w:p>
    <w:p w:rsidR="00CE7469" w:rsidRDefault="00CE7469"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מרשם האוכלוסין" </w:t>
      </w:r>
      <w:r>
        <w:rPr>
          <w:rStyle w:val="default"/>
          <w:rFonts w:cs="FrankRuehl"/>
          <w:rtl/>
        </w:rPr>
        <w:t>–</w:t>
      </w:r>
      <w:r>
        <w:rPr>
          <w:rStyle w:val="default"/>
          <w:rFonts w:cs="FrankRuehl" w:hint="cs"/>
          <w:rtl/>
        </w:rPr>
        <w:t xml:space="preserve"> חוק מרשם האוכלוסין, התשכ"ה-1965;</w:t>
      </w:r>
    </w:p>
    <w:p w:rsidR="00CE7469" w:rsidRDefault="00CE7469"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שיקים ללא כיסוי" </w:t>
      </w:r>
      <w:r>
        <w:rPr>
          <w:rStyle w:val="default"/>
          <w:rFonts w:cs="FrankRuehl"/>
          <w:rtl/>
        </w:rPr>
        <w:t>–</w:t>
      </w:r>
      <w:r>
        <w:rPr>
          <w:rStyle w:val="default"/>
          <w:rFonts w:cs="FrankRuehl" w:hint="cs"/>
          <w:rtl/>
        </w:rPr>
        <w:t xml:space="preserve"> חוק שיקים ללא כיסוי, התשמ"א-1981;</w:t>
      </w:r>
    </w:p>
    <w:p w:rsidR="00CE7469" w:rsidRDefault="00CE7469"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זהות", לעניין תושב </w:t>
      </w:r>
      <w:r>
        <w:rPr>
          <w:rStyle w:val="default"/>
          <w:rFonts w:cs="FrankRuehl"/>
          <w:rtl/>
        </w:rPr>
        <w:t>–</w:t>
      </w:r>
      <w:r>
        <w:rPr>
          <w:rStyle w:val="default"/>
          <w:rFonts w:cs="FrankRuehl" w:hint="cs"/>
          <w:rtl/>
        </w:rPr>
        <w:t xml:space="preserve"> מספר זהות לפי מרשם האוכלוסין, </w:t>
      </w:r>
      <w:r w:rsidR="00075D40">
        <w:rPr>
          <w:rStyle w:val="default"/>
          <w:rFonts w:cs="FrankRuehl" w:hint="cs"/>
          <w:rtl/>
        </w:rPr>
        <w:t>כמשמעותו בסעיף 2(ב) לחוק מרשם האוכלוסין ואם אין מספר זהות לפי מרשם האוכלוסין מספר דרכון בצירוף פרטים לגבי המדינה שבה הונפק הדרכון;</w:t>
      </w:r>
    </w:p>
    <w:p w:rsidR="00075D40" w:rsidRDefault="00075D40"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החוב בפתיחתו" </w:t>
      </w:r>
      <w:r>
        <w:rPr>
          <w:rStyle w:val="default"/>
          <w:rFonts w:cs="FrankRuehl"/>
          <w:rtl/>
        </w:rPr>
        <w:t>–</w:t>
      </w:r>
      <w:r>
        <w:rPr>
          <w:rStyle w:val="default"/>
          <w:rFonts w:cs="FrankRuehl" w:hint="cs"/>
          <w:rtl/>
        </w:rPr>
        <w:t xml:space="preserve"> קרן החוב, הריבית וההצמדה שנצברו עד מועד פתיחת התיק בהוצאה לפועל, שכר טרחה א', הוצאות ואגרת הוצאה לפועל;</w:t>
      </w:r>
    </w:p>
    <w:p w:rsidR="00075D40" w:rsidRDefault="00075D40"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פשיטת הרגל" </w:t>
      </w:r>
      <w:r>
        <w:rPr>
          <w:rStyle w:val="default"/>
          <w:rFonts w:cs="FrankRuehl"/>
          <w:rtl/>
        </w:rPr>
        <w:t>–</w:t>
      </w:r>
      <w:r>
        <w:rPr>
          <w:rStyle w:val="default"/>
          <w:rFonts w:cs="FrankRuehl" w:hint="cs"/>
          <w:rtl/>
        </w:rPr>
        <w:t xml:space="preserve"> פקודת פשיטת הרגל [נוסח חדש], התש"ם-1980;</w:t>
      </w:r>
    </w:p>
    <w:p w:rsidR="008D69AC" w:rsidRDefault="008D69AC" w:rsidP="008D69AC">
      <w:pPr>
        <w:pStyle w:val="P00"/>
        <w:spacing w:before="72"/>
        <w:ind w:left="0" w:right="1134"/>
        <w:rPr>
          <w:rStyle w:val="default"/>
          <w:rFonts w:cs="FrankRuehl"/>
          <w:rtl/>
        </w:rPr>
      </w:pPr>
      <w:r>
        <w:rPr>
          <w:rtl/>
          <w:lang w:eastAsia="en-US"/>
        </w:rPr>
        <w:pict>
          <v:shape id="_x0000_s2340" type="#_x0000_t202" style="position:absolute;left:0;text-align:left;margin-left:470.35pt;margin-top:7.1pt;width:1in;height:10.95pt;z-index:251659776" filled="f" stroked="f">
            <v:textbox inset="1mm,0,1mm,0">
              <w:txbxContent>
                <w:p w:rsidR="008D69AC" w:rsidRDefault="008D69AC" w:rsidP="008D69AC">
                  <w:pPr>
                    <w:spacing w:line="160" w:lineRule="exact"/>
                    <w:jc w:val="left"/>
                    <w:rPr>
                      <w:rFonts w:cs="Miriam" w:hint="cs"/>
                      <w:noProof/>
                      <w:szCs w:val="18"/>
                      <w:rtl/>
                    </w:rPr>
                  </w:pPr>
                  <w:r>
                    <w:rPr>
                      <w:rFonts w:cs="Miriam" w:hint="cs"/>
                      <w:szCs w:val="18"/>
                      <w:rtl/>
                    </w:rPr>
                    <w:t>תק' תשפ"א-2021</w:t>
                  </w:r>
                </w:p>
              </w:txbxContent>
            </v:textbox>
          </v:shape>
        </w:pict>
      </w:r>
      <w:r>
        <w:rPr>
          <w:rtl/>
        </w:rPr>
        <w:tab/>
      </w:r>
      <w:r>
        <w:rPr>
          <w:rStyle w:val="default"/>
          <w:rFonts w:cs="FrankRuehl"/>
          <w:rtl/>
        </w:rPr>
        <w:t>"</w:t>
      </w:r>
      <w:r>
        <w:rPr>
          <w:rStyle w:val="default"/>
          <w:rFonts w:cs="FrankRuehl" w:hint="cs"/>
          <w:rtl/>
        </w:rPr>
        <w:t xml:space="preserve">פתיחת הליכים" </w:t>
      </w:r>
      <w:r>
        <w:rPr>
          <w:rStyle w:val="default"/>
          <w:rFonts w:cs="FrankRuehl"/>
          <w:rtl/>
        </w:rPr>
        <w:t>–</w:t>
      </w:r>
      <w:r>
        <w:rPr>
          <w:rStyle w:val="default"/>
          <w:rFonts w:cs="FrankRuehl" w:hint="cs"/>
          <w:rtl/>
        </w:rPr>
        <w:t xml:space="preserve"> פתיחת הליכי חדלות פירעון לפי חוק חדלות פירעון ושיקום כלכלי;</w:t>
      </w:r>
    </w:p>
    <w:p w:rsidR="008D69AC" w:rsidRPr="00330173" w:rsidRDefault="008D69AC" w:rsidP="008D69AC">
      <w:pPr>
        <w:pStyle w:val="P00"/>
        <w:spacing w:before="0"/>
        <w:ind w:left="0" w:right="1134"/>
        <w:rPr>
          <w:rStyle w:val="default"/>
          <w:rFonts w:ascii="FrankRuehl" w:hAnsi="FrankRuehl" w:cs="FrankRuehl"/>
          <w:vanish/>
          <w:color w:val="FF0000"/>
          <w:szCs w:val="20"/>
          <w:shd w:val="clear" w:color="auto" w:fill="FFFF99"/>
          <w:rtl/>
        </w:rPr>
      </w:pPr>
      <w:bookmarkStart w:id="7" w:name="Rov138"/>
      <w:r w:rsidRPr="00330173">
        <w:rPr>
          <w:rStyle w:val="default"/>
          <w:rFonts w:ascii="FrankRuehl" w:hAnsi="FrankRuehl" w:cs="FrankRuehl"/>
          <w:vanish/>
          <w:color w:val="FF0000"/>
          <w:szCs w:val="20"/>
          <w:shd w:val="clear" w:color="auto" w:fill="FFFF99"/>
          <w:rtl/>
        </w:rPr>
        <w:t>מיום 4.3.2021</w:t>
      </w:r>
    </w:p>
    <w:p w:rsidR="008D69AC" w:rsidRPr="00330173" w:rsidRDefault="008D69AC" w:rsidP="008D69AC">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8D69AC" w:rsidRPr="00330173" w:rsidRDefault="008D69AC" w:rsidP="008D69AC">
      <w:pPr>
        <w:pStyle w:val="P00"/>
        <w:spacing w:before="0"/>
        <w:ind w:left="0" w:right="1134"/>
        <w:rPr>
          <w:rStyle w:val="default"/>
          <w:rFonts w:ascii="FrankRuehl" w:hAnsi="FrankRuehl" w:cs="FrankRuehl"/>
          <w:vanish/>
          <w:szCs w:val="20"/>
          <w:shd w:val="clear" w:color="auto" w:fill="FFFF99"/>
          <w:rtl/>
        </w:rPr>
      </w:pPr>
      <w:hyperlink r:id="rId11"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2404</w:t>
      </w:r>
    </w:p>
    <w:p w:rsidR="008D69AC" w:rsidRPr="008D69AC" w:rsidRDefault="008D69AC" w:rsidP="008D69AC">
      <w:pPr>
        <w:pStyle w:val="P00"/>
        <w:spacing w:before="0"/>
        <w:ind w:left="0" w:right="1134"/>
        <w:rPr>
          <w:rStyle w:val="default"/>
          <w:rFonts w:ascii="FrankRuehl" w:hAnsi="FrankRuehl" w:cs="FrankRuehl"/>
          <w:sz w:val="2"/>
          <w:szCs w:val="2"/>
          <w:rtl/>
        </w:rPr>
      </w:pPr>
      <w:r w:rsidRPr="00330173">
        <w:rPr>
          <w:rStyle w:val="default"/>
          <w:rFonts w:ascii="FrankRuehl" w:hAnsi="FrankRuehl" w:cs="FrankRuehl"/>
          <w:b/>
          <w:bCs/>
          <w:vanish/>
          <w:szCs w:val="20"/>
          <w:shd w:val="clear" w:color="auto" w:fill="FFFF99"/>
          <w:rtl/>
        </w:rPr>
        <w:t>הוספת הגדרת "</w:t>
      </w:r>
      <w:r w:rsidRPr="00330173">
        <w:rPr>
          <w:rStyle w:val="default"/>
          <w:rFonts w:ascii="FrankRuehl" w:hAnsi="FrankRuehl" w:cs="FrankRuehl" w:hint="cs"/>
          <w:b/>
          <w:bCs/>
          <w:vanish/>
          <w:szCs w:val="20"/>
          <w:shd w:val="clear" w:color="auto" w:fill="FFFF99"/>
          <w:rtl/>
        </w:rPr>
        <w:t>פתיחת הליכים</w:t>
      </w:r>
      <w:r w:rsidRPr="00330173">
        <w:rPr>
          <w:rStyle w:val="default"/>
          <w:rFonts w:ascii="FrankRuehl" w:hAnsi="FrankRuehl" w:cs="FrankRuehl"/>
          <w:b/>
          <w:bCs/>
          <w:vanish/>
          <w:szCs w:val="20"/>
          <w:shd w:val="clear" w:color="auto" w:fill="FFFF99"/>
          <w:rtl/>
        </w:rPr>
        <w:t>"</w:t>
      </w:r>
      <w:bookmarkEnd w:id="7"/>
    </w:p>
    <w:p w:rsidR="00075D40" w:rsidRDefault="00075D40"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w:t>
      </w:r>
      <w:r>
        <w:rPr>
          <w:rStyle w:val="default"/>
          <w:rFonts w:cs="FrankRuehl"/>
          <w:rtl/>
        </w:rPr>
        <w:t>–</w:t>
      </w:r>
      <w:r>
        <w:rPr>
          <w:rStyle w:val="default"/>
          <w:rFonts w:cs="FrankRuehl" w:hint="cs"/>
          <w:rtl/>
        </w:rPr>
        <w:t xml:space="preserve"> כהגדרתו בחוק מרשם האוכלוסין;</w:t>
      </w:r>
    </w:p>
    <w:p w:rsidR="00075D40" w:rsidRDefault="00075D40"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"תעודה מזהה" </w:t>
      </w:r>
      <w:r>
        <w:rPr>
          <w:rStyle w:val="default"/>
          <w:rFonts w:cs="FrankRuehl"/>
          <w:rtl/>
        </w:rPr>
        <w:t>–</w:t>
      </w:r>
      <w:r>
        <w:rPr>
          <w:rStyle w:val="default"/>
          <w:rFonts w:cs="FrankRuehl" w:hint="cs"/>
          <w:rtl/>
        </w:rPr>
        <w:t xml:space="preserve"> תעודת זהות, דרכון ורישיון נהיגה ובלבד שהם בתוקף ונושאים תמונה.</w:t>
      </w:r>
    </w:p>
    <w:p w:rsidR="00075D40" w:rsidRPr="00075D40" w:rsidRDefault="00075D40" w:rsidP="00075D40">
      <w:pPr>
        <w:pStyle w:val="medium2-header"/>
        <w:keepLines w:val="0"/>
        <w:spacing w:before="72"/>
        <w:ind w:left="0" w:right="1134"/>
        <w:rPr>
          <w:noProof/>
          <w:rtl/>
        </w:rPr>
      </w:pPr>
      <w:bookmarkStart w:id="8" w:name="med1"/>
      <w:bookmarkEnd w:id="8"/>
      <w:r w:rsidRPr="00075D40">
        <w:rPr>
          <w:rFonts w:hint="cs"/>
          <w:noProof/>
          <w:rtl/>
        </w:rPr>
        <w:t>פרק ב': העברת נתוני אשראי למאגר בידי מקורות המידע</w:t>
      </w:r>
    </w:p>
    <w:p w:rsidR="006E0BEF" w:rsidRDefault="006E0BEF" w:rsidP="00EF4509">
      <w:pPr>
        <w:pStyle w:val="P00"/>
        <w:spacing w:before="72"/>
        <w:ind w:left="0" w:right="1134"/>
        <w:rPr>
          <w:rStyle w:val="default"/>
          <w:rFonts w:cs="FrankRuehl"/>
          <w:rtl/>
        </w:rPr>
      </w:pPr>
      <w:bookmarkStart w:id="9" w:name="Seif2"/>
      <w:bookmarkEnd w:id="9"/>
      <w:r>
        <w:rPr>
          <w:lang w:val="he-IL"/>
        </w:rPr>
        <w:pict>
          <v:rect id="_x0000_s2316" style="position:absolute;left:0;text-align:left;margin-left:464.5pt;margin-top:8.05pt;width:75.05pt;height:10.45pt;z-index:251635200" o:allowincell="f" filled="f" stroked="f" strokecolor="lime" strokeweight=".25pt">
            <v:textbox style="mso-next-textbox:#_x0000_s2316" inset="0,0,0,0">
              <w:txbxContent>
                <w:p w:rsidR="00BC191A" w:rsidRDefault="00BC191A" w:rsidP="006E0BEF">
                  <w:pPr>
                    <w:spacing w:line="160" w:lineRule="exact"/>
                    <w:jc w:val="left"/>
                    <w:rPr>
                      <w:rFonts w:cs="Miriam" w:hint="cs"/>
                      <w:szCs w:val="18"/>
                      <w:rtl/>
                    </w:rPr>
                  </w:pPr>
                  <w:r>
                    <w:rPr>
                      <w:rFonts w:cs="Miriam" w:hint="cs"/>
                      <w:szCs w:val="18"/>
                      <w:rtl/>
                    </w:rPr>
                    <w:t>העברת נתוני אשראי</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075D40">
        <w:rPr>
          <w:rStyle w:val="default"/>
          <w:rFonts w:cs="FrankRuehl" w:hint="cs"/>
          <w:rtl/>
        </w:rPr>
        <w:t>נוסף על האמור בסעיף 19(ב) לחוק, מקור מידע ומקור מוסמך כאמור בטור א' בתוספת</w:t>
      </w:r>
      <w:r w:rsidR="00C92E0E">
        <w:rPr>
          <w:rStyle w:val="default"/>
          <w:rFonts w:cs="FrankRuehl" w:hint="cs"/>
          <w:rtl/>
        </w:rPr>
        <w:t xml:space="preserve"> הראשונה יעביר למאגר נתוני אשראי את הנתונים המפורטים בטור ב' שלצדו ויחולו התנאים להעברה לפי טור ג' שלצדם</w:t>
      </w:r>
      <w:r w:rsidR="008B1FCD">
        <w:rPr>
          <w:rStyle w:val="default"/>
          <w:rFonts w:cs="FrankRuehl" w:hint="cs"/>
          <w:rtl/>
        </w:rPr>
        <w:t>.</w:t>
      </w:r>
    </w:p>
    <w:p w:rsidR="00C92E0E" w:rsidRPr="00C92E0E" w:rsidRDefault="00C92E0E" w:rsidP="00C92E0E">
      <w:pPr>
        <w:pStyle w:val="medium2-header"/>
        <w:keepLines w:val="0"/>
        <w:spacing w:before="72"/>
        <w:ind w:left="0" w:right="1134"/>
        <w:rPr>
          <w:noProof/>
          <w:rtl/>
        </w:rPr>
      </w:pPr>
      <w:bookmarkStart w:id="10" w:name="med2"/>
      <w:bookmarkEnd w:id="10"/>
      <w:r w:rsidRPr="00C92E0E">
        <w:rPr>
          <w:rFonts w:hint="cs"/>
          <w:noProof/>
          <w:rtl/>
        </w:rPr>
        <w:t>פרק ג': נתונים המעידים באופן מובהק על כל שהלקו אינו עומד בפירעון תשלומים</w:t>
      </w:r>
    </w:p>
    <w:p w:rsidR="009A4D64" w:rsidRDefault="0098048A" w:rsidP="00276269">
      <w:pPr>
        <w:pStyle w:val="P00"/>
        <w:spacing w:before="72"/>
        <w:ind w:left="0" w:right="1134"/>
        <w:rPr>
          <w:rStyle w:val="default"/>
          <w:rFonts w:cs="FrankRuehl"/>
          <w:rtl/>
        </w:rPr>
      </w:pPr>
      <w:bookmarkStart w:id="11" w:name="Seif3"/>
      <w:bookmarkEnd w:id="11"/>
      <w:r>
        <w:rPr>
          <w:lang w:val="he-IL"/>
        </w:rPr>
        <w:pict>
          <v:rect id="_x0000_s2317" style="position:absolute;left:0;text-align:left;margin-left:464.5pt;margin-top:8.05pt;width:75.05pt;height:50.65pt;z-index:251636224" o:allowincell="f" filled="f" stroked="f" strokecolor="lime" strokeweight=".25pt">
            <v:textbox style="mso-next-textbox:#_x0000_s2317" inset="0,0,0,0">
              <w:txbxContent>
                <w:p w:rsidR="00BC191A" w:rsidRDefault="00BC191A" w:rsidP="0098048A">
                  <w:pPr>
                    <w:spacing w:line="160" w:lineRule="exact"/>
                    <w:jc w:val="left"/>
                    <w:rPr>
                      <w:rFonts w:cs="Miriam" w:hint="cs"/>
                      <w:szCs w:val="18"/>
                      <w:rtl/>
                    </w:rPr>
                  </w:pPr>
                  <w:r>
                    <w:rPr>
                      <w:rFonts w:cs="Miriam" w:hint="cs"/>
                      <w:szCs w:val="18"/>
                      <w:rtl/>
                    </w:rPr>
                    <w:t>נתונים המעידים באופן מובהק על כך שהלקוח אינו עומד בפירעון תשלומים לעניין הכללה במאגר נתוני אשראי</w:t>
                  </w:r>
                </w:p>
              </w:txbxContent>
            </v:textbox>
            <w10:anchorlock/>
          </v:rect>
        </w:pict>
      </w:r>
      <w:r>
        <w:rPr>
          <w:rStyle w:val="big-number"/>
          <w:rFonts w:hint="cs"/>
          <w:rtl/>
        </w:rPr>
        <w:t>3</w:t>
      </w:r>
      <w:r>
        <w:rPr>
          <w:rStyle w:val="default"/>
          <w:rFonts w:cs="FrankRuehl"/>
          <w:rtl/>
        </w:rPr>
        <w:t>.</w:t>
      </w:r>
      <w:r>
        <w:rPr>
          <w:rStyle w:val="default"/>
          <w:rFonts w:cs="FrankRuehl"/>
          <w:rtl/>
        </w:rPr>
        <w:tab/>
      </w:r>
      <w:r w:rsidR="00C92E0E">
        <w:rPr>
          <w:rStyle w:val="default"/>
          <w:rFonts w:cs="FrankRuehl" w:hint="cs"/>
          <w:rtl/>
        </w:rPr>
        <w:t>נתוני אשראי המעידים באופן מובהק על כך שהלקוח אינו עומד בפירעון תשלומים, לעניין סעיף 22 לחוק, הם כמפורט להלן:</w:t>
      </w:r>
    </w:p>
    <w:p w:rsidR="00FF2593" w:rsidRDefault="00FF2593" w:rsidP="00FF2593">
      <w:pPr>
        <w:pStyle w:val="P00"/>
        <w:spacing w:before="72"/>
        <w:ind w:left="624" w:right="1134"/>
        <w:rPr>
          <w:rStyle w:val="default"/>
          <w:rFonts w:cs="FrankRuehl"/>
          <w:rtl/>
        </w:rPr>
      </w:pPr>
      <w:r w:rsidRPr="00FF2593">
        <w:rPr>
          <w:rStyle w:val="default"/>
          <w:rFonts w:cs="FrankRuehl"/>
          <w:rtl/>
        </w:rPr>
        <w:lastRenderedPageBreak/>
        <w:pict>
          <v:shape id="_x0000_s2342" type="#_x0000_t202" style="position:absolute;left:0;text-align:left;margin-left:470.35pt;margin-top:7.1pt;width:1in;height:10.95pt;z-index:251661824" filled="f" stroked="f">
            <v:textbox inset="1mm,0,1mm,0">
              <w:txbxContent>
                <w:p w:rsidR="00FF2593" w:rsidRDefault="00FF2593" w:rsidP="00FF2593">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(1)</w:t>
      </w:r>
      <w:r w:rsidRPr="00FF2593">
        <w:rPr>
          <w:rStyle w:val="default"/>
          <w:rFonts w:cs="FrankRuehl"/>
          <w:rtl/>
        </w:rPr>
        <w:tab/>
      </w:r>
      <w:r w:rsidRPr="00FF2593">
        <w:rPr>
          <w:rStyle w:val="default"/>
          <w:rFonts w:cs="FrankRuehl" w:hint="cs"/>
          <w:rtl/>
        </w:rPr>
        <w:t xml:space="preserve">נתון מהממונה על הליכי חדלות פירעון ושיקום כלכלי </w:t>
      </w:r>
      <w:r w:rsidRPr="00FF2593">
        <w:rPr>
          <w:rStyle w:val="default"/>
          <w:rFonts w:cs="FrankRuehl"/>
          <w:rtl/>
        </w:rPr>
        <w:t>–</w:t>
      </w:r>
      <w:r w:rsidRPr="00FF2593">
        <w:rPr>
          <w:rStyle w:val="default"/>
          <w:rFonts w:cs="FrankRuehl" w:hint="cs"/>
          <w:rtl/>
        </w:rPr>
        <w:t xml:space="preserve"> בקשה לפתיחת הליכים שהגיש החייב, מתן צו לפתיחת הליכים ובקשה להסדר חוב</w:t>
      </w:r>
      <w:r>
        <w:rPr>
          <w:rStyle w:val="default"/>
          <w:rFonts w:cs="FrankRuehl" w:hint="cs"/>
          <w:rtl/>
        </w:rPr>
        <w:t>;</w:t>
      </w:r>
    </w:p>
    <w:p w:rsidR="00C92E0E" w:rsidRDefault="00FF2593" w:rsidP="00FF2593">
      <w:pPr>
        <w:pStyle w:val="P00"/>
        <w:spacing w:before="72"/>
        <w:ind w:left="624" w:right="1134"/>
        <w:rPr>
          <w:rStyle w:val="default"/>
          <w:rFonts w:cs="FrankRuehl"/>
          <w:rtl/>
        </w:rPr>
      </w:pPr>
      <w:r w:rsidRPr="00FF2593">
        <w:rPr>
          <w:rStyle w:val="default"/>
          <w:rFonts w:cs="FrankRuehl"/>
          <w:rtl/>
        </w:rPr>
        <w:pict>
          <v:shape id="_x0000_s2341" type="#_x0000_t202" style="position:absolute;left:0;text-align:left;margin-left:470.35pt;margin-top:7.1pt;width:1in;height:10.95pt;z-index:251660800" filled="f" stroked="f">
            <v:textbox inset="1mm,0,1mm,0">
              <w:txbxContent>
                <w:p w:rsidR="00FF2593" w:rsidRDefault="00FF2593" w:rsidP="00FF2593">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2</w:t>
      </w:r>
      <w:r w:rsidRPr="00FF2593">
        <w:rPr>
          <w:rStyle w:val="default"/>
          <w:rFonts w:cs="FrankRuehl" w:hint="cs"/>
          <w:rtl/>
        </w:rPr>
        <w:t>)</w:t>
      </w:r>
      <w:r w:rsidRPr="00FF2593">
        <w:rPr>
          <w:rStyle w:val="default"/>
          <w:rFonts w:cs="FrankRuehl"/>
          <w:rtl/>
        </w:rPr>
        <w:tab/>
      </w:r>
      <w:r w:rsidR="00B0746C">
        <w:rPr>
          <w:rStyle w:val="default"/>
          <w:rFonts w:cs="FrankRuehl" w:hint="cs"/>
          <w:rtl/>
        </w:rPr>
        <w:t xml:space="preserve">נתון מלשכות ההוצאה לפועל </w:t>
      </w:r>
      <w:r w:rsidR="00B0746C">
        <w:rPr>
          <w:rStyle w:val="default"/>
          <w:rFonts w:cs="FrankRuehl"/>
          <w:rtl/>
        </w:rPr>
        <w:t>–</w:t>
      </w:r>
      <w:r w:rsidR="00B0746C">
        <w:rPr>
          <w:rStyle w:val="default"/>
          <w:rFonts w:cs="FrankRuehl" w:hint="cs"/>
          <w:rtl/>
        </w:rPr>
        <w:t xml:space="preserve"> קיומו של תיק הוצאה לפועל, שסכום החוב בפתיחתו עולה על 5,000 שקלים חדשים או קיומם של שני תיקי הוצאה לפועל או יותר בסכום מצטבר העולה על 4,000 שקלים חדשים, לפי תנאי ההעברה וסוג התיק, הקבועים בפרט 2 לתוספת הראשונה</w:t>
      </w:r>
      <w:r w:rsidRPr="00FF2593">
        <w:rPr>
          <w:rStyle w:val="default"/>
          <w:rFonts w:cs="FrankRuehl" w:hint="cs"/>
          <w:rtl/>
        </w:rPr>
        <w:t>, וכן נתון בעניין בקשה לפתיחת הליכים שהגיש החייב ומתן צו לפתיחת הליכים</w:t>
      </w:r>
      <w:r w:rsidR="00B0746C">
        <w:rPr>
          <w:rStyle w:val="default"/>
          <w:rFonts w:cs="FrankRuehl" w:hint="cs"/>
          <w:rtl/>
        </w:rPr>
        <w:t>;</w:t>
      </w:r>
    </w:p>
    <w:p w:rsidR="00B0746C" w:rsidRDefault="00B0746C" w:rsidP="00C92E0E">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796D72">
        <w:rPr>
          <w:rStyle w:val="default"/>
          <w:rFonts w:cs="FrankRuehl" w:hint="cs"/>
          <w:rtl/>
        </w:rPr>
        <w:t>נתון מבנק ישראל לפי פרט 3 לתוספת הראשונה, למעט נתון בדבר ביטול הגבלה או סיומה;</w:t>
      </w:r>
    </w:p>
    <w:p w:rsidR="00796D72" w:rsidRDefault="00796D72" w:rsidP="00C92E0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נתון בדבר חוב של לקוח אצל תאגיד בנקאי, מנפיק כרטיס חיוב או מקור מידע </w:t>
      </w:r>
      <w:r>
        <w:rPr>
          <w:rStyle w:val="default"/>
          <w:rFonts w:cs="FrankRuehl"/>
          <w:rtl/>
        </w:rPr>
        <w:t>–</w:t>
      </w:r>
      <w:r>
        <w:rPr>
          <w:rStyle w:val="default"/>
          <w:rFonts w:cs="FrankRuehl" w:hint="cs"/>
          <w:rtl/>
        </w:rPr>
        <w:t xml:space="preserve"> כשסכום החוב מעל 10,000 שקלים חדשים, ונפתחו בשלו הליכים בבית משפט.</w:t>
      </w:r>
    </w:p>
    <w:p w:rsidR="008D69AC" w:rsidRPr="00330173" w:rsidRDefault="008D69AC" w:rsidP="00FF2593">
      <w:pPr>
        <w:pStyle w:val="P00"/>
        <w:spacing w:before="0"/>
        <w:ind w:left="624" w:right="1134"/>
        <w:rPr>
          <w:rStyle w:val="default"/>
          <w:rFonts w:ascii="FrankRuehl" w:hAnsi="FrankRuehl" w:cs="FrankRuehl"/>
          <w:vanish/>
          <w:color w:val="FF0000"/>
          <w:szCs w:val="20"/>
          <w:shd w:val="clear" w:color="auto" w:fill="FFFF99"/>
          <w:rtl/>
        </w:rPr>
      </w:pPr>
      <w:bookmarkStart w:id="12" w:name="Rov139"/>
      <w:r w:rsidRPr="00330173">
        <w:rPr>
          <w:rStyle w:val="default"/>
          <w:rFonts w:ascii="FrankRuehl" w:hAnsi="FrankRuehl" w:cs="FrankRuehl"/>
          <w:vanish/>
          <w:color w:val="FF0000"/>
          <w:szCs w:val="20"/>
          <w:shd w:val="clear" w:color="auto" w:fill="FFFF99"/>
          <w:rtl/>
        </w:rPr>
        <w:t>מיום 4.3.2021</w:t>
      </w:r>
    </w:p>
    <w:p w:rsidR="008D69AC" w:rsidRPr="00330173" w:rsidRDefault="008D69AC" w:rsidP="00FF2593">
      <w:pPr>
        <w:pStyle w:val="P00"/>
        <w:spacing w:before="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8D69AC" w:rsidRPr="00330173" w:rsidRDefault="008D69AC" w:rsidP="00FF2593">
      <w:pPr>
        <w:pStyle w:val="P00"/>
        <w:spacing w:before="0"/>
        <w:ind w:left="624" w:right="1134"/>
        <w:rPr>
          <w:rStyle w:val="default"/>
          <w:rFonts w:ascii="FrankRuehl" w:hAnsi="FrankRuehl" w:cs="FrankRuehl"/>
          <w:vanish/>
          <w:szCs w:val="20"/>
          <w:shd w:val="clear" w:color="auto" w:fill="FFFF99"/>
          <w:rtl/>
        </w:rPr>
      </w:pPr>
      <w:hyperlink r:id="rId12"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2404</w:t>
      </w:r>
    </w:p>
    <w:p w:rsidR="008D69AC" w:rsidRPr="00330173" w:rsidRDefault="008D69AC" w:rsidP="008D69AC">
      <w:pPr>
        <w:pStyle w:val="P00"/>
        <w:ind w:left="624"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(1)</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 xml:space="preserve">נתון מהכונס הרשמי </w:t>
      </w:r>
      <w:r w:rsidRPr="00330173">
        <w:rPr>
          <w:rStyle w:val="default"/>
          <w:rFonts w:cs="FrankRuehl"/>
          <w:strike/>
          <w:vanish/>
          <w:sz w:val="16"/>
          <w:szCs w:val="22"/>
          <w:shd w:val="clear" w:color="auto" w:fill="FFFF99"/>
          <w:rtl/>
        </w:rPr>
        <w:t>–</w:t>
      </w:r>
      <w:r w:rsidRPr="00330173">
        <w:rPr>
          <w:rStyle w:val="default"/>
          <w:rFonts w:cs="FrankRuehl" w:hint="cs"/>
          <w:strike/>
          <w:vanish/>
          <w:sz w:val="16"/>
          <w:szCs w:val="22"/>
          <w:shd w:val="clear" w:color="auto" w:fill="FFFF99"/>
          <w:rtl/>
        </w:rPr>
        <w:t xml:space="preserve"> מתן צו כינוס, פתיחת הליך לפי סעיף 19א לפקודת פשיטת רגל, הכרזה על פשיטת רגל;</w:t>
      </w:r>
    </w:p>
    <w:p w:rsidR="008D69AC" w:rsidRPr="00330173" w:rsidRDefault="008D69AC" w:rsidP="008D69AC">
      <w:pPr>
        <w:pStyle w:val="P00"/>
        <w:spacing w:before="0"/>
        <w:ind w:left="624"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(1)</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 xml:space="preserve">נתון מהממונה על הליכי חדלות פירעון ושיקום כלכלי </w:t>
      </w:r>
      <w:r w:rsidRPr="00330173">
        <w:rPr>
          <w:rStyle w:val="default"/>
          <w:rFonts w:cs="FrankRuehl"/>
          <w:vanish/>
          <w:sz w:val="16"/>
          <w:szCs w:val="22"/>
          <w:u w:val="single"/>
          <w:shd w:val="clear" w:color="auto" w:fill="FFFF99"/>
          <w:rtl/>
        </w:rPr>
        <w:t>–</w:t>
      </w:r>
      <w:r w:rsidRPr="00330173">
        <w:rPr>
          <w:rStyle w:val="default"/>
          <w:rFonts w:cs="FrankRuehl" w:hint="cs"/>
          <w:vanish/>
          <w:sz w:val="16"/>
          <w:szCs w:val="22"/>
          <w:u w:val="single"/>
          <w:shd w:val="clear" w:color="auto" w:fill="FFFF99"/>
          <w:rtl/>
        </w:rPr>
        <w:t xml:space="preserve"> בקשה לפתיחת הליכים שהגיש החייב, מתן צו לפתיחת הליכים ובקשה להסדר חוב;</w:t>
      </w:r>
    </w:p>
    <w:p w:rsidR="008D69AC" w:rsidRPr="00FF2593" w:rsidRDefault="008D69AC" w:rsidP="00FF2593">
      <w:pPr>
        <w:pStyle w:val="P00"/>
        <w:spacing w:before="0"/>
        <w:ind w:left="624" w:right="1134"/>
        <w:rPr>
          <w:rStyle w:val="default"/>
          <w:rFonts w:cs="FrankRuehl"/>
          <w:sz w:val="2"/>
          <w:szCs w:val="2"/>
          <w:rtl/>
        </w:rPr>
      </w:pPr>
      <w:r w:rsidRPr="00330173">
        <w:rPr>
          <w:rStyle w:val="default"/>
          <w:rFonts w:cs="FrankRuehl" w:hint="cs"/>
          <w:vanish/>
          <w:sz w:val="16"/>
          <w:szCs w:val="22"/>
          <w:shd w:val="clear" w:color="auto" w:fill="FFFF99"/>
          <w:rtl/>
        </w:rPr>
        <w:t>(2)</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נתון מלשכות ההוצאה לפועל </w:t>
      </w:r>
      <w:r w:rsidRPr="00330173">
        <w:rPr>
          <w:rStyle w:val="default"/>
          <w:rFonts w:cs="FrankRuehl"/>
          <w:vanish/>
          <w:sz w:val="16"/>
          <w:szCs w:val="22"/>
          <w:shd w:val="clear" w:color="auto" w:fill="FFFF99"/>
          <w:rtl/>
        </w:rPr>
        <w:t>–</w:t>
      </w:r>
      <w:r w:rsidRPr="00330173">
        <w:rPr>
          <w:rStyle w:val="default"/>
          <w:rFonts w:cs="FrankRuehl" w:hint="cs"/>
          <w:vanish/>
          <w:sz w:val="16"/>
          <w:szCs w:val="22"/>
          <w:shd w:val="clear" w:color="auto" w:fill="FFFF99"/>
          <w:rtl/>
        </w:rPr>
        <w:t xml:space="preserve"> קיומו של תיק הוצאה לפועל, שסכום החוב בפתיחתו עולה על 5,000 שקלים חדשים או קיומם של שני תיקי הוצאה לפועל או יותר בסכום מצטבר העולה על 4,000 שקלים חדשים, לפי תנאי ההעברה וסוג התיק, הקבועים בפרט 2 לתוספת הראשונה</w:t>
      </w:r>
      <w:r w:rsidR="00FF2593" w:rsidRPr="00330173">
        <w:rPr>
          <w:rStyle w:val="default"/>
          <w:rFonts w:cs="FrankRuehl" w:hint="cs"/>
          <w:vanish/>
          <w:sz w:val="16"/>
          <w:szCs w:val="22"/>
          <w:u w:val="single"/>
          <w:shd w:val="clear" w:color="auto" w:fill="FFFF99"/>
          <w:rtl/>
        </w:rPr>
        <w:t>, וכן נתון בעניין בקשה לפתיחת הליכים שהגיש החייב ומתן צו לפתיחת הליכים</w:t>
      </w:r>
      <w:r w:rsidRPr="00330173">
        <w:rPr>
          <w:rStyle w:val="default"/>
          <w:rFonts w:cs="FrankRuehl" w:hint="cs"/>
          <w:vanish/>
          <w:sz w:val="16"/>
          <w:szCs w:val="22"/>
          <w:shd w:val="clear" w:color="auto" w:fill="FFFF99"/>
          <w:rtl/>
        </w:rPr>
        <w:t>;</w:t>
      </w:r>
      <w:bookmarkEnd w:id="12"/>
    </w:p>
    <w:p w:rsidR="00386EF5" w:rsidRDefault="00386EF5" w:rsidP="00386EF5">
      <w:pPr>
        <w:pStyle w:val="P00"/>
        <w:spacing w:before="72"/>
        <w:ind w:left="0" w:right="1134"/>
        <w:rPr>
          <w:rStyle w:val="default"/>
          <w:rFonts w:cs="FrankRuehl"/>
          <w:rtl/>
        </w:rPr>
      </w:pPr>
      <w:bookmarkStart w:id="13" w:name="Seif4"/>
      <w:bookmarkEnd w:id="13"/>
      <w:r>
        <w:rPr>
          <w:lang w:val="he-IL"/>
        </w:rPr>
        <w:pict>
          <v:rect id="_x0000_s2318" style="position:absolute;left:0;text-align:left;margin-left:464.5pt;margin-top:8.05pt;width:75.05pt;height:49.95pt;z-index:251637248" o:allowincell="f" filled="f" stroked="f" strokecolor="lime" strokeweight=".25pt">
            <v:textbox style="mso-next-textbox:#_x0000_s2318" inset="0,0,0,0">
              <w:txbxContent>
                <w:p w:rsidR="00BC191A" w:rsidRDefault="00BC191A" w:rsidP="00386EF5">
                  <w:pPr>
                    <w:spacing w:line="160" w:lineRule="exact"/>
                    <w:jc w:val="left"/>
                    <w:rPr>
                      <w:rFonts w:cs="Miriam" w:hint="cs"/>
                      <w:szCs w:val="18"/>
                      <w:rtl/>
                    </w:rPr>
                  </w:pPr>
                  <w:r>
                    <w:rPr>
                      <w:rFonts w:cs="Miriam" w:hint="cs"/>
                      <w:szCs w:val="18"/>
                      <w:rtl/>
                    </w:rPr>
                    <w:t>נסיבות שיש בהן כדי להעיד באופן מובהק על כך שהלקוח אינו עומד בפירעון תשלומים לעניין חיווי אשראי</w:t>
                  </w:r>
                </w:p>
              </w:txbxContent>
            </v:textbox>
            <w10:anchorlock/>
          </v:rect>
        </w:pict>
      </w:r>
      <w:r w:rsidR="00796D72">
        <w:rPr>
          <w:rStyle w:val="big-number"/>
          <w:rFonts w:hint="cs"/>
          <w:rtl/>
        </w:rPr>
        <w:t>4</w:t>
      </w:r>
      <w:r>
        <w:rPr>
          <w:rStyle w:val="default"/>
          <w:rFonts w:cs="FrankRuehl"/>
          <w:rtl/>
        </w:rPr>
        <w:t>.</w:t>
      </w:r>
      <w:r>
        <w:rPr>
          <w:rStyle w:val="default"/>
          <w:rFonts w:cs="FrankRuehl"/>
          <w:rtl/>
        </w:rPr>
        <w:tab/>
      </w:r>
      <w:r w:rsidR="00627848">
        <w:rPr>
          <w:rStyle w:val="default"/>
          <w:rFonts w:cs="FrankRuehl" w:hint="cs"/>
          <w:rtl/>
        </w:rPr>
        <w:t>נסיבות שיש בהן כדי להעיד באופן מובהק על כך שהלקוח אינו עומד בפירעון תשלומים, לעניין סעיף 35 לחוק, הן כמפורט להלן:</w:t>
      </w:r>
    </w:p>
    <w:p w:rsidR="00FF2593" w:rsidRDefault="00FF2593" w:rsidP="00386EF5">
      <w:pPr>
        <w:pStyle w:val="P00"/>
        <w:spacing w:before="72"/>
        <w:ind w:left="0" w:right="1134"/>
        <w:rPr>
          <w:rStyle w:val="default"/>
          <w:rFonts w:cs="FrankRuehl"/>
          <w:rtl/>
        </w:rPr>
      </w:pPr>
    </w:p>
    <w:p w:rsidR="00627848" w:rsidRDefault="00FF2593" w:rsidP="00FF2593">
      <w:pPr>
        <w:pStyle w:val="P00"/>
        <w:spacing w:before="72"/>
        <w:ind w:left="624" w:right="1134"/>
        <w:rPr>
          <w:rStyle w:val="default"/>
          <w:rFonts w:cs="FrankRuehl"/>
          <w:rtl/>
        </w:rPr>
      </w:pPr>
      <w:r w:rsidRPr="00FF2593">
        <w:rPr>
          <w:rStyle w:val="default"/>
          <w:rFonts w:cs="FrankRuehl"/>
          <w:rtl/>
        </w:rPr>
        <w:pict>
          <v:shape id="_x0000_s2344" type="#_x0000_t202" style="position:absolute;left:0;text-align:left;margin-left:470.35pt;margin-top:7.1pt;width:1in;height:10.95pt;z-index:251662848" filled="f" stroked="f">
            <v:textbox inset="1mm,0,1mm,0">
              <w:txbxContent>
                <w:p w:rsidR="00FF2593" w:rsidRDefault="00FF2593" w:rsidP="00FF2593">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(1)</w:t>
      </w:r>
      <w:r w:rsidRPr="00FF2593">
        <w:rPr>
          <w:rStyle w:val="default"/>
          <w:rFonts w:cs="FrankRuehl"/>
          <w:rtl/>
        </w:rPr>
        <w:tab/>
      </w:r>
      <w:r w:rsidRPr="00FF2593">
        <w:rPr>
          <w:rStyle w:val="default"/>
          <w:rFonts w:cs="FrankRuehl" w:hint="cs"/>
          <w:rtl/>
        </w:rPr>
        <w:t xml:space="preserve">קיומו של נתון מהממונה על הליכי חדלות פירעון ושיקום כלכלי </w:t>
      </w:r>
      <w:r w:rsidRPr="00FF2593">
        <w:rPr>
          <w:rStyle w:val="default"/>
          <w:rFonts w:cs="FrankRuehl"/>
          <w:rtl/>
        </w:rPr>
        <w:t>–</w:t>
      </w:r>
      <w:r w:rsidRPr="00FF2593">
        <w:rPr>
          <w:rStyle w:val="default"/>
          <w:rFonts w:cs="FrankRuehl" w:hint="cs"/>
          <w:rtl/>
        </w:rPr>
        <w:t xml:space="preserve"> בקשה לפתיחת הליכים שהגיש החייב, מתן צו לפתיחת הליכים ובקשה להסדר חוב</w:t>
      </w:r>
      <w:r w:rsidR="00627848">
        <w:rPr>
          <w:rStyle w:val="default"/>
          <w:rFonts w:cs="FrankRuehl" w:hint="cs"/>
          <w:rtl/>
        </w:rPr>
        <w:t>;</w:t>
      </w:r>
    </w:p>
    <w:p w:rsidR="00627848" w:rsidRDefault="00FF2593" w:rsidP="00FF2593">
      <w:pPr>
        <w:pStyle w:val="P00"/>
        <w:spacing w:before="72"/>
        <w:ind w:left="624" w:right="1134"/>
        <w:rPr>
          <w:rStyle w:val="default"/>
          <w:rFonts w:cs="FrankRuehl"/>
          <w:rtl/>
        </w:rPr>
      </w:pPr>
      <w:r w:rsidRPr="00FF2593">
        <w:rPr>
          <w:rStyle w:val="default"/>
          <w:rFonts w:cs="FrankRuehl"/>
          <w:rtl/>
        </w:rPr>
        <w:pict>
          <v:shape id="_x0000_s2345" type="#_x0000_t202" style="position:absolute;left:0;text-align:left;margin-left:470.35pt;margin-top:7.1pt;width:1in;height:10.95pt;z-index:251663872" filled="f" stroked="f">
            <v:textbox inset="1mm,0,1mm,0">
              <w:txbxContent>
                <w:p w:rsidR="00FF2593" w:rsidRDefault="00FF2593" w:rsidP="00FF2593">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2</w:t>
      </w:r>
      <w:r w:rsidRPr="00FF2593">
        <w:rPr>
          <w:rStyle w:val="default"/>
          <w:rFonts w:cs="FrankRuehl" w:hint="cs"/>
          <w:rtl/>
        </w:rPr>
        <w:t>)</w:t>
      </w:r>
      <w:r w:rsidRPr="00FF2593">
        <w:rPr>
          <w:rStyle w:val="default"/>
          <w:rFonts w:cs="FrankRuehl"/>
          <w:rtl/>
        </w:rPr>
        <w:tab/>
      </w:r>
      <w:r w:rsidR="00627848">
        <w:rPr>
          <w:rStyle w:val="default"/>
          <w:rFonts w:cs="FrankRuehl" w:hint="cs"/>
          <w:rtl/>
        </w:rPr>
        <w:t>קיומו של תיק הוצאה לפועל שסכום החוב בפתיחתו עולה על 5,000 שקלים חדשים או קיומם של שני תיקי הוצאה לפועל או יותר גם אם סכומם נמוך יותר בסכום מצטבר העולה על 4,000 שקלים חדשים, לפי תנאי ההעברה וסוג התיק, הקבועים בפרט 2 בתוספת הראשונה</w:t>
      </w:r>
      <w:r w:rsidRPr="00FF2593">
        <w:rPr>
          <w:rStyle w:val="default"/>
          <w:rFonts w:cs="FrankRuehl" w:hint="cs"/>
          <w:rtl/>
        </w:rPr>
        <w:t>, וכן קיומו של נתון מההוצאה לפועל בעניין בקשה לפתיחת הליכים שהגיש החייב ומתן צו לפתיחת הליכים</w:t>
      </w:r>
      <w:r w:rsidR="00627848">
        <w:rPr>
          <w:rStyle w:val="default"/>
          <w:rFonts w:cs="FrankRuehl" w:hint="cs"/>
          <w:rtl/>
        </w:rPr>
        <w:t>;</w:t>
      </w:r>
    </w:p>
    <w:p w:rsidR="00627848" w:rsidRDefault="00627848" w:rsidP="0062784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קיומם של נתון מבנק ישראל לפי פרט 3 לתוספת הראשונה, למעט נתון בדבר ביטול הגבלה או סיומה;</w:t>
      </w:r>
    </w:p>
    <w:p w:rsidR="00627848" w:rsidRDefault="00627848" w:rsidP="0062784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קיומו של נתון בדבר חוב של לקוח אצל תאגיד בנקאי, מנפיק כרטיס חיוב או מקור מידע </w:t>
      </w:r>
      <w:r>
        <w:rPr>
          <w:rStyle w:val="default"/>
          <w:rFonts w:cs="FrankRuehl"/>
          <w:rtl/>
        </w:rPr>
        <w:t>–</w:t>
      </w:r>
      <w:r>
        <w:rPr>
          <w:rStyle w:val="default"/>
          <w:rFonts w:cs="FrankRuehl" w:hint="cs"/>
          <w:rtl/>
        </w:rPr>
        <w:t xml:space="preserve"> כשסכום החוב מעל 10,000 שקלים חדשים, ונפתחו בשלו הליכים בבית משפט;</w:t>
      </w:r>
    </w:p>
    <w:p w:rsidR="00627848" w:rsidRDefault="00FF2593" w:rsidP="00FF2593">
      <w:pPr>
        <w:pStyle w:val="P00"/>
        <w:spacing w:before="72"/>
        <w:ind w:left="624" w:right="1134"/>
        <w:rPr>
          <w:rStyle w:val="default"/>
          <w:rFonts w:cs="FrankRuehl"/>
          <w:rtl/>
        </w:rPr>
      </w:pPr>
      <w:r w:rsidRPr="00FF2593">
        <w:rPr>
          <w:rStyle w:val="default"/>
          <w:rFonts w:cs="FrankRuehl"/>
          <w:rtl/>
        </w:rPr>
        <w:pict>
          <v:shape id="_x0000_s2346" type="#_x0000_t202" style="position:absolute;left:0;text-align:left;margin-left:470.35pt;margin-top:7.1pt;width:1in;height:10.95pt;z-index:251664896" filled="f" stroked="f">
            <v:textbox inset="1mm,0,1mm,0">
              <w:txbxContent>
                <w:p w:rsidR="00FF2593" w:rsidRDefault="00FF2593" w:rsidP="00FF2593">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5</w:t>
      </w:r>
      <w:r w:rsidRPr="00FF2593">
        <w:rPr>
          <w:rStyle w:val="default"/>
          <w:rFonts w:cs="FrankRuehl" w:hint="cs"/>
          <w:rtl/>
        </w:rPr>
        <w:t>)</w:t>
      </w:r>
      <w:r w:rsidRPr="00FF2593">
        <w:rPr>
          <w:rStyle w:val="default"/>
          <w:rFonts w:cs="FrankRuehl"/>
          <w:rtl/>
        </w:rPr>
        <w:tab/>
      </w:r>
      <w:r w:rsidR="00627848">
        <w:rPr>
          <w:rStyle w:val="default"/>
          <w:rFonts w:cs="FrankRuehl" w:hint="cs"/>
          <w:rtl/>
        </w:rPr>
        <w:t>קיומו של נתון מתאגיד בנקאי או מבנק הדואר בנוגע להתראות בשל סירוב שיקים לפי סעיף 2(א1) לחוק שיקים ללא כיסוי</w:t>
      </w:r>
      <w:r w:rsidR="00770063" w:rsidRPr="00770063">
        <w:rPr>
          <w:rStyle w:val="default"/>
          <w:rFonts w:cs="FrankRuehl" w:hint="cs"/>
          <w:rtl/>
        </w:rPr>
        <w:t>, ובלבד שטרם חלפה שנה ממועד משלוח ההתראה</w:t>
      </w:r>
      <w:r w:rsidR="00627848">
        <w:rPr>
          <w:rStyle w:val="default"/>
          <w:rFonts w:cs="FrankRuehl" w:hint="cs"/>
          <w:rtl/>
        </w:rPr>
        <w:t>.</w:t>
      </w:r>
    </w:p>
    <w:p w:rsidR="00FF2593" w:rsidRPr="00330173" w:rsidRDefault="00FF2593" w:rsidP="00FF2593">
      <w:pPr>
        <w:pStyle w:val="P00"/>
        <w:spacing w:before="0"/>
        <w:ind w:left="0" w:right="1134"/>
        <w:rPr>
          <w:rStyle w:val="default"/>
          <w:rFonts w:ascii="FrankRuehl" w:hAnsi="FrankRuehl" w:cs="FrankRuehl"/>
          <w:vanish/>
          <w:color w:val="FF0000"/>
          <w:szCs w:val="20"/>
          <w:shd w:val="clear" w:color="auto" w:fill="FFFF99"/>
          <w:rtl/>
        </w:rPr>
      </w:pPr>
      <w:bookmarkStart w:id="14" w:name="Rov140"/>
      <w:r w:rsidRPr="00330173">
        <w:rPr>
          <w:rStyle w:val="default"/>
          <w:rFonts w:ascii="FrankRuehl" w:hAnsi="FrankRuehl" w:cs="FrankRuehl"/>
          <w:vanish/>
          <w:color w:val="FF0000"/>
          <w:szCs w:val="20"/>
          <w:shd w:val="clear" w:color="auto" w:fill="FFFF99"/>
          <w:rtl/>
        </w:rPr>
        <w:t>מיום 4.3.2021</w:t>
      </w:r>
    </w:p>
    <w:p w:rsidR="007C09D7" w:rsidRPr="00330173" w:rsidRDefault="007C09D7" w:rsidP="00FF2593">
      <w:pPr>
        <w:pStyle w:val="P00"/>
        <w:spacing w:before="0"/>
        <w:ind w:left="0" w:right="1134"/>
        <w:rPr>
          <w:rStyle w:val="default"/>
          <w:rFonts w:ascii="FrankRuehl" w:hAnsi="FrankRuehl" w:cs="FrankRuehl"/>
          <w:vanish/>
          <w:color w:val="FF0000"/>
          <w:szCs w:val="20"/>
          <w:shd w:val="clear" w:color="auto" w:fill="FFFF99"/>
          <w:rtl/>
        </w:rPr>
      </w:pPr>
      <w:r w:rsidRPr="00330173">
        <w:rPr>
          <w:rStyle w:val="default"/>
          <w:rFonts w:ascii="FrankRuehl" w:hAnsi="FrankRuehl" w:cs="FrankRuehl" w:hint="cs"/>
          <w:vanish/>
          <w:color w:val="FF0000"/>
          <w:szCs w:val="20"/>
          <w:shd w:val="clear" w:color="auto" w:fill="FFFF99"/>
          <w:rtl/>
        </w:rPr>
        <w:t>פסקה 4(5) מיום 5.9.2021</w:t>
      </w:r>
    </w:p>
    <w:p w:rsidR="00FF2593" w:rsidRPr="00330173" w:rsidRDefault="00FF2593" w:rsidP="00FF2593">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FF2593" w:rsidRPr="00330173" w:rsidRDefault="00FF2593" w:rsidP="00FF2593">
      <w:pPr>
        <w:pStyle w:val="P00"/>
        <w:spacing w:before="0"/>
        <w:ind w:left="0" w:right="1134"/>
        <w:rPr>
          <w:rStyle w:val="default"/>
          <w:rFonts w:ascii="FrankRuehl" w:hAnsi="FrankRuehl" w:cs="FrankRuehl"/>
          <w:vanish/>
          <w:szCs w:val="20"/>
          <w:shd w:val="clear" w:color="auto" w:fill="FFFF99"/>
          <w:rtl/>
        </w:rPr>
      </w:pPr>
      <w:hyperlink r:id="rId13"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2404</w:t>
      </w:r>
    </w:p>
    <w:p w:rsidR="00FF2593" w:rsidRPr="00330173" w:rsidRDefault="00FF2593" w:rsidP="00FF2593">
      <w:pPr>
        <w:pStyle w:val="P00"/>
        <w:ind w:left="0"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4</w:t>
      </w:r>
      <w:r w:rsidRPr="00330173">
        <w:rPr>
          <w:rStyle w:val="default"/>
          <w:rFonts w:cs="FrankRuehl"/>
          <w:vanish/>
          <w:sz w:val="16"/>
          <w:szCs w:val="22"/>
          <w:shd w:val="clear" w:color="auto" w:fill="FFFF99"/>
          <w:rtl/>
        </w:rPr>
        <w:t>.</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נסיבות שיש בהן כדי להעיד באופן מובהק על כך שהלקוח אינו עומד בפירעון תשלומים, לעניין סעיף 35 לחוק, הן כמפורט להלן:</w:t>
      </w:r>
    </w:p>
    <w:p w:rsidR="00FF2593" w:rsidRPr="00330173" w:rsidRDefault="00FF2593" w:rsidP="00FF2593">
      <w:pPr>
        <w:pStyle w:val="P00"/>
        <w:spacing w:before="0"/>
        <w:ind w:left="624"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(1)</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 xml:space="preserve">קיומו של נתון מהכונס הרשמי </w:t>
      </w:r>
      <w:r w:rsidRPr="00330173">
        <w:rPr>
          <w:rStyle w:val="default"/>
          <w:rFonts w:cs="FrankRuehl"/>
          <w:strike/>
          <w:vanish/>
          <w:sz w:val="16"/>
          <w:szCs w:val="22"/>
          <w:shd w:val="clear" w:color="auto" w:fill="FFFF99"/>
          <w:rtl/>
        </w:rPr>
        <w:t>–</w:t>
      </w:r>
      <w:r w:rsidRPr="00330173">
        <w:rPr>
          <w:rStyle w:val="default"/>
          <w:rFonts w:cs="FrankRuehl" w:hint="cs"/>
          <w:strike/>
          <w:vanish/>
          <w:sz w:val="16"/>
          <w:szCs w:val="22"/>
          <w:shd w:val="clear" w:color="auto" w:fill="FFFF99"/>
          <w:rtl/>
        </w:rPr>
        <w:t xml:space="preserve"> מתן צו כינוס, פתיחת הליך לפי סעיף 19א לפקודת פשיטת רגל, הכרזה על פשיטת רגל;</w:t>
      </w:r>
    </w:p>
    <w:p w:rsidR="00FF2593" w:rsidRPr="00330173" w:rsidRDefault="00FF2593" w:rsidP="00FF2593">
      <w:pPr>
        <w:pStyle w:val="P00"/>
        <w:spacing w:before="0"/>
        <w:ind w:left="624"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(1)</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 xml:space="preserve">קיומו של נתון מהממונה על הליכי חדלות פירעון ושיקום כלכלי </w:t>
      </w:r>
      <w:r w:rsidRPr="00330173">
        <w:rPr>
          <w:rStyle w:val="default"/>
          <w:rFonts w:cs="FrankRuehl"/>
          <w:vanish/>
          <w:sz w:val="16"/>
          <w:szCs w:val="22"/>
          <w:u w:val="single"/>
          <w:shd w:val="clear" w:color="auto" w:fill="FFFF99"/>
          <w:rtl/>
        </w:rPr>
        <w:t>–</w:t>
      </w:r>
      <w:r w:rsidRPr="00330173">
        <w:rPr>
          <w:rStyle w:val="default"/>
          <w:rFonts w:cs="FrankRuehl" w:hint="cs"/>
          <w:vanish/>
          <w:sz w:val="16"/>
          <w:szCs w:val="22"/>
          <w:u w:val="single"/>
          <w:shd w:val="clear" w:color="auto" w:fill="FFFF99"/>
          <w:rtl/>
        </w:rPr>
        <w:t xml:space="preserve"> בקשה לפתיחת הליכים שהגיש החייב, מתן צו לפתיחת הליכים ובקשה להסדר חוב;</w:t>
      </w:r>
    </w:p>
    <w:p w:rsidR="00FF2593" w:rsidRPr="00330173" w:rsidRDefault="00FF2593"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(2)</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קיומו של תיק הוצאה לפועל שסכום החוב בפתיחתו עולה על 5,000 שקלים חדשים או קיומם של שני תיקי הוצאה לפועל או יותר גם אם סכומם נמוך יותר בסכום מצטבר העולה על 4,000 שקלים חדשים, לפי תנאי ההעברה וסוג התיק, הקבועים בפרט 2 בתוספת הראשונה</w:t>
      </w:r>
      <w:r w:rsidRPr="00330173">
        <w:rPr>
          <w:rStyle w:val="default"/>
          <w:rFonts w:cs="FrankRuehl" w:hint="cs"/>
          <w:vanish/>
          <w:sz w:val="16"/>
          <w:szCs w:val="22"/>
          <w:u w:val="single"/>
          <w:shd w:val="clear" w:color="auto" w:fill="FFFF99"/>
          <w:rtl/>
        </w:rPr>
        <w:t>, וכן קיומו של נתון מההוצאה לפועל בעניין בקשה לפתיחת הליכים שהגיש החייב ומתן צו לפתיחת הליכים</w:t>
      </w:r>
      <w:r w:rsidRPr="00330173">
        <w:rPr>
          <w:rStyle w:val="default"/>
          <w:rFonts w:cs="FrankRuehl" w:hint="cs"/>
          <w:vanish/>
          <w:sz w:val="16"/>
          <w:szCs w:val="22"/>
          <w:shd w:val="clear" w:color="auto" w:fill="FFFF99"/>
          <w:rtl/>
        </w:rPr>
        <w:t>;</w:t>
      </w:r>
    </w:p>
    <w:p w:rsidR="00FF2593" w:rsidRPr="00330173" w:rsidRDefault="00FF2593"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(3)</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קיומם של נתון מבנק ישראל לפי פרט 3 לתוספת הראשונה, למעט נתון בדבר ביטול הגבלה או סיומה;</w:t>
      </w:r>
    </w:p>
    <w:p w:rsidR="00FF2593" w:rsidRPr="00330173" w:rsidRDefault="00FF2593"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(4)</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קיומו של נתון בדבר חוב של לקוח אצל תאגיד בנקאי, מנפיק כרטיס חיוב או מקור מידע </w:t>
      </w:r>
      <w:r w:rsidRPr="00330173">
        <w:rPr>
          <w:rStyle w:val="default"/>
          <w:rFonts w:cs="FrankRuehl"/>
          <w:vanish/>
          <w:sz w:val="16"/>
          <w:szCs w:val="22"/>
          <w:shd w:val="clear" w:color="auto" w:fill="FFFF99"/>
          <w:rtl/>
        </w:rPr>
        <w:t>–</w:t>
      </w:r>
      <w:r w:rsidRPr="00330173">
        <w:rPr>
          <w:rStyle w:val="default"/>
          <w:rFonts w:cs="FrankRuehl" w:hint="cs"/>
          <w:vanish/>
          <w:sz w:val="16"/>
          <w:szCs w:val="22"/>
          <w:shd w:val="clear" w:color="auto" w:fill="FFFF99"/>
          <w:rtl/>
        </w:rPr>
        <w:t xml:space="preserve"> כשסכום החוב מעל 10,000 שקלים חדשים, ונפתחו בשלו הליכים בבית משפט;</w:t>
      </w:r>
    </w:p>
    <w:p w:rsidR="00FF2593" w:rsidRPr="00FF2593" w:rsidRDefault="00FF2593" w:rsidP="00FF2593">
      <w:pPr>
        <w:pStyle w:val="P00"/>
        <w:spacing w:before="0"/>
        <w:ind w:left="624" w:right="1134"/>
        <w:rPr>
          <w:rStyle w:val="default"/>
          <w:rFonts w:cs="FrankRuehl"/>
          <w:sz w:val="2"/>
          <w:szCs w:val="2"/>
          <w:rtl/>
        </w:rPr>
      </w:pPr>
      <w:r w:rsidRPr="00330173">
        <w:rPr>
          <w:rStyle w:val="default"/>
          <w:rFonts w:cs="FrankRuehl" w:hint="cs"/>
          <w:vanish/>
          <w:sz w:val="16"/>
          <w:szCs w:val="22"/>
          <w:shd w:val="clear" w:color="auto" w:fill="FFFF99"/>
          <w:rtl/>
        </w:rPr>
        <w:t>(5)</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קיומו של נתון מתאגיד בנקאי או מבנק הדואר בנוגע להתראות בשל סירוב שיקים לפי סעיף 2(א1) לחוק שיקים ללא כיסוי</w:t>
      </w:r>
      <w:r w:rsidRPr="00330173">
        <w:rPr>
          <w:rStyle w:val="default"/>
          <w:rFonts w:cs="FrankRuehl" w:hint="cs"/>
          <w:vanish/>
          <w:sz w:val="16"/>
          <w:szCs w:val="22"/>
          <w:u w:val="single"/>
          <w:shd w:val="clear" w:color="auto" w:fill="FFFF99"/>
          <w:rtl/>
        </w:rPr>
        <w:t>, ובלבד שטרם חלפה שנה ממועד משלוח ההתראה</w:t>
      </w:r>
      <w:r w:rsidRPr="00330173">
        <w:rPr>
          <w:rStyle w:val="default"/>
          <w:rFonts w:cs="FrankRuehl" w:hint="cs"/>
          <w:vanish/>
          <w:sz w:val="16"/>
          <w:szCs w:val="22"/>
          <w:shd w:val="clear" w:color="auto" w:fill="FFFF99"/>
          <w:rtl/>
        </w:rPr>
        <w:t>.</w:t>
      </w:r>
      <w:bookmarkEnd w:id="14"/>
    </w:p>
    <w:p w:rsidR="00627848" w:rsidRPr="00627848" w:rsidRDefault="00627848" w:rsidP="00627848">
      <w:pPr>
        <w:pStyle w:val="medium2-header"/>
        <w:keepLines w:val="0"/>
        <w:spacing w:before="72"/>
        <w:ind w:left="0" w:right="1134"/>
        <w:rPr>
          <w:noProof/>
          <w:rtl/>
        </w:rPr>
      </w:pPr>
      <w:bookmarkStart w:id="15" w:name="med3"/>
      <w:bookmarkEnd w:id="15"/>
      <w:r w:rsidRPr="00627848">
        <w:rPr>
          <w:rFonts w:hint="cs"/>
          <w:noProof/>
          <w:rtl/>
        </w:rPr>
        <w:t>פרק ד': הוראות לעניין הסכמת הלקוח לדוח אשראי</w:t>
      </w:r>
    </w:p>
    <w:p w:rsidR="00386EF5" w:rsidRDefault="00386EF5" w:rsidP="00386EF5">
      <w:pPr>
        <w:pStyle w:val="P00"/>
        <w:spacing w:before="72"/>
        <w:ind w:left="0" w:right="1134"/>
        <w:rPr>
          <w:rStyle w:val="default"/>
          <w:rFonts w:cs="FrankRuehl"/>
          <w:rtl/>
        </w:rPr>
      </w:pPr>
      <w:bookmarkStart w:id="16" w:name="Seif5"/>
      <w:bookmarkEnd w:id="16"/>
      <w:r>
        <w:rPr>
          <w:lang w:val="he-IL"/>
        </w:rPr>
        <w:pict>
          <v:rect id="_x0000_s2319" style="position:absolute;left:0;text-align:left;margin-left:464.5pt;margin-top:8.05pt;width:75.05pt;height:43.45pt;z-index:251638272" o:allowincell="f" filled="f" stroked="f" strokecolor="lime" strokeweight=".25pt">
            <v:textbox style="mso-next-textbox:#_x0000_s2319" inset="0,0,0,0">
              <w:txbxContent>
                <w:p w:rsidR="00BC191A" w:rsidRDefault="00BC191A" w:rsidP="00386EF5">
                  <w:pPr>
                    <w:spacing w:line="160" w:lineRule="exact"/>
                    <w:jc w:val="left"/>
                    <w:rPr>
                      <w:rFonts w:cs="Miriam" w:hint="cs"/>
                      <w:szCs w:val="18"/>
                      <w:rtl/>
                    </w:rPr>
                  </w:pPr>
                  <w:r>
                    <w:rPr>
                      <w:rFonts w:cs="Miriam" w:hint="cs"/>
                      <w:szCs w:val="18"/>
                      <w:rtl/>
                    </w:rPr>
                    <w:t>הוראות לעניין זיהוי הלקוח, קבלת הסכמתו להעברת נתוני האשראי לגביו ותיעודה</w:t>
                  </w:r>
                </w:p>
              </w:txbxContent>
            </v:textbox>
            <w10:anchorlock/>
          </v:rect>
        </w:pict>
      </w:r>
      <w:r w:rsidR="00627848">
        <w:rPr>
          <w:rStyle w:val="big-number"/>
          <w:rFonts w:hint="cs"/>
          <w:rtl/>
        </w:rPr>
        <w:t>5</w:t>
      </w:r>
      <w:r>
        <w:rPr>
          <w:rStyle w:val="default"/>
          <w:rFonts w:cs="FrankRuehl"/>
          <w:rtl/>
        </w:rPr>
        <w:t>.</w:t>
      </w:r>
      <w:r>
        <w:rPr>
          <w:rStyle w:val="default"/>
          <w:rFonts w:cs="FrankRuehl"/>
          <w:rtl/>
        </w:rPr>
        <w:tab/>
      </w:r>
      <w:r w:rsidR="006C34DE">
        <w:rPr>
          <w:rStyle w:val="default"/>
          <w:rFonts w:cs="FrankRuehl" w:hint="cs"/>
          <w:rtl/>
        </w:rPr>
        <w:t>ההוראות לעניין הסכמתו המפורשת של הלקוח להעברת נתוני האשראי לגביו ללשכת האשראי, לשם עריכת דוח אשראי שיימסר לנותן האשראי, הן אלה:</w:t>
      </w:r>
    </w:p>
    <w:p w:rsidR="00BB2AF9" w:rsidRDefault="00BB2AF9" w:rsidP="00386EF5">
      <w:pPr>
        <w:pStyle w:val="P00"/>
        <w:spacing w:before="72"/>
        <w:ind w:left="0" w:right="1134"/>
        <w:rPr>
          <w:rStyle w:val="default"/>
          <w:rFonts w:cs="FrankRuehl"/>
          <w:rtl/>
        </w:rPr>
      </w:pPr>
    </w:p>
    <w:p w:rsidR="006C34DE" w:rsidRDefault="00BB2AF9" w:rsidP="00BB2AF9">
      <w:pPr>
        <w:pStyle w:val="P00"/>
        <w:spacing w:before="72"/>
        <w:ind w:left="624" w:right="1134"/>
        <w:rPr>
          <w:rStyle w:val="default"/>
          <w:rFonts w:cs="FrankRuehl"/>
          <w:rtl/>
        </w:rPr>
      </w:pPr>
      <w:r w:rsidRPr="00FF2593">
        <w:rPr>
          <w:rStyle w:val="default"/>
          <w:rFonts w:cs="FrankRuehl"/>
          <w:rtl/>
        </w:rPr>
        <w:pict>
          <v:shape id="_x0000_s2347" type="#_x0000_t202" style="position:absolute;left:0;text-align:left;margin-left:470.35pt;margin-top:7.1pt;width:1in;height:10.95pt;z-index:251665920"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(1)</w:t>
      </w:r>
      <w:r w:rsidRPr="00FF2593">
        <w:rPr>
          <w:rStyle w:val="default"/>
          <w:rFonts w:cs="FrankRuehl"/>
          <w:rtl/>
        </w:rPr>
        <w:tab/>
      </w:r>
      <w:r w:rsidR="006C34DE">
        <w:rPr>
          <w:rStyle w:val="default"/>
          <w:rFonts w:cs="FrankRuehl" w:hint="cs"/>
          <w:rtl/>
        </w:rPr>
        <w:t>נותן האשראי יזהה את הלקוח בעצמו או באמצעות צד שלישי שמבצע זיהוי בעל מהימנות גבוהה, באחת מדרכי הזיהוי האלה:</w:t>
      </w:r>
    </w:p>
    <w:p w:rsidR="006C34DE" w:rsidRDefault="006C34DE" w:rsidP="006C34D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פנים אל פנים באמצעות תעודה מזהה;</w:t>
      </w:r>
    </w:p>
    <w:p w:rsidR="006C34DE" w:rsidRDefault="00BB2AF9" w:rsidP="00BB2AF9">
      <w:pPr>
        <w:pStyle w:val="P00"/>
        <w:spacing w:before="72"/>
        <w:ind w:left="1021" w:right="1134"/>
        <w:rPr>
          <w:rStyle w:val="default"/>
          <w:rFonts w:cs="FrankRuehl"/>
          <w:rtl/>
        </w:rPr>
      </w:pPr>
      <w:r w:rsidRPr="00FF2593">
        <w:rPr>
          <w:rStyle w:val="default"/>
          <w:rFonts w:cs="FrankRuehl"/>
          <w:rtl/>
        </w:rPr>
        <w:pict>
          <v:shape id="_x0000_s2348" type="#_x0000_t202" style="position:absolute;left:0;text-align:left;margin-left:470.35pt;margin-top:7.1pt;width:1in;height:10.95pt;z-index:251666944"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ב</w:t>
      </w:r>
      <w:r w:rsidRPr="00FF2593">
        <w:rPr>
          <w:rStyle w:val="default"/>
          <w:rFonts w:cs="FrankRuehl" w:hint="cs"/>
          <w:rtl/>
        </w:rPr>
        <w:t>)</w:t>
      </w:r>
      <w:r w:rsidRPr="00FF2593">
        <w:rPr>
          <w:rStyle w:val="default"/>
          <w:rFonts w:cs="FrankRuehl"/>
          <w:rtl/>
        </w:rPr>
        <w:tab/>
      </w:r>
      <w:r w:rsidR="00770063">
        <w:rPr>
          <w:rStyle w:val="default"/>
          <w:rFonts w:cs="FrankRuehl" w:hint="cs"/>
          <w:rtl/>
        </w:rPr>
        <w:t>(נמחקה)</w:t>
      </w:r>
      <w:r w:rsidR="006C34DE">
        <w:rPr>
          <w:rStyle w:val="default"/>
          <w:rFonts w:cs="FrankRuehl" w:hint="cs"/>
          <w:rtl/>
        </w:rPr>
        <w:t>;</w:t>
      </w:r>
    </w:p>
    <w:p w:rsidR="006C34DE" w:rsidRDefault="006C34DE" w:rsidP="006C34D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אימות טלפוני מוקלט או מקוון לפרטים מזהים של הלקוח הנמצאים במאגר מסוים לפי קביעת הממונה לפי סעיף 68 לחוק;</w:t>
      </w:r>
    </w:p>
    <w:p w:rsidR="006C34DE" w:rsidRDefault="00BB2AF9" w:rsidP="00BB2AF9">
      <w:pPr>
        <w:pStyle w:val="P00"/>
        <w:spacing w:before="72"/>
        <w:ind w:left="1021" w:right="1134"/>
        <w:rPr>
          <w:rStyle w:val="default"/>
          <w:rFonts w:cs="FrankRuehl"/>
          <w:rtl/>
        </w:rPr>
      </w:pPr>
      <w:r w:rsidRPr="00FF2593">
        <w:rPr>
          <w:rStyle w:val="default"/>
          <w:rFonts w:cs="FrankRuehl"/>
          <w:rtl/>
        </w:rPr>
        <w:pict>
          <v:shape id="_x0000_s2349" type="#_x0000_t202" style="position:absolute;left:0;text-align:left;margin-left:470.35pt;margin-top:7.1pt;width:1in;height:10.95pt;z-index:251667968"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ד</w:t>
      </w:r>
      <w:r w:rsidRPr="00FF2593">
        <w:rPr>
          <w:rStyle w:val="default"/>
          <w:rFonts w:cs="FrankRuehl" w:hint="cs"/>
          <w:rtl/>
        </w:rPr>
        <w:t>)</w:t>
      </w:r>
      <w:r w:rsidRPr="00FF2593">
        <w:rPr>
          <w:rStyle w:val="default"/>
          <w:rFonts w:cs="FrankRuehl"/>
          <w:rtl/>
        </w:rPr>
        <w:tab/>
      </w:r>
      <w:r w:rsidR="00770063">
        <w:rPr>
          <w:rStyle w:val="default"/>
          <w:rFonts w:cs="FrankRuehl" w:hint="cs"/>
          <w:rtl/>
        </w:rPr>
        <w:t>(נמחקה)</w:t>
      </w:r>
      <w:r w:rsidR="006C34DE">
        <w:rPr>
          <w:rStyle w:val="default"/>
          <w:rFonts w:cs="FrankRuehl" w:hint="cs"/>
          <w:rtl/>
        </w:rPr>
        <w:t>;</w:t>
      </w:r>
    </w:p>
    <w:p w:rsidR="006C34DE" w:rsidRDefault="006C34DE" w:rsidP="006C34DE">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זיהוי בידי עורך דין או רשם של בית משפט;</w:t>
      </w:r>
    </w:p>
    <w:p w:rsidR="006C34DE" w:rsidRDefault="006C34DE" w:rsidP="006C34DE">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באמצעות תעודה אלקטרונית לאימות כהגדרתה בסעיף 23א לחוק מרשם האוכלוסין או חתימה אלקטרונית מאושרת כהגדרת בחוק חתימה אלקטרונית, התשס"א-2001;</w:t>
      </w:r>
    </w:p>
    <w:p w:rsidR="006C34DE" w:rsidRDefault="00BB2AF9" w:rsidP="00BB2AF9">
      <w:pPr>
        <w:pStyle w:val="P00"/>
        <w:spacing w:before="72"/>
        <w:ind w:left="1021" w:right="1134"/>
        <w:rPr>
          <w:rStyle w:val="default"/>
          <w:rFonts w:cs="FrankRuehl"/>
          <w:rtl/>
        </w:rPr>
      </w:pPr>
      <w:r w:rsidRPr="00FF2593">
        <w:rPr>
          <w:rStyle w:val="default"/>
          <w:rFonts w:cs="FrankRuehl"/>
          <w:rtl/>
        </w:rPr>
        <w:pict>
          <v:shape id="_x0000_s2350" type="#_x0000_t202" style="position:absolute;left:0;text-align:left;margin-left:470.35pt;margin-top:7.1pt;width:1in;height:10.95pt;z-index:251668992"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ז</w:t>
      </w:r>
      <w:r w:rsidRPr="00FF2593">
        <w:rPr>
          <w:rStyle w:val="default"/>
          <w:rFonts w:cs="FrankRuehl" w:hint="cs"/>
          <w:rtl/>
        </w:rPr>
        <w:t>)</w:t>
      </w:r>
      <w:r w:rsidRPr="00FF2593">
        <w:rPr>
          <w:rStyle w:val="default"/>
          <w:rFonts w:cs="FrankRuehl"/>
          <w:rtl/>
        </w:rPr>
        <w:tab/>
      </w:r>
      <w:r w:rsidR="00770063">
        <w:rPr>
          <w:rStyle w:val="default"/>
          <w:rFonts w:cs="FrankRuehl" w:hint="cs"/>
          <w:rtl/>
        </w:rPr>
        <w:t>(נמחקה)</w:t>
      </w:r>
      <w:r w:rsidR="006C34DE">
        <w:rPr>
          <w:rStyle w:val="default"/>
          <w:rFonts w:cs="FrankRuehl" w:hint="cs"/>
          <w:rtl/>
        </w:rPr>
        <w:t>;</w:t>
      </w:r>
    </w:p>
    <w:p w:rsidR="006C34DE" w:rsidRDefault="00BB2AF9" w:rsidP="00BB2AF9">
      <w:pPr>
        <w:pStyle w:val="P00"/>
        <w:spacing w:before="72"/>
        <w:ind w:left="1021" w:right="1134"/>
        <w:rPr>
          <w:rStyle w:val="default"/>
          <w:rFonts w:cs="FrankRuehl"/>
          <w:rtl/>
        </w:rPr>
      </w:pPr>
      <w:r w:rsidRPr="00FF2593">
        <w:rPr>
          <w:rStyle w:val="default"/>
          <w:rFonts w:cs="FrankRuehl"/>
          <w:rtl/>
        </w:rPr>
        <w:pict>
          <v:shape id="_x0000_s2351" type="#_x0000_t202" style="position:absolute;left:0;text-align:left;margin-left:470.35pt;margin-top:7.1pt;width:1in;height:10.95pt;z-index:251670016"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ח</w:t>
      </w:r>
      <w:r w:rsidRPr="00FF2593">
        <w:rPr>
          <w:rStyle w:val="default"/>
          <w:rFonts w:cs="FrankRuehl" w:hint="cs"/>
          <w:rtl/>
        </w:rPr>
        <w:t>)</w:t>
      </w:r>
      <w:r w:rsidRPr="00FF2593">
        <w:rPr>
          <w:rStyle w:val="default"/>
          <w:rFonts w:cs="FrankRuehl"/>
          <w:rtl/>
        </w:rPr>
        <w:tab/>
      </w:r>
      <w:r w:rsidR="00770063" w:rsidRPr="00770063">
        <w:rPr>
          <w:rStyle w:val="default"/>
          <w:rFonts w:cs="FrankRuehl" w:hint="cs"/>
          <w:rtl/>
        </w:rPr>
        <w:t>אמצעי זיהוי נוסף שהורה הממונה מכוח סמכותו לפי סעיף 68 לחוק, ובלבד שמדובר בזיהוי ברמת מהימנות גבוהה</w:t>
      </w:r>
      <w:r w:rsidR="006C34DE">
        <w:rPr>
          <w:rStyle w:val="default"/>
          <w:rFonts w:cs="FrankRuehl" w:hint="cs"/>
          <w:rtl/>
        </w:rPr>
        <w:t>;</w:t>
      </w:r>
    </w:p>
    <w:p w:rsidR="006C34DE" w:rsidRDefault="00BB2AF9" w:rsidP="00BB2AF9">
      <w:pPr>
        <w:pStyle w:val="P00"/>
        <w:spacing w:before="72"/>
        <w:ind w:left="624" w:right="1134"/>
        <w:rPr>
          <w:rStyle w:val="default"/>
          <w:rFonts w:cs="FrankRuehl"/>
          <w:rtl/>
        </w:rPr>
      </w:pPr>
      <w:r w:rsidRPr="00FF2593">
        <w:rPr>
          <w:rStyle w:val="default"/>
          <w:rFonts w:cs="FrankRuehl"/>
          <w:rtl/>
        </w:rPr>
        <w:pict>
          <v:shape id="_x0000_s2352" type="#_x0000_t202" style="position:absolute;left:0;text-align:left;margin-left:470.35pt;margin-top:7.1pt;width:1in;height:10.95pt;z-index:251671040"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2</w:t>
      </w:r>
      <w:r w:rsidRPr="00FF2593">
        <w:rPr>
          <w:rStyle w:val="default"/>
          <w:rFonts w:cs="FrankRuehl" w:hint="cs"/>
          <w:rtl/>
        </w:rPr>
        <w:t>)</w:t>
      </w:r>
      <w:r w:rsidRPr="00FF2593">
        <w:rPr>
          <w:rStyle w:val="default"/>
          <w:rFonts w:cs="FrankRuehl"/>
          <w:rtl/>
        </w:rPr>
        <w:tab/>
      </w:r>
      <w:r w:rsidR="00770063" w:rsidRPr="00770063">
        <w:rPr>
          <w:rStyle w:val="default"/>
          <w:rFonts w:cs="FrankRuehl" w:hint="cs"/>
          <w:rtl/>
        </w:rPr>
        <w:t>נותן האשראי שזיהה את הלקוח יקבל את הסכמתו, לרבות באמצעות אפוטרופוס או מיופה כוח מתמשך, במועד הזיהוי; אופן קבלת ההסכמה יתבצע בשפה המובנת ללקוח, וההסכמה תכלול פירוט לעניין זהות הלקוח, לפרטי הסכמתו ולתוקפה; הממונה ייתן הוראות לעניין זה מכוח סמכותו לפי סעיף 68 לחוק;</w:t>
      </w:r>
    </w:p>
    <w:p w:rsidR="00D62F4C" w:rsidRDefault="00BB2AF9" w:rsidP="00BB2AF9">
      <w:pPr>
        <w:pStyle w:val="P00"/>
        <w:spacing w:before="72"/>
        <w:ind w:left="624" w:right="1134"/>
        <w:rPr>
          <w:rStyle w:val="default"/>
          <w:rFonts w:cs="FrankRuehl"/>
          <w:rtl/>
        </w:rPr>
      </w:pPr>
      <w:r w:rsidRPr="00FF2593">
        <w:rPr>
          <w:rStyle w:val="default"/>
          <w:rFonts w:cs="FrankRuehl"/>
          <w:rtl/>
        </w:rPr>
        <w:pict>
          <v:shape id="_x0000_s2353" type="#_x0000_t202" style="position:absolute;left:0;text-align:left;margin-left:470.35pt;margin-top:7.1pt;width:1in;height:10.95pt;z-index:251672064"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3</w:t>
      </w:r>
      <w:r w:rsidRPr="00FF2593">
        <w:rPr>
          <w:rStyle w:val="default"/>
          <w:rFonts w:cs="FrankRuehl" w:hint="cs"/>
          <w:rtl/>
        </w:rPr>
        <w:t>)</w:t>
      </w:r>
      <w:r w:rsidRPr="00FF2593">
        <w:rPr>
          <w:rStyle w:val="default"/>
          <w:rFonts w:cs="FrankRuehl"/>
          <w:rtl/>
        </w:rPr>
        <w:tab/>
      </w:r>
      <w:r w:rsidR="00770063" w:rsidRPr="00770063">
        <w:rPr>
          <w:rStyle w:val="default"/>
          <w:rFonts w:cs="FrankRuehl" w:hint="cs"/>
          <w:rtl/>
        </w:rPr>
        <w:t>על אף האמור בפסקה (2), ניתן לקבל את הסכמת הלקוח גם שלא במועד הזיהוי, לפי הוראות שייתן הממונה לעניין זה מכוח סמכותו לפי סעיף 68 לחוק</w:t>
      </w:r>
      <w:r w:rsidR="00082583">
        <w:rPr>
          <w:rStyle w:val="default"/>
          <w:rFonts w:cs="FrankRuehl" w:hint="cs"/>
          <w:rtl/>
        </w:rPr>
        <w:t>;</w:t>
      </w:r>
    </w:p>
    <w:p w:rsidR="00082583" w:rsidRDefault="00BB2AF9" w:rsidP="00BB2AF9">
      <w:pPr>
        <w:pStyle w:val="P00"/>
        <w:spacing w:before="72"/>
        <w:ind w:left="624" w:right="1134"/>
        <w:rPr>
          <w:rStyle w:val="default"/>
          <w:rFonts w:cs="FrankRuehl"/>
          <w:rtl/>
        </w:rPr>
      </w:pPr>
      <w:r w:rsidRPr="00FF2593">
        <w:rPr>
          <w:rStyle w:val="default"/>
          <w:rFonts w:cs="FrankRuehl"/>
          <w:rtl/>
        </w:rPr>
        <w:pict>
          <v:shape id="_x0000_s2354" type="#_x0000_t202" style="position:absolute;left:0;text-align:left;margin-left:470.35pt;margin-top:7.1pt;width:1in;height:10.95pt;z-index:251673088"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4</w:t>
      </w:r>
      <w:r w:rsidRPr="00FF2593">
        <w:rPr>
          <w:rStyle w:val="default"/>
          <w:rFonts w:cs="FrankRuehl" w:hint="cs"/>
          <w:rtl/>
        </w:rPr>
        <w:t>)</w:t>
      </w:r>
      <w:r w:rsidRPr="00FF2593">
        <w:rPr>
          <w:rStyle w:val="default"/>
          <w:rFonts w:cs="FrankRuehl"/>
          <w:rtl/>
        </w:rPr>
        <w:tab/>
      </w:r>
      <w:r w:rsidR="006947C5" w:rsidRPr="006947C5">
        <w:rPr>
          <w:rStyle w:val="default"/>
          <w:rFonts w:cs="FrankRuehl" w:hint="cs"/>
          <w:rtl/>
        </w:rPr>
        <w:t>נותן האשראי יתעד את הסכמת הלקוח וישמור את תיעוד ההסכמה לתקופה של שבע שנים ממועד פקיעת תוקף הסכמת הלקוח; נותן האשראי יבטיח ללקוח גישה לתיעוד ההסכמה ולפרטיה</w:t>
      </w:r>
      <w:r w:rsidR="00082583">
        <w:rPr>
          <w:rStyle w:val="default"/>
          <w:rFonts w:cs="FrankRuehl" w:hint="cs"/>
          <w:rtl/>
        </w:rPr>
        <w:t>;</w:t>
      </w:r>
    </w:p>
    <w:p w:rsidR="00082583" w:rsidRDefault="00BB2AF9" w:rsidP="00BB2AF9">
      <w:pPr>
        <w:pStyle w:val="P00"/>
        <w:spacing w:before="72"/>
        <w:ind w:left="624" w:right="1134"/>
        <w:rPr>
          <w:rStyle w:val="default"/>
          <w:rFonts w:cs="FrankRuehl"/>
          <w:rtl/>
        </w:rPr>
      </w:pPr>
      <w:r w:rsidRPr="00FF2593">
        <w:rPr>
          <w:rStyle w:val="default"/>
          <w:rFonts w:cs="FrankRuehl"/>
          <w:rtl/>
        </w:rPr>
        <w:pict>
          <v:shape id="_x0000_s2355" type="#_x0000_t202" style="position:absolute;left:0;text-align:left;margin-left:470.35pt;margin-top:7.1pt;width:1in;height:10.95pt;z-index:251674112" filled="f" stroked="f">
            <v:textbox inset="1mm,0,1mm,0">
              <w:txbxContent>
                <w:p w:rsidR="00BB2AF9" w:rsidRDefault="00BB2AF9" w:rsidP="00BB2AF9">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5</w:t>
      </w:r>
      <w:r w:rsidRPr="00FF2593">
        <w:rPr>
          <w:rStyle w:val="default"/>
          <w:rFonts w:cs="FrankRuehl" w:hint="cs"/>
          <w:rtl/>
        </w:rPr>
        <w:t>)</w:t>
      </w:r>
      <w:r w:rsidRPr="00FF2593">
        <w:rPr>
          <w:rStyle w:val="default"/>
          <w:rFonts w:cs="FrankRuehl"/>
          <w:rtl/>
        </w:rPr>
        <w:tab/>
      </w:r>
      <w:r w:rsidR="00082583">
        <w:rPr>
          <w:rStyle w:val="default"/>
          <w:rFonts w:cs="FrankRuehl" w:hint="cs"/>
          <w:rtl/>
        </w:rPr>
        <w:t xml:space="preserve">נותן האשראי יצהיר במסגרת הבקשה לקבלת נתוני האשראי כי בוצע זיהוי של הלקוח והתקבלה הסכמתו כנדרש </w:t>
      </w:r>
      <w:r w:rsidR="006947C5" w:rsidRPr="006947C5">
        <w:rPr>
          <w:rStyle w:val="default"/>
          <w:rFonts w:cs="FrankRuehl" w:hint="cs"/>
          <w:rtl/>
        </w:rPr>
        <w:t>ובכלל זה לפי סעיף 26(א)(4) לחוק</w:t>
      </w:r>
      <w:r w:rsidR="00082583">
        <w:rPr>
          <w:rStyle w:val="default"/>
          <w:rFonts w:cs="FrankRuehl" w:hint="cs"/>
          <w:rtl/>
        </w:rPr>
        <w:t>;</w:t>
      </w:r>
    </w:p>
    <w:p w:rsidR="00082583" w:rsidRDefault="00082583" w:rsidP="006C34DE">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93393E">
        <w:rPr>
          <w:rStyle w:val="default"/>
          <w:rFonts w:cs="FrankRuehl" w:hint="cs"/>
          <w:rtl/>
        </w:rPr>
        <w:t>מונה ללקוח אפוטרופוס, האפוטרופוס יציג לנותן האשראי צו מינוי אפוטרופוס לענייני רכוש או לעניינים מסוימים הכוללים את הסמכות לקחת אשראי או לתת את הסכמתו למסירת נתוני אשראי בשם הלקוח לפי החוק;</w:t>
      </w:r>
    </w:p>
    <w:p w:rsidR="0093393E" w:rsidRDefault="0093393E" w:rsidP="006C34DE">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992CEB">
        <w:rPr>
          <w:rStyle w:val="default"/>
          <w:rFonts w:cs="FrankRuehl" w:hint="cs"/>
          <w:rtl/>
        </w:rPr>
        <w:t>מונה ללקוח מיופה כוח מתמשך, כהגדרתו בסעיף 32ב בחוק הכשרות המשפטית והאפוטרופסות, האפוטרופוס יציג לנותן האשראי את הפרטים האלה:</w:t>
      </w:r>
    </w:p>
    <w:p w:rsidR="00992CEB" w:rsidRDefault="00992CEB" w:rsidP="00992CE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ייפוי כוח מתמשך לפעול בענייני רכוש או בעניינים הכוללים את הסמכות לפעול בנוגע לקבלת אשראי לפי חוק נתוני אשראי;</w:t>
      </w:r>
    </w:p>
    <w:p w:rsidR="00992CEB" w:rsidRDefault="00992CEB" w:rsidP="00992CE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אישור הפקדה של ייפוי הכוח המתמשך אצל האפוטרופוס הכללי לפי סעיף 32יז לחוק הכשרות המשפטית והאפוטרופסות;</w:t>
      </w:r>
    </w:p>
    <w:p w:rsidR="00992CEB" w:rsidRDefault="00992CEB" w:rsidP="00992CEB">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אישור על קבלת הודעה על כניסתו לתוקף של ייפוי הכוח המתמשך לפי סעיף 32יט לחוק הכשרות המשפטית והאפוטרופסות;</w:t>
      </w:r>
    </w:p>
    <w:p w:rsidR="00992CEB" w:rsidRDefault="00992CEB" w:rsidP="00992CEB">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הצהרה של מיופה הכוח כי ייפוי הכוח בתוקף.</w:t>
      </w:r>
    </w:p>
    <w:p w:rsidR="00FF2593" w:rsidRPr="00330173" w:rsidRDefault="00FF2593" w:rsidP="006947C5">
      <w:pPr>
        <w:pStyle w:val="P00"/>
        <w:spacing w:before="0"/>
        <w:ind w:left="624" w:right="1134"/>
        <w:rPr>
          <w:rStyle w:val="default"/>
          <w:rFonts w:ascii="FrankRuehl" w:hAnsi="FrankRuehl" w:cs="FrankRuehl"/>
          <w:vanish/>
          <w:color w:val="FF0000"/>
          <w:szCs w:val="20"/>
          <w:shd w:val="clear" w:color="auto" w:fill="FFFF99"/>
          <w:rtl/>
        </w:rPr>
      </w:pPr>
      <w:bookmarkStart w:id="17" w:name="Rov141"/>
      <w:r w:rsidRPr="00330173">
        <w:rPr>
          <w:rStyle w:val="default"/>
          <w:rFonts w:ascii="FrankRuehl" w:hAnsi="FrankRuehl" w:cs="FrankRuehl"/>
          <w:vanish/>
          <w:color w:val="FF0000"/>
          <w:szCs w:val="20"/>
          <w:shd w:val="clear" w:color="auto" w:fill="FFFF99"/>
          <w:rtl/>
        </w:rPr>
        <w:t>מיום 4.3.2021</w:t>
      </w:r>
    </w:p>
    <w:p w:rsidR="007C09D7" w:rsidRPr="00330173" w:rsidRDefault="007C09D7" w:rsidP="006947C5">
      <w:pPr>
        <w:pStyle w:val="P00"/>
        <w:spacing w:before="0"/>
        <w:ind w:left="624" w:right="1134"/>
        <w:rPr>
          <w:rStyle w:val="default"/>
          <w:rFonts w:ascii="FrankRuehl" w:hAnsi="FrankRuehl" w:cs="FrankRuehl"/>
          <w:vanish/>
          <w:color w:val="FF0000"/>
          <w:szCs w:val="20"/>
          <w:shd w:val="clear" w:color="auto" w:fill="FFFF99"/>
          <w:rtl/>
        </w:rPr>
      </w:pPr>
      <w:r w:rsidRPr="00330173">
        <w:rPr>
          <w:rStyle w:val="default"/>
          <w:rFonts w:ascii="FrankRuehl" w:hAnsi="FrankRuehl" w:cs="FrankRuehl" w:hint="cs"/>
          <w:vanish/>
          <w:color w:val="FF0000"/>
          <w:szCs w:val="20"/>
          <w:shd w:val="clear" w:color="auto" w:fill="FFFF99"/>
          <w:rtl/>
        </w:rPr>
        <w:t>פסקאות 5(1) עד 5(3) מיום 5.9.2021</w:t>
      </w:r>
    </w:p>
    <w:p w:rsidR="00FF2593" w:rsidRPr="00330173" w:rsidRDefault="00FF2593" w:rsidP="006947C5">
      <w:pPr>
        <w:pStyle w:val="P00"/>
        <w:spacing w:before="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FF2593" w:rsidRPr="00330173" w:rsidRDefault="00FF2593" w:rsidP="006947C5">
      <w:pPr>
        <w:pStyle w:val="P00"/>
        <w:spacing w:before="0"/>
        <w:ind w:left="624" w:right="1134"/>
        <w:rPr>
          <w:rStyle w:val="default"/>
          <w:rFonts w:ascii="FrankRuehl" w:hAnsi="FrankRuehl" w:cs="FrankRuehl"/>
          <w:vanish/>
          <w:szCs w:val="20"/>
          <w:shd w:val="clear" w:color="auto" w:fill="FFFF99"/>
          <w:rtl/>
        </w:rPr>
      </w:pPr>
      <w:hyperlink r:id="rId14"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5</w:t>
      </w:r>
    </w:p>
    <w:p w:rsidR="00FF2593" w:rsidRPr="00330173" w:rsidRDefault="00FF2593" w:rsidP="00FF2593">
      <w:pPr>
        <w:pStyle w:val="P00"/>
        <w:ind w:left="624"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(1)</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נותן האשראי יזהה את הלקוח </w:t>
      </w:r>
      <w:r w:rsidRPr="00330173">
        <w:rPr>
          <w:rStyle w:val="default"/>
          <w:rFonts w:cs="FrankRuehl" w:hint="cs"/>
          <w:strike/>
          <w:vanish/>
          <w:sz w:val="16"/>
          <w:szCs w:val="22"/>
          <w:shd w:val="clear" w:color="auto" w:fill="FFFF99"/>
          <w:rtl/>
        </w:rPr>
        <w:t>זיהוי בעצמו</w:t>
      </w:r>
      <w:r w:rsidR="006947C5" w:rsidRPr="00330173">
        <w:rPr>
          <w:rStyle w:val="default"/>
          <w:rFonts w:cs="FrankRuehl" w:hint="cs"/>
          <w:vanish/>
          <w:sz w:val="16"/>
          <w:szCs w:val="22"/>
          <w:shd w:val="clear" w:color="auto" w:fill="FFFF99"/>
          <w:rtl/>
        </w:rPr>
        <w:t xml:space="preserve"> </w:t>
      </w:r>
      <w:r w:rsidR="006947C5" w:rsidRPr="00330173">
        <w:rPr>
          <w:rStyle w:val="default"/>
          <w:rFonts w:cs="FrankRuehl" w:hint="cs"/>
          <w:vanish/>
          <w:sz w:val="16"/>
          <w:szCs w:val="22"/>
          <w:u w:val="single"/>
          <w:shd w:val="clear" w:color="auto" w:fill="FFFF99"/>
          <w:rtl/>
        </w:rPr>
        <w:t>בעצמו</w:t>
      </w:r>
      <w:r w:rsidRPr="00330173">
        <w:rPr>
          <w:rStyle w:val="default"/>
          <w:rFonts w:cs="FrankRuehl" w:hint="cs"/>
          <w:vanish/>
          <w:sz w:val="16"/>
          <w:szCs w:val="22"/>
          <w:shd w:val="clear" w:color="auto" w:fill="FFFF99"/>
          <w:rtl/>
        </w:rPr>
        <w:t xml:space="preserve"> או באמצעות צד שלישי שמבצע זיהוי בעל מהימנות גבוהה, באחת מדרכי הזיהוי האלה:</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(א)</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פנים אל פנים באמצעות תעודה מזהה;</w:t>
      </w:r>
    </w:p>
    <w:p w:rsidR="00FF2593" w:rsidRPr="00330173" w:rsidRDefault="00FF2593" w:rsidP="00FF2593">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(ב)</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שיחת וידאו באמצעות טכנולוגיית היוועדות חזותית, בצירוף שליחת העתק תעודה מזהה בפקסימילה, בדואר אלקטרוני או באמצעי דיגיטלי מאובטח, במהלך השיחה, יחד עם הצגתה במהלך השיחה;</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(ג)</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אימות טלפוני מוקלט או מקוון לפרטים מזהים של הלקוח הנמצאים במאגר מסוים לפי קביעת הממונה לפי סעיף 68 לחוק;</w:t>
      </w:r>
    </w:p>
    <w:p w:rsidR="00FF2593" w:rsidRPr="00330173" w:rsidRDefault="00FF2593" w:rsidP="00FF2593">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(ד)</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קוד זיהוי אישי שהוסכם בין הלקוח לבין הגורם המזהה כאמצעי זיהוי עתידי לאחר שבוצע זיהוי לפי פסקאות (א) עד (ג), שתוקפו או שמספר השימושים בו מוגבלים;</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(ה)</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זיהוי בידי עורך דין או רשם של בית משפט;</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(ו)</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באמצעות תעודה אלקטרונית לאימות כהגדרתה בסעיף 23א לחוק מרשם האוכלוסין או חתימה אלקטרונית מאושרת כהגדרת בחוק חתימה אלקטרונית, התשס"א-2001;</w:t>
      </w:r>
    </w:p>
    <w:p w:rsidR="00FF2593" w:rsidRPr="00330173" w:rsidRDefault="00FF2593" w:rsidP="00FF2593">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(ז)</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 xml:space="preserve">זיהוי של אפוטרופוס או מיופה כוח מתמשך </w:t>
      </w:r>
      <w:r w:rsidRPr="00330173">
        <w:rPr>
          <w:rStyle w:val="default"/>
          <w:rFonts w:cs="FrankRuehl"/>
          <w:strike/>
          <w:vanish/>
          <w:sz w:val="16"/>
          <w:szCs w:val="22"/>
          <w:shd w:val="clear" w:color="auto" w:fill="FFFF99"/>
          <w:rtl/>
        </w:rPr>
        <w:t>–</w:t>
      </w:r>
      <w:r w:rsidRPr="00330173">
        <w:rPr>
          <w:rStyle w:val="default"/>
          <w:rFonts w:cs="FrankRuehl" w:hint="cs"/>
          <w:strike/>
          <w:vanish/>
          <w:sz w:val="16"/>
          <w:szCs w:val="22"/>
          <w:shd w:val="clear" w:color="auto" w:fill="FFFF99"/>
          <w:rtl/>
        </w:rPr>
        <w:t xml:space="preserve"> זיהוי פנים אל פנים באמצעות תעודה מזהה של האפוטרופוס או מיופה הכוח המתמשך, ובמקרה של אפוטרופוס שהוא תאגיד </w:t>
      </w:r>
      <w:r w:rsidRPr="00330173">
        <w:rPr>
          <w:rStyle w:val="default"/>
          <w:rFonts w:cs="FrankRuehl"/>
          <w:strike/>
          <w:vanish/>
          <w:sz w:val="16"/>
          <w:szCs w:val="22"/>
          <w:shd w:val="clear" w:color="auto" w:fill="FFFF99"/>
          <w:rtl/>
        </w:rPr>
        <w:t>–</w:t>
      </w:r>
      <w:r w:rsidRPr="00330173">
        <w:rPr>
          <w:rStyle w:val="default"/>
          <w:rFonts w:cs="FrankRuehl" w:hint="cs"/>
          <w:strike/>
          <w:vanish/>
          <w:sz w:val="16"/>
          <w:szCs w:val="22"/>
          <w:shd w:val="clear" w:color="auto" w:fill="FFFF99"/>
          <w:rtl/>
        </w:rPr>
        <w:t xml:space="preserve"> באמצעות תעודה מזהה של מורשה חתימה או נציג מוסמך מטעם התאגיד שהעתק ממנה יצורף לייפוי הכוח במלווי אישור רואה חשבון או עורך דין של התאגיד;</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strike/>
          <w:vanish/>
          <w:sz w:val="16"/>
          <w:szCs w:val="22"/>
          <w:shd w:val="clear" w:color="auto" w:fill="FFFF99"/>
          <w:rtl/>
        </w:rPr>
        <w:t>(ח)</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אמצעי זיהוי נוסף שקבע הממונה, לפי סעיף 68 לחוק, בהסכמת רשם מאגרי המידע;</w:t>
      </w:r>
    </w:p>
    <w:p w:rsidR="006947C5" w:rsidRPr="00330173" w:rsidRDefault="006947C5"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vanish/>
          <w:sz w:val="16"/>
          <w:szCs w:val="22"/>
          <w:u w:val="single"/>
          <w:shd w:val="clear" w:color="auto" w:fill="FFFF99"/>
          <w:rtl/>
        </w:rPr>
        <w:t>(ח)</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אמצעי זיהוי נוסף שהורה הממונה מכוח סמכותו לפי סעיף 68 לחוק, ובלבד שמדובר בזיהוי ברמת מהימנות גבוהה;</w:t>
      </w:r>
    </w:p>
    <w:p w:rsidR="00FF2593" w:rsidRPr="00330173" w:rsidRDefault="00FF2593" w:rsidP="00FF2593">
      <w:pPr>
        <w:pStyle w:val="P00"/>
        <w:spacing w:before="0"/>
        <w:ind w:left="624"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(2)</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נותן האשראי שזיהה את הלקוח יקבל את הסכמתו, לרבות באמצעות האפוטרופוס או מיופה הכוח המתמשך, במועד הזיהוי, באמצעות טופס ההסכמה ערוך לפי הנוסח שבתוספת השנייה, בשפה שבה בחר הלקוח, באחת מן הדרכים האלה, לפי אופן הזיהוי:</w:t>
      </w:r>
    </w:p>
    <w:p w:rsidR="00FF2593" w:rsidRPr="00330173" w:rsidRDefault="00FF2593" w:rsidP="00FF2593">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(א)</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פנים אל פנים;</w:t>
      </w:r>
    </w:p>
    <w:p w:rsidR="00FF2593" w:rsidRPr="00330173" w:rsidRDefault="00FF2593" w:rsidP="00FF2593">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(ב)</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בטופס הסכמה מקוון;</w:t>
      </w:r>
    </w:p>
    <w:p w:rsidR="00FF2593" w:rsidRPr="00330173" w:rsidRDefault="00FF2593" w:rsidP="00FF2593">
      <w:pPr>
        <w:pStyle w:val="P00"/>
        <w:spacing w:before="0"/>
        <w:ind w:left="1021" w:right="1134"/>
        <w:rPr>
          <w:rStyle w:val="default"/>
          <w:rFonts w:cs="FrankRuehl"/>
          <w:vanish/>
          <w:sz w:val="16"/>
          <w:szCs w:val="22"/>
          <w:shd w:val="clear" w:color="auto" w:fill="FFFF99"/>
          <w:rtl/>
        </w:rPr>
      </w:pPr>
      <w:r w:rsidRPr="00330173">
        <w:rPr>
          <w:rStyle w:val="default"/>
          <w:rFonts w:cs="FrankRuehl" w:hint="cs"/>
          <w:strike/>
          <w:vanish/>
          <w:sz w:val="16"/>
          <w:szCs w:val="22"/>
          <w:shd w:val="clear" w:color="auto" w:fill="FFFF99"/>
          <w:rtl/>
        </w:rPr>
        <w:t>(ג)</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בשיחה טלפונית, או בשיחת היוועדות חזותית; הגורם המזהה ימלא ללקוח את טופס ההסכמה, ובלבד שמיד בסיום השיחה ישלח העתק מהטופס המלא לכתובת הדואר האלקטרוני או מספר הפקסימילה שמסר הלקוח, או שישלח אליו מסרון עם קישור לאתר אינטרנט שבו יוצג לעיונו הטופס המלא או באמצעי דיגיטלי מאובטח אחר, שהוסכם עם הלקוח;</w:t>
      </w:r>
    </w:p>
    <w:p w:rsidR="006947C5" w:rsidRPr="00330173" w:rsidRDefault="006947C5"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vanish/>
          <w:sz w:val="16"/>
          <w:szCs w:val="22"/>
          <w:u w:val="single"/>
          <w:shd w:val="clear" w:color="auto" w:fill="FFFF99"/>
          <w:rtl/>
        </w:rPr>
        <w:t>(2)</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נותן האשראי שזיהה את הלקוח יקבל את הסכמתו, לרבות באמצעות אפוטרופוס או מיופה כוח מתמשך, במועד הזיהוי; אופן קבלת ההסכמה יתבצע בשפה המובנת ללקוח, וההסכמה תכלול פירוט לעניין זהות הלקוח, לפרטי הסכמתו ולתוקפה; הממונה ייתן הוראות לעניין זה מכוח סמכותו לפי סעיף 68 לחוק;</w:t>
      </w:r>
    </w:p>
    <w:p w:rsidR="00FF2593" w:rsidRPr="00330173" w:rsidRDefault="00FF2593" w:rsidP="00FF2593">
      <w:pPr>
        <w:pStyle w:val="P00"/>
        <w:spacing w:before="0"/>
        <w:ind w:left="624"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(3)</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נותן האשראי שמבקש לקבל את הסכמת הלקוח שלא במעמד הזיהוי, יוודא עם הלקוח כי הלקוח מילא את טופס ההסכמה שבתוספת השנייה, על בסיס פרטי קשר שנמסרו במעמד הזיהוי;</w:t>
      </w:r>
    </w:p>
    <w:p w:rsidR="00FF2593" w:rsidRPr="00330173" w:rsidRDefault="00FF2593"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strike/>
          <w:vanish/>
          <w:sz w:val="16"/>
          <w:szCs w:val="22"/>
          <w:shd w:val="clear" w:color="auto" w:fill="FFFF99"/>
          <w:rtl/>
        </w:rPr>
        <w:t>(4)</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נותן האשראי יתעד את הסכמת הלקוח בכתב, לרבות בטופס הסכמה מקוון, או בהקלטה, אם ההסכמה נמסרה בשיחה טלפונית או היוועדות חזותית; מסמך או הקלטה כאמור יישמרו לתקופה של שבע שנים ממועד פקיעת תוקף הסכמת הלקוח;</w:t>
      </w:r>
    </w:p>
    <w:p w:rsidR="006947C5" w:rsidRPr="00330173" w:rsidRDefault="006947C5" w:rsidP="00FF2593">
      <w:pPr>
        <w:pStyle w:val="P00"/>
        <w:spacing w:before="0"/>
        <w:ind w:left="624"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(3)</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על אף האמור בפסקה (2), ניתן לקבל את הסכמת הלקוח גם שלא במועד הזיהוי, לפי הוראות שייתן הממונה לעניין זה מכוח סמכותו לפי סעיף 68 לחוק;</w:t>
      </w:r>
    </w:p>
    <w:p w:rsidR="006947C5" w:rsidRPr="00330173" w:rsidRDefault="006947C5" w:rsidP="00FF2593">
      <w:pPr>
        <w:pStyle w:val="P00"/>
        <w:spacing w:before="0"/>
        <w:ind w:left="624" w:right="1134"/>
        <w:rPr>
          <w:rStyle w:val="default"/>
          <w:rFonts w:cs="FrankRuehl"/>
          <w:vanish/>
          <w:sz w:val="16"/>
          <w:szCs w:val="22"/>
          <w:shd w:val="clear" w:color="auto" w:fill="FFFF99"/>
          <w:rtl/>
        </w:rPr>
      </w:pPr>
      <w:r w:rsidRPr="00330173">
        <w:rPr>
          <w:rStyle w:val="default"/>
          <w:rFonts w:cs="FrankRuehl" w:hint="cs"/>
          <w:vanish/>
          <w:sz w:val="16"/>
          <w:szCs w:val="22"/>
          <w:u w:val="single"/>
          <w:shd w:val="clear" w:color="auto" w:fill="FFFF99"/>
          <w:rtl/>
        </w:rPr>
        <w:t>(4)</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נותן האשראי יתעד את הסכמת הלקוח וישמור את תיעוד ההסכמה לתקופה של שבע שנים ממועד פקיעת תוקף הסכמת הלקוח; נותן האשראי יבטיח ללקוח גישה לתיעוד ההסכמה ולפרטיה;</w:t>
      </w:r>
    </w:p>
    <w:p w:rsidR="00FF2593" w:rsidRPr="006947C5" w:rsidRDefault="00FF2593" w:rsidP="006947C5">
      <w:pPr>
        <w:pStyle w:val="P00"/>
        <w:spacing w:before="0"/>
        <w:ind w:left="624" w:right="1134"/>
        <w:rPr>
          <w:rStyle w:val="default"/>
          <w:rFonts w:cs="FrankRuehl"/>
          <w:sz w:val="2"/>
          <w:szCs w:val="2"/>
          <w:rtl/>
        </w:rPr>
      </w:pPr>
      <w:r w:rsidRPr="00330173">
        <w:rPr>
          <w:rStyle w:val="default"/>
          <w:rFonts w:cs="FrankRuehl" w:hint="cs"/>
          <w:vanish/>
          <w:sz w:val="16"/>
          <w:szCs w:val="22"/>
          <w:shd w:val="clear" w:color="auto" w:fill="FFFF99"/>
          <w:rtl/>
        </w:rPr>
        <w:t>(5)</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נותן האשראי יצהיר במסגרת הבקשה לקבלת נתוני האשראי כי בוצע זיהוי של הלקוח והתקבלה הסכמתו כנדרש </w:t>
      </w:r>
      <w:r w:rsidRPr="00330173">
        <w:rPr>
          <w:rStyle w:val="default"/>
          <w:rFonts w:cs="FrankRuehl" w:hint="cs"/>
          <w:strike/>
          <w:vanish/>
          <w:sz w:val="16"/>
          <w:szCs w:val="22"/>
          <w:shd w:val="clear" w:color="auto" w:fill="FFFF99"/>
          <w:rtl/>
        </w:rPr>
        <w:t>וכי הסכמת הלקוח ניתנה לצורך ביצוע עסקת אשראי מסוימת</w:t>
      </w:r>
      <w:r w:rsidR="006947C5" w:rsidRPr="00330173">
        <w:rPr>
          <w:rStyle w:val="default"/>
          <w:rFonts w:cs="FrankRuehl" w:hint="cs"/>
          <w:vanish/>
          <w:sz w:val="16"/>
          <w:szCs w:val="22"/>
          <w:shd w:val="clear" w:color="auto" w:fill="FFFF99"/>
          <w:rtl/>
        </w:rPr>
        <w:t xml:space="preserve"> </w:t>
      </w:r>
      <w:r w:rsidR="006947C5" w:rsidRPr="00330173">
        <w:rPr>
          <w:rStyle w:val="default"/>
          <w:rFonts w:cs="FrankRuehl" w:hint="cs"/>
          <w:vanish/>
          <w:sz w:val="16"/>
          <w:szCs w:val="22"/>
          <w:u w:val="single"/>
          <w:shd w:val="clear" w:color="auto" w:fill="FFFF99"/>
          <w:rtl/>
        </w:rPr>
        <w:t>ובכלל זה לפי סעיף 26(א)(4) לחוק</w:t>
      </w:r>
      <w:r w:rsidRPr="00330173">
        <w:rPr>
          <w:rStyle w:val="default"/>
          <w:rFonts w:cs="FrankRuehl" w:hint="cs"/>
          <w:vanish/>
          <w:sz w:val="16"/>
          <w:szCs w:val="22"/>
          <w:shd w:val="clear" w:color="auto" w:fill="FFFF99"/>
          <w:rtl/>
        </w:rPr>
        <w:t>;</w:t>
      </w:r>
      <w:bookmarkEnd w:id="17"/>
    </w:p>
    <w:p w:rsidR="00992CEB" w:rsidRPr="00992CEB" w:rsidRDefault="00992CEB" w:rsidP="00992CEB">
      <w:pPr>
        <w:pStyle w:val="medium2-header"/>
        <w:keepLines w:val="0"/>
        <w:spacing w:before="72"/>
        <w:ind w:left="0" w:right="1134"/>
        <w:rPr>
          <w:noProof/>
          <w:rtl/>
        </w:rPr>
      </w:pPr>
      <w:bookmarkStart w:id="18" w:name="med4"/>
      <w:bookmarkEnd w:id="18"/>
      <w:r w:rsidRPr="00992CEB">
        <w:rPr>
          <w:rFonts w:hint="cs"/>
          <w:noProof/>
          <w:rtl/>
        </w:rPr>
        <w:t>פרק ה': ייפוי כוח בתמורה</w:t>
      </w:r>
    </w:p>
    <w:p w:rsidR="00386EF5" w:rsidRDefault="00386EF5" w:rsidP="00386EF5">
      <w:pPr>
        <w:pStyle w:val="P00"/>
        <w:spacing w:before="72"/>
        <w:ind w:left="0" w:right="1134"/>
        <w:rPr>
          <w:rStyle w:val="default"/>
          <w:rFonts w:cs="FrankRuehl"/>
          <w:rtl/>
        </w:rPr>
      </w:pPr>
      <w:bookmarkStart w:id="19" w:name="Seif6"/>
      <w:bookmarkEnd w:id="19"/>
      <w:r>
        <w:rPr>
          <w:lang w:val="he-IL"/>
        </w:rPr>
        <w:pict>
          <v:rect id="_x0000_s2320" style="position:absolute;left:0;text-align:left;margin-left:464.5pt;margin-top:8.05pt;width:75.05pt;height:19.9pt;z-index:251639296" o:allowincell="f" filled="f" stroked="f" strokecolor="lime" strokeweight=".25pt">
            <v:textbox style="mso-next-textbox:#_x0000_s2320" inset="0,0,0,0">
              <w:txbxContent>
                <w:p w:rsidR="00BC191A" w:rsidRDefault="00BC191A" w:rsidP="00386EF5">
                  <w:pPr>
                    <w:spacing w:line="160" w:lineRule="exact"/>
                    <w:jc w:val="left"/>
                    <w:rPr>
                      <w:rFonts w:cs="Miriam"/>
                      <w:szCs w:val="18"/>
                      <w:rtl/>
                    </w:rPr>
                  </w:pPr>
                  <w:r>
                    <w:rPr>
                      <w:rFonts w:cs="Miriam" w:hint="cs"/>
                      <w:szCs w:val="18"/>
                      <w:rtl/>
                    </w:rPr>
                    <w:t>ייפוי כוח בתמורה</w:t>
                  </w:r>
                </w:p>
                <w:p w:rsidR="006947C5" w:rsidRDefault="006947C5" w:rsidP="00386EF5">
                  <w:pPr>
                    <w:spacing w:line="160" w:lineRule="exact"/>
                    <w:jc w:val="left"/>
                    <w:rPr>
                      <w:rFonts w:cs="Miriam" w:hint="cs"/>
                      <w:szCs w:val="18"/>
                      <w:rtl/>
                    </w:rPr>
                  </w:pPr>
                  <w:r>
                    <w:rPr>
                      <w:rFonts w:cs="Miriam" w:hint="cs"/>
                      <w:szCs w:val="18"/>
                      <w:rtl/>
                    </w:rPr>
                    <w:t>תק' תשפ"א-2021</w:t>
                  </w:r>
                </w:p>
              </w:txbxContent>
            </v:textbox>
            <w10:anchorlock/>
          </v:rect>
        </w:pict>
      </w:r>
      <w:r w:rsidR="00992CEB">
        <w:rPr>
          <w:rStyle w:val="big-number"/>
          <w:rFonts w:hint="cs"/>
          <w:rtl/>
        </w:rPr>
        <w:t>6</w:t>
      </w:r>
      <w:r>
        <w:rPr>
          <w:rStyle w:val="default"/>
          <w:rFonts w:cs="FrankRuehl"/>
          <w:rtl/>
        </w:rPr>
        <w:t>.</w:t>
      </w:r>
      <w:r>
        <w:rPr>
          <w:rStyle w:val="default"/>
          <w:rFonts w:cs="FrankRuehl"/>
          <w:rtl/>
        </w:rPr>
        <w:tab/>
      </w:r>
      <w:r w:rsidR="00992CEB">
        <w:rPr>
          <w:rStyle w:val="default"/>
          <w:rFonts w:cs="FrankRuehl" w:hint="cs"/>
          <w:rtl/>
        </w:rPr>
        <w:t>ייפוי כוח בתמורה יהיה ייפוי כוח לקבלת דוח ריכוז נתונים רגיל לשם ייעוץ פיננסי בתחום האשראי</w:t>
      </w:r>
      <w:r w:rsidR="006947C5">
        <w:rPr>
          <w:rStyle w:val="default"/>
          <w:rFonts w:cs="FrankRuehl" w:hint="cs"/>
          <w:rtl/>
        </w:rPr>
        <w:t xml:space="preserve"> </w:t>
      </w:r>
      <w:r w:rsidR="006947C5" w:rsidRPr="006947C5">
        <w:rPr>
          <w:rStyle w:val="default"/>
          <w:rFonts w:cs="FrankRuehl" w:hint="cs"/>
          <w:rtl/>
        </w:rPr>
        <w:t>או לשם מסירתו ללקוח</w:t>
      </w:r>
      <w:r w:rsidR="00992CEB">
        <w:rPr>
          <w:rStyle w:val="default"/>
          <w:rFonts w:cs="FrankRuehl" w:hint="cs"/>
          <w:rtl/>
        </w:rPr>
        <w:t>.</w:t>
      </w:r>
    </w:p>
    <w:p w:rsidR="006947C5" w:rsidRPr="00330173" w:rsidRDefault="006947C5" w:rsidP="006947C5">
      <w:pPr>
        <w:pStyle w:val="P00"/>
        <w:spacing w:before="0"/>
        <w:ind w:left="0" w:right="1134"/>
        <w:rPr>
          <w:rStyle w:val="default"/>
          <w:rFonts w:ascii="FrankRuehl" w:hAnsi="FrankRuehl" w:cs="FrankRuehl"/>
          <w:vanish/>
          <w:color w:val="FF0000"/>
          <w:szCs w:val="20"/>
          <w:shd w:val="clear" w:color="auto" w:fill="FFFF99"/>
          <w:rtl/>
        </w:rPr>
      </w:pPr>
      <w:bookmarkStart w:id="20" w:name="Rov142"/>
      <w:r w:rsidRPr="00330173">
        <w:rPr>
          <w:rStyle w:val="default"/>
          <w:rFonts w:ascii="FrankRuehl" w:hAnsi="FrankRuehl" w:cs="FrankRuehl"/>
          <w:vanish/>
          <w:color w:val="FF0000"/>
          <w:szCs w:val="20"/>
          <w:shd w:val="clear" w:color="auto" w:fill="FFFF99"/>
          <w:rtl/>
        </w:rPr>
        <w:t>מיום 4.3.2021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hyperlink r:id="rId15"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5</w:t>
      </w:r>
    </w:p>
    <w:p w:rsidR="006947C5" w:rsidRPr="006947C5" w:rsidRDefault="006947C5" w:rsidP="006947C5">
      <w:pPr>
        <w:pStyle w:val="P00"/>
        <w:ind w:left="0" w:right="1134"/>
        <w:rPr>
          <w:rStyle w:val="default"/>
          <w:rFonts w:cs="FrankRuehl"/>
          <w:sz w:val="2"/>
          <w:szCs w:val="2"/>
          <w:rtl/>
        </w:rPr>
      </w:pPr>
      <w:r w:rsidRPr="00330173">
        <w:rPr>
          <w:rStyle w:val="default"/>
          <w:rFonts w:cs="FrankRuehl" w:hint="cs"/>
          <w:vanish/>
          <w:sz w:val="16"/>
          <w:szCs w:val="22"/>
          <w:shd w:val="clear" w:color="auto" w:fill="FFFF99"/>
          <w:rtl/>
        </w:rPr>
        <w:t>6</w:t>
      </w:r>
      <w:r w:rsidRPr="00330173">
        <w:rPr>
          <w:rStyle w:val="default"/>
          <w:rFonts w:cs="FrankRuehl"/>
          <w:vanish/>
          <w:sz w:val="16"/>
          <w:szCs w:val="22"/>
          <w:shd w:val="clear" w:color="auto" w:fill="FFFF99"/>
          <w:rtl/>
        </w:rPr>
        <w:t>.</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ייפוי כוח בתמורה יהיה ייפוי כוח לקבלת דוח ריכוז נתונים רגיל לשם ייעוץ פיננסי בתחום האשראי </w:t>
      </w:r>
      <w:r w:rsidRPr="00330173">
        <w:rPr>
          <w:rStyle w:val="default"/>
          <w:rFonts w:cs="FrankRuehl" w:hint="cs"/>
          <w:vanish/>
          <w:sz w:val="16"/>
          <w:szCs w:val="22"/>
          <w:u w:val="single"/>
          <w:shd w:val="clear" w:color="auto" w:fill="FFFF99"/>
          <w:rtl/>
        </w:rPr>
        <w:t>או לשם מסירתו ללקוח</w:t>
      </w:r>
      <w:r w:rsidRPr="00330173">
        <w:rPr>
          <w:rStyle w:val="default"/>
          <w:rFonts w:cs="FrankRuehl" w:hint="cs"/>
          <w:vanish/>
          <w:sz w:val="16"/>
          <w:szCs w:val="22"/>
          <w:shd w:val="clear" w:color="auto" w:fill="FFFF99"/>
          <w:rtl/>
        </w:rPr>
        <w:t>.</w:t>
      </w:r>
      <w:bookmarkEnd w:id="20"/>
    </w:p>
    <w:p w:rsidR="00386EF5" w:rsidRDefault="00386EF5" w:rsidP="00386EF5">
      <w:pPr>
        <w:pStyle w:val="P00"/>
        <w:spacing w:before="72"/>
        <w:ind w:left="0" w:right="1134"/>
        <w:rPr>
          <w:rStyle w:val="default"/>
          <w:rFonts w:cs="FrankRuehl"/>
          <w:rtl/>
        </w:rPr>
      </w:pPr>
      <w:bookmarkStart w:id="21" w:name="Seif7"/>
      <w:bookmarkEnd w:id="21"/>
      <w:r>
        <w:rPr>
          <w:lang w:val="he-IL"/>
        </w:rPr>
        <w:pict>
          <v:rect id="_x0000_s2321" style="position:absolute;left:0;text-align:left;margin-left:464.5pt;margin-top:8.05pt;width:75.05pt;height:29.7pt;z-index:251640320" o:allowincell="f" filled="f" stroked="f" strokecolor="lime" strokeweight=".25pt">
            <v:textbox style="mso-next-textbox:#_x0000_s2321" inset="0,0,0,0">
              <w:txbxContent>
                <w:p w:rsidR="00BC191A" w:rsidRDefault="00BC191A" w:rsidP="00386EF5">
                  <w:pPr>
                    <w:spacing w:line="160" w:lineRule="exact"/>
                    <w:jc w:val="left"/>
                    <w:rPr>
                      <w:rFonts w:cs="Miriam"/>
                      <w:szCs w:val="18"/>
                      <w:rtl/>
                    </w:rPr>
                  </w:pPr>
                  <w:r>
                    <w:rPr>
                      <w:rFonts w:cs="Miriam" w:hint="cs"/>
                      <w:szCs w:val="18"/>
                      <w:rtl/>
                    </w:rPr>
                    <w:t>ייפוי כוח חד-פעמי או מתמשך</w:t>
                  </w:r>
                </w:p>
                <w:p w:rsidR="006947C5" w:rsidRDefault="006947C5" w:rsidP="006947C5">
                  <w:pPr>
                    <w:spacing w:line="160" w:lineRule="exact"/>
                    <w:jc w:val="left"/>
                    <w:rPr>
                      <w:rFonts w:cs="Miriam" w:hint="cs"/>
                      <w:szCs w:val="18"/>
                      <w:rtl/>
                    </w:rPr>
                  </w:pPr>
                  <w:r>
                    <w:rPr>
                      <w:rFonts w:cs="Miriam" w:hint="cs"/>
                      <w:szCs w:val="18"/>
                      <w:rtl/>
                    </w:rPr>
                    <w:t>תק' תשפ"א-2021</w:t>
                  </w:r>
                </w:p>
              </w:txbxContent>
            </v:textbox>
            <w10:anchorlock/>
          </v:rect>
        </w:pict>
      </w:r>
      <w:r w:rsidR="00992CEB">
        <w:rPr>
          <w:rStyle w:val="big-number"/>
          <w:rFonts w:hint="cs"/>
          <w:rtl/>
        </w:rPr>
        <w:t>7</w:t>
      </w:r>
      <w:r>
        <w:rPr>
          <w:rStyle w:val="default"/>
          <w:rFonts w:cs="FrankRuehl"/>
          <w:rtl/>
        </w:rPr>
        <w:t>.</w:t>
      </w:r>
      <w:r>
        <w:rPr>
          <w:rStyle w:val="default"/>
          <w:rFonts w:cs="FrankRuehl"/>
          <w:rtl/>
        </w:rPr>
        <w:tab/>
      </w:r>
      <w:r w:rsidR="006947C5">
        <w:rPr>
          <w:rStyle w:val="default"/>
          <w:rFonts w:cs="FrankRuehl" w:hint="cs"/>
          <w:rtl/>
        </w:rPr>
        <w:t>(א)</w:t>
      </w:r>
      <w:r w:rsidR="006947C5">
        <w:rPr>
          <w:rStyle w:val="default"/>
          <w:rFonts w:cs="FrankRuehl"/>
          <w:rtl/>
        </w:rPr>
        <w:tab/>
      </w:r>
      <w:r w:rsidR="00B9089A">
        <w:rPr>
          <w:rStyle w:val="default"/>
          <w:rFonts w:cs="FrankRuehl" w:hint="cs"/>
          <w:rtl/>
        </w:rPr>
        <w:t xml:space="preserve">ייפוי כוח לפי פרק זה יכול להיות חד-פעמי או לתקופה </w:t>
      </w:r>
      <w:r w:rsidR="006947C5" w:rsidRPr="006947C5">
        <w:rPr>
          <w:rStyle w:val="default"/>
          <w:rFonts w:cs="FrankRuehl" w:hint="cs"/>
          <w:rtl/>
        </w:rPr>
        <w:t xml:space="preserve">שלא תעלה </w:t>
      </w:r>
      <w:r w:rsidR="00B9089A">
        <w:rPr>
          <w:rStyle w:val="default"/>
          <w:rFonts w:cs="FrankRuehl" w:hint="cs"/>
          <w:rtl/>
        </w:rPr>
        <w:t>על שלוש שנים, כפי שהחליט הלקוח.</w:t>
      </w:r>
    </w:p>
    <w:p w:rsidR="006947C5" w:rsidRDefault="006947C5" w:rsidP="006947C5">
      <w:pPr>
        <w:pStyle w:val="P00"/>
        <w:spacing w:before="72"/>
        <w:ind w:left="0" w:right="1134"/>
        <w:rPr>
          <w:rStyle w:val="default"/>
          <w:rFonts w:cs="FrankRuehl"/>
          <w:rtl/>
        </w:rPr>
      </w:pPr>
      <w:r w:rsidRPr="006947C5">
        <w:rPr>
          <w:rStyle w:val="default"/>
          <w:rFonts w:cs="FrankRuehl"/>
          <w:rtl/>
        </w:rPr>
        <w:pict>
          <v:shape id="_x0000_s2358" type="#_x0000_t202" style="position:absolute;left:0;text-align:left;margin-left:470.35pt;margin-top:7.1pt;width:1in;height:10.95pt;z-index:251675136" filled="f" stroked="f">
            <v:textbox inset="1mm,0,1mm,0">
              <w:txbxContent>
                <w:p w:rsidR="006947C5" w:rsidRDefault="006947C5" w:rsidP="006947C5">
                  <w:pPr>
                    <w:spacing w:line="160" w:lineRule="exact"/>
                    <w:jc w:val="left"/>
                    <w:rPr>
                      <w:rFonts w:cs="Miriam" w:hint="cs"/>
                      <w:noProof/>
                      <w:szCs w:val="18"/>
                      <w:rtl/>
                    </w:rPr>
                  </w:pPr>
                  <w:r>
                    <w:rPr>
                      <w:rFonts w:cs="Miriam" w:hint="cs"/>
                      <w:szCs w:val="18"/>
                      <w:rtl/>
                    </w:rPr>
                    <w:t>תק' תשפ"א-2021</w:t>
                  </w:r>
                </w:p>
              </w:txbxContent>
            </v:textbox>
          </v:shape>
        </w:pict>
      </w:r>
      <w:r w:rsidRPr="006947C5">
        <w:rPr>
          <w:rStyle w:val="default"/>
          <w:rFonts w:cs="FrankRuehl"/>
          <w:rtl/>
        </w:rPr>
        <w:tab/>
      </w:r>
      <w:r w:rsidRPr="006947C5">
        <w:rPr>
          <w:rStyle w:val="default"/>
          <w:rFonts w:cs="FrankRuehl" w:hint="cs"/>
          <w:rtl/>
        </w:rPr>
        <w:t>(ב)</w:t>
      </w:r>
      <w:r w:rsidRPr="006947C5">
        <w:rPr>
          <w:rStyle w:val="default"/>
          <w:rFonts w:cs="FrankRuehl"/>
          <w:rtl/>
        </w:rPr>
        <w:tab/>
      </w:r>
      <w:r w:rsidRPr="006947C5">
        <w:rPr>
          <w:rStyle w:val="default"/>
          <w:rFonts w:cs="FrankRuehl" w:hint="cs"/>
          <w:rtl/>
        </w:rPr>
        <w:t>על אף האמור בתקנת משנה (א), ביקש הלקוח כי ייפוי הכוח יהיה לתקופה ארוכה יותר משלוש שנים, יעמוד ייפוי הכוח בתוקפו לתקופה כפי שהחליט הלקוח</w:t>
      </w:r>
      <w:r>
        <w:rPr>
          <w:rStyle w:val="default"/>
          <w:rFonts w:cs="FrankRuehl" w:hint="cs"/>
          <w:rtl/>
        </w:rPr>
        <w:t>.</w:t>
      </w:r>
    </w:p>
    <w:p w:rsidR="006947C5" w:rsidRPr="00330173" w:rsidRDefault="006947C5" w:rsidP="006947C5">
      <w:pPr>
        <w:pStyle w:val="P00"/>
        <w:spacing w:before="0"/>
        <w:ind w:left="0" w:right="1134"/>
        <w:rPr>
          <w:rStyle w:val="default"/>
          <w:rFonts w:ascii="FrankRuehl" w:hAnsi="FrankRuehl" w:cs="FrankRuehl"/>
          <w:vanish/>
          <w:color w:val="FF0000"/>
          <w:szCs w:val="20"/>
          <w:shd w:val="clear" w:color="auto" w:fill="FFFF99"/>
          <w:rtl/>
        </w:rPr>
      </w:pPr>
      <w:bookmarkStart w:id="22" w:name="Rov143"/>
      <w:r w:rsidRPr="00330173">
        <w:rPr>
          <w:rStyle w:val="default"/>
          <w:rFonts w:ascii="FrankRuehl" w:hAnsi="FrankRuehl" w:cs="FrankRuehl"/>
          <w:vanish/>
          <w:color w:val="FF0000"/>
          <w:szCs w:val="20"/>
          <w:shd w:val="clear" w:color="auto" w:fill="FFFF99"/>
          <w:rtl/>
        </w:rPr>
        <w:t>מיום 4.3.2021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hyperlink r:id="rId16"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5</w:t>
      </w:r>
    </w:p>
    <w:p w:rsidR="006947C5" w:rsidRPr="00330173" w:rsidRDefault="006947C5" w:rsidP="006947C5">
      <w:pPr>
        <w:pStyle w:val="P00"/>
        <w:ind w:left="0"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7</w:t>
      </w:r>
      <w:r w:rsidRPr="00330173">
        <w:rPr>
          <w:rStyle w:val="default"/>
          <w:rFonts w:cs="FrankRuehl"/>
          <w:vanish/>
          <w:sz w:val="16"/>
          <w:szCs w:val="22"/>
          <w:shd w:val="clear" w:color="auto" w:fill="FFFF99"/>
          <w:rtl/>
        </w:rPr>
        <w:t>.</w:t>
      </w:r>
      <w:r w:rsidRPr="00330173">
        <w:rPr>
          <w:rStyle w:val="default"/>
          <w:rFonts w:cs="FrankRuehl"/>
          <w:vanish/>
          <w:sz w:val="16"/>
          <w:szCs w:val="22"/>
          <w:shd w:val="clear" w:color="auto" w:fill="FFFF99"/>
          <w:rtl/>
        </w:rPr>
        <w:tab/>
      </w:r>
      <w:r w:rsidRPr="00330173">
        <w:rPr>
          <w:rStyle w:val="default"/>
          <w:rFonts w:cs="FrankRuehl" w:hint="cs"/>
          <w:vanish/>
          <w:sz w:val="16"/>
          <w:szCs w:val="22"/>
          <w:u w:val="single"/>
          <w:shd w:val="clear" w:color="auto" w:fill="FFFF99"/>
          <w:rtl/>
        </w:rPr>
        <w:t>(א)</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ייפוי כוח לפי פרק זה יכול להיות חד-פעמי או לתקופה </w:t>
      </w:r>
      <w:r w:rsidRPr="00330173">
        <w:rPr>
          <w:rStyle w:val="default"/>
          <w:rFonts w:cs="FrankRuehl" w:hint="cs"/>
          <w:strike/>
          <w:vanish/>
          <w:sz w:val="16"/>
          <w:szCs w:val="22"/>
          <w:shd w:val="clear" w:color="auto" w:fill="FFFF99"/>
          <w:rtl/>
        </w:rPr>
        <w:t>ובלבד שהתקופה לא תעלה</w:t>
      </w:r>
      <w:r w:rsidRPr="00330173">
        <w:rPr>
          <w:rStyle w:val="default"/>
          <w:rFonts w:cs="FrankRuehl" w:hint="cs"/>
          <w:vanish/>
          <w:sz w:val="16"/>
          <w:szCs w:val="22"/>
          <w:shd w:val="clear" w:color="auto" w:fill="FFFF99"/>
          <w:rtl/>
        </w:rPr>
        <w:t xml:space="preserve"> </w:t>
      </w:r>
      <w:r w:rsidRPr="00330173">
        <w:rPr>
          <w:rStyle w:val="default"/>
          <w:rFonts w:cs="FrankRuehl" w:hint="cs"/>
          <w:vanish/>
          <w:sz w:val="16"/>
          <w:szCs w:val="22"/>
          <w:u w:val="single"/>
          <w:shd w:val="clear" w:color="auto" w:fill="FFFF99"/>
          <w:rtl/>
        </w:rPr>
        <w:t>שלא תעלה</w:t>
      </w:r>
      <w:r w:rsidRPr="00330173">
        <w:rPr>
          <w:rStyle w:val="default"/>
          <w:rFonts w:cs="FrankRuehl" w:hint="cs"/>
          <w:vanish/>
          <w:sz w:val="16"/>
          <w:szCs w:val="22"/>
          <w:shd w:val="clear" w:color="auto" w:fill="FFFF99"/>
          <w:rtl/>
        </w:rPr>
        <w:t xml:space="preserve"> על שלוש שנים, כפי שהחליט הלקוח.</w:t>
      </w:r>
    </w:p>
    <w:p w:rsidR="006947C5" w:rsidRPr="006947C5" w:rsidRDefault="006947C5" w:rsidP="006947C5">
      <w:pPr>
        <w:pStyle w:val="P00"/>
        <w:spacing w:before="0"/>
        <w:ind w:left="0" w:right="1134"/>
        <w:rPr>
          <w:rStyle w:val="default"/>
          <w:rFonts w:cs="FrankRuehl"/>
          <w:sz w:val="2"/>
          <w:szCs w:val="2"/>
          <w:shd w:val="clear" w:color="auto" w:fill="FFFF99"/>
          <w:rtl/>
        </w:rPr>
      </w:pPr>
      <w:r w:rsidRPr="00330173">
        <w:rPr>
          <w:rStyle w:val="default"/>
          <w:rFonts w:cs="FrankRuehl"/>
          <w:vanish/>
          <w:sz w:val="16"/>
          <w:szCs w:val="22"/>
          <w:shd w:val="clear" w:color="auto" w:fill="FFFF99"/>
          <w:rtl/>
        </w:rPr>
        <w:tab/>
      </w:r>
      <w:r w:rsidRPr="00330173">
        <w:rPr>
          <w:rStyle w:val="default"/>
          <w:rFonts w:cs="FrankRuehl" w:hint="cs"/>
          <w:vanish/>
          <w:sz w:val="16"/>
          <w:szCs w:val="22"/>
          <w:u w:val="single"/>
          <w:shd w:val="clear" w:color="auto" w:fill="FFFF99"/>
          <w:rtl/>
        </w:rPr>
        <w:t>(ב)</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על אף האמור בתקנת משנה (א), ביקש הלקוח כי ייפוי הכוח יהיה לתקופה ארוכה יותר משלוש שנים, יעמוד ייפוי הכוח בתוקפו לתקופה כפי שהחליט הלקוח.</w:t>
      </w:r>
      <w:bookmarkEnd w:id="22"/>
    </w:p>
    <w:p w:rsidR="00386EF5" w:rsidRDefault="00386EF5" w:rsidP="00386EF5">
      <w:pPr>
        <w:pStyle w:val="P00"/>
        <w:spacing w:before="72"/>
        <w:ind w:left="0" w:right="1134"/>
        <w:rPr>
          <w:rStyle w:val="default"/>
          <w:rFonts w:cs="FrankRuehl"/>
          <w:rtl/>
        </w:rPr>
      </w:pPr>
      <w:bookmarkStart w:id="23" w:name="Seif8"/>
      <w:bookmarkEnd w:id="23"/>
      <w:r>
        <w:rPr>
          <w:lang w:val="he-IL"/>
        </w:rPr>
        <w:pict>
          <v:rect id="_x0000_s2322" style="position:absolute;left:0;text-align:left;margin-left:464.5pt;margin-top:8.05pt;width:75.05pt;height:17.8pt;z-index:251641344" o:allowincell="f" filled="f" stroked="f" strokecolor="lime" strokeweight=".25pt">
            <v:textbox style="mso-next-textbox:#_x0000_s2322" inset="0,0,0,0">
              <w:txbxContent>
                <w:p w:rsidR="00BC191A" w:rsidRDefault="00BC191A" w:rsidP="00386EF5">
                  <w:pPr>
                    <w:spacing w:line="160" w:lineRule="exact"/>
                    <w:jc w:val="left"/>
                    <w:rPr>
                      <w:rFonts w:cs="Miriam"/>
                      <w:szCs w:val="18"/>
                      <w:rtl/>
                    </w:rPr>
                  </w:pPr>
                  <w:r>
                    <w:rPr>
                      <w:rFonts w:cs="Miriam" w:hint="cs"/>
                      <w:szCs w:val="18"/>
                      <w:rtl/>
                    </w:rPr>
                    <w:t>ייפוי כוח בכתב</w:t>
                  </w:r>
                </w:p>
                <w:p w:rsidR="006947C5" w:rsidRDefault="006947C5" w:rsidP="006947C5">
                  <w:pPr>
                    <w:spacing w:line="160" w:lineRule="exact"/>
                    <w:jc w:val="left"/>
                    <w:rPr>
                      <w:rFonts w:cs="Miriam" w:hint="cs"/>
                      <w:noProof/>
                      <w:szCs w:val="18"/>
                      <w:rtl/>
                    </w:rPr>
                  </w:pPr>
                  <w:r>
                    <w:rPr>
                      <w:rFonts w:cs="Miriam" w:hint="cs"/>
                      <w:szCs w:val="18"/>
                      <w:rtl/>
                    </w:rPr>
                    <w:t>תק' תשפ"א-2021</w:t>
                  </w:r>
                </w:p>
              </w:txbxContent>
            </v:textbox>
            <w10:anchorlock/>
          </v:rect>
        </w:pict>
      </w:r>
      <w:r w:rsidR="00B9089A">
        <w:rPr>
          <w:rStyle w:val="big-number"/>
          <w:rFonts w:hint="cs"/>
          <w:rtl/>
        </w:rPr>
        <w:t>8</w:t>
      </w:r>
      <w:r>
        <w:rPr>
          <w:rStyle w:val="default"/>
          <w:rFonts w:cs="FrankRuehl"/>
          <w:rtl/>
        </w:rPr>
        <w:t>.</w:t>
      </w:r>
      <w:r>
        <w:rPr>
          <w:rStyle w:val="default"/>
          <w:rFonts w:cs="FrankRuehl"/>
          <w:rtl/>
        </w:rPr>
        <w:tab/>
      </w:r>
      <w:r w:rsidR="00770063" w:rsidRPr="00770063">
        <w:rPr>
          <w:rStyle w:val="default"/>
          <w:rFonts w:cs="FrankRuehl" w:hint="cs"/>
          <w:rtl/>
        </w:rPr>
        <w:t>ייפוי כוח לפי פרק זה יהיה בכתב, לרבות באמצעים מקוונים, בשפה המובנת ללקוח</w:t>
      </w:r>
      <w:r w:rsidR="00B9089A">
        <w:rPr>
          <w:rStyle w:val="default"/>
          <w:rFonts w:cs="FrankRuehl" w:hint="cs"/>
          <w:rtl/>
        </w:rPr>
        <w:t>.</w:t>
      </w:r>
    </w:p>
    <w:p w:rsidR="006947C5" w:rsidRPr="00330173" w:rsidRDefault="006947C5" w:rsidP="006947C5">
      <w:pPr>
        <w:pStyle w:val="P00"/>
        <w:spacing w:before="0"/>
        <w:ind w:left="0" w:right="1134"/>
        <w:rPr>
          <w:rStyle w:val="default"/>
          <w:rFonts w:ascii="FrankRuehl" w:hAnsi="FrankRuehl" w:cs="FrankRuehl"/>
          <w:vanish/>
          <w:color w:val="FF0000"/>
          <w:szCs w:val="20"/>
          <w:shd w:val="clear" w:color="auto" w:fill="FFFF99"/>
          <w:rtl/>
        </w:rPr>
      </w:pPr>
      <w:bookmarkStart w:id="24" w:name="Rov144"/>
      <w:r w:rsidRPr="00330173">
        <w:rPr>
          <w:rStyle w:val="default"/>
          <w:rFonts w:ascii="FrankRuehl" w:hAnsi="FrankRuehl" w:cs="FrankRuehl"/>
          <w:vanish/>
          <w:color w:val="FF0000"/>
          <w:szCs w:val="20"/>
          <w:shd w:val="clear" w:color="auto" w:fill="FFFF99"/>
          <w:rtl/>
        </w:rPr>
        <w:t xml:space="preserve">מיום </w:t>
      </w:r>
      <w:r w:rsidRPr="00330173">
        <w:rPr>
          <w:rStyle w:val="default"/>
          <w:rFonts w:ascii="FrankRuehl" w:hAnsi="FrankRuehl" w:cs="FrankRuehl" w:hint="cs"/>
          <w:vanish/>
          <w:color w:val="FF0000"/>
          <w:szCs w:val="20"/>
          <w:shd w:val="clear" w:color="auto" w:fill="FFFF99"/>
          <w:rtl/>
        </w:rPr>
        <w:t>5.9</w:t>
      </w:r>
      <w:r w:rsidRPr="00330173">
        <w:rPr>
          <w:rStyle w:val="default"/>
          <w:rFonts w:ascii="FrankRuehl" w:hAnsi="FrankRuehl" w:cs="FrankRuehl"/>
          <w:vanish/>
          <w:color w:val="FF0000"/>
          <w:szCs w:val="20"/>
          <w:shd w:val="clear" w:color="auto" w:fill="FFFF99"/>
          <w:rtl/>
        </w:rPr>
        <w:t>.2021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hyperlink r:id="rId17"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5</w:t>
      </w:r>
    </w:p>
    <w:p w:rsidR="006947C5" w:rsidRPr="00330173" w:rsidRDefault="006947C5" w:rsidP="006947C5">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b/>
          <w:bCs/>
          <w:vanish/>
          <w:szCs w:val="20"/>
          <w:shd w:val="clear" w:color="auto" w:fill="FFFF99"/>
          <w:rtl/>
        </w:rPr>
        <w:t>החלפת תקנה 8</w:t>
      </w:r>
    </w:p>
    <w:p w:rsidR="006947C5" w:rsidRPr="00330173" w:rsidRDefault="006947C5" w:rsidP="006947C5">
      <w:pPr>
        <w:pStyle w:val="P0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vanish/>
          <w:szCs w:val="20"/>
          <w:shd w:val="clear" w:color="auto" w:fill="FFFF99"/>
          <w:rtl/>
        </w:rPr>
        <w:t>הנוסח הקודם:</w:t>
      </w:r>
    </w:p>
    <w:p w:rsidR="006947C5" w:rsidRPr="00330173" w:rsidRDefault="006947C5" w:rsidP="006947C5">
      <w:pPr>
        <w:pStyle w:val="P00"/>
        <w:spacing w:before="20"/>
        <w:ind w:left="0" w:right="1134"/>
        <w:rPr>
          <w:rStyle w:val="default"/>
          <w:rFonts w:ascii="Miriam" w:hAnsi="Miriam" w:cs="Miriam"/>
          <w:strike/>
          <w:vanish/>
          <w:sz w:val="16"/>
          <w:szCs w:val="16"/>
          <w:shd w:val="clear" w:color="auto" w:fill="FFFF99"/>
          <w:rtl/>
        </w:rPr>
      </w:pPr>
      <w:r w:rsidRPr="00330173">
        <w:rPr>
          <w:rStyle w:val="default"/>
          <w:rFonts w:ascii="Miriam" w:hAnsi="Miriam" w:cs="Miriam"/>
          <w:strike/>
          <w:vanish/>
          <w:sz w:val="16"/>
          <w:szCs w:val="16"/>
          <w:shd w:val="clear" w:color="auto" w:fill="FFFF99"/>
          <w:rtl/>
        </w:rPr>
        <w:t>ייפוי כוח בכתב</w:t>
      </w:r>
    </w:p>
    <w:p w:rsidR="006947C5" w:rsidRPr="009F6D00" w:rsidRDefault="006947C5" w:rsidP="009F6D00">
      <w:pPr>
        <w:pStyle w:val="P00"/>
        <w:spacing w:before="0"/>
        <w:ind w:left="0" w:right="1134"/>
        <w:rPr>
          <w:rStyle w:val="default"/>
          <w:rFonts w:cs="FrankRuehl"/>
          <w:strike/>
          <w:sz w:val="2"/>
          <w:szCs w:val="2"/>
          <w:shd w:val="clear" w:color="auto" w:fill="FFFF99"/>
          <w:rtl/>
        </w:rPr>
      </w:pPr>
      <w:r w:rsidRPr="00330173">
        <w:rPr>
          <w:rStyle w:val="default"/>
          <w:rFonts w:cs="FrankRuehl" w:hint="cs"/>
          <w:strike/>
          <w:vanish/>
          <w:sz w:val="16"/>
          <w:szCs w:val="22"/>
          <w:shd w:val="clear" w:color="auto" w:fill="FFFF99"/>
          <w:rtl/>
        </w:rPr>
        <w:t>8</w:t>
      </w:r>
      <w:r w:rsidRPr="00330173">
        <w:rPr>
          <w:rStyle w:val="default"/>
          <w:rFonts w:cs="FrankRuehl"/>
          <w:strike/>
          <w:vanish/>
          <w:sz w:val="16"/>
          <w:szCs w:val="22"/>
          <w:shd w:val="clear" w:color="auto" w:fill="FFFF99"/>
          <w:rtl/>
        </w:rPr>
        <w:t>.</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ייפוי כוח לפי פרק זה יהיה בכתב, לרבות באמצעים מקוונים, באמצעות טופס ייפוי הכוח ערוך לפי הנוסח שבתוספת השלישית, בשפה שבה בחר הלקוח.</w:t>
      </w:r>
      <w:bookmarkEnd w:id="24"/>
    </w:p>
    <w:p w:rsidR="00386EF5" w:rsidRDefault="00386EF5" w:rsidP="00386EF5">
      <w:pPr>
        <w:pStyle w:val="P00"/>
        <w:spacing w:before="72"/>
        <w:ind w:left="0" w:right="1134"/>
        <w:rPr>
          <w:rStyle w:val="default"/>
          <w:rFonts w:cs="FrankRuehl"/>
          <w:rtl/>
        </w:rPr>
      </w:pPr>
      <w:bookmarkStart w:id="25" w:name="Seif9"/>
      <w:bookmarkEnd w:id="25"/>
      <w:r>
        <w:rPr>
          <w:lang w:val="he-IL"/>
        </w:rPr>
        <w:pict>
          <v:rect id="_x0000_s2323" style="position:absolute;left:0;text-align:left;margin-left:464.5pt;margin-top:8.05pt;width:75.05pt;height:16.75pt;z-index:251642368" o:allowincell="f" filled="f" stroked="f" strokecolor="lime" strokeweight=".25pt">
            <v:textbox style="mso-next-textbox:#_x0000_s2323" inset="0,0,0,0">
              <w:txbxContent>
                <w:p w:rsidR="00BC191A" w:rsidRDefault="00BC191A" w:rsidP="00386EF5">
                  <w:pPr>
                    <w:spacing w:line="160" w:lineRule="exact"/>
                    <w:jc w:val="left"/>
                    <w:rPr>
                      <w:rFonts w:cs="Miriam" w:hint="cs"/>
                      <w:szCs w:val="18"/>
                      <w:rtl/>
                    </w:rPr>
                  </w:pPr>
                  <w:r>
                    <w:rPr>
                      <w:rFonts w:cs="Miriam" w:hint="cs"/>
                      <w:szCs w:val="18"/>
                      <w:rtl/>
                    </w:rPr>
                    <w:t>הצהרת מיופה כוח בתמורה</w:t>
                  </w:r>
                </w:p>
              </w:txbxContent>
            </v:textbox>
            <w10:anchorlock/>
          </v:rect>
        </w:pict>
      </w:r>
      <w:r w:rsidR="00B9089A">
        <w:rPr>
          <w:rStyle w:val="big-number"/>
          <w:rFonts w:hint="cs"/>
          <w:rtl/>
        </w:rPr>
        <w:t>9</w:t>
      </w:r>
      <w:r>
        <w:rPr>
          <w:rStyle w:val="default"/>
          <w:rFonts w:cs="FrankRuehl"/>
          <w:rtl/>
        </w:rPr>
        <w:t>.</w:t>
      </w:r>
      <w:r>
        <w:rPr>
          <w:rStyle w:val="default"/>
          <w:rFonts w:cs="FrankRuehl"/>
          <w:rtl/>
        </w:rPr>
        <w:tab/>
      </w:r>
      <w:r w:rsidR="00B9089A">
        <w:rPr>
          <w:rStyle w:val="default"/>
          <w:rFonts w:cs="FrankRuehl" w:hint="cs"/>
          <w:rtl/>
        </w:rPr>
        <w:t>מיופה כוח בתמורה יעמיד לעיונו של הלקוח התחייבות בדבר עמידתו בחוק נתוני אשראי.</w:t>
      </w:r>
    </w:p>
    <w:p w:rsidR="00386EF5" w:rsidRDefault="00386EF5" w:rsidP="00386EF5">
      <w:pPr>
        <w:pStyle w:val="P00"/>
        <w:spacing w:before="72"/>
        <w:ind w:left="0" w:right="1134"/>
        <w:rPr>
          <w:rStyle w:val="default"/>
          <w:rFonts w:cs="FrankRuehl"/>
          <w:rtl/>
        </w:rPr>
      </w:pPr>
      <w:bookmarkStart w:id="26" w:name="Seif10"/>
      <w:bookmarkEnd w:id="26"/>
      <w:r>
        <w:rPr>
          <w:lang w:val="he-IL"/>
        </w:rPr>
        <w:pict>
          <v:rect id="_x0000_s2324" style="position:absolute;left:0;text-align:left;margin-left:464.5pt;margin-top:8.05pt;width:75.05pt;height:35.55pt;z-index:251643392" o:allowincell="f" filled="f" stroked="f" strokecolor="lime" strokeweight=".25pt">
            <v:textbox style="mso-next-textbox:#_x0000_s2324" inset="0,0,0,0">
              <w:txbxContent>
                <w:p w:rsidR="00BC191A" w:rsidRDefault="00BC191A" w:rsidP="00386EF5">
                  <w:pPr>
                    <w:spacing w:line="160" w:lineRule="exact"/>
                    <w:jc w:val="left"/>
                    <w:rPr>
                      <w:rFonts w:cs="Miriam" w:hint="cs"/>
                      <w:szCs w:val="18"/>
                      <w:rtl/>
                    </w:rPr>
                  </w:pPr>
                  <w:r>
                    <w:rPr>
                      <w:rFonts w:cs="Miriam" w:hint="cs"/>
                      <w:szCs w:val="18"/>
                      <w:rtl/>
                    </w:rPr>
                    <w:t>הוכחת קיומם של תנאים להעברת דוח ריכוז נתונים רגיל למיופה כוח בתמורה</w:t>
                  </w:r>
                </w:p>
              </w:txbxContent>
            </v:textbox>
            <w10:anchorlock/>
          </v:rect>
        </w:pict>
      </w:r>
      <w:r>
        <w:rPr>
          <w:rStyle w:val="big-number"/>
          <w:rFonts w:hint="cs"/>
          <w:rtl/>
        </w:rPr>
        <w:t>10</w:t>
      </w:r>
      <w:r>
        <w:rPr>
          <w:rStyle w:val="default"/>
          <w:rFonts w:cs="FrankRuehl"/>
          <w:rtl/>
        </w:rPr>
        <w:t>.</w:t>
      </w:r>
      <w:r>
        <w:rPr>
          <w:rStyle w:val="default"/>
          <w:rFonts w:cs="FrankRuehl"/>
          <w:rtl/>
        </w:rPr>
        <w:tab/>
      </w:r>
      <w:r w:rsidR="001E46A2">
        <w:rPr>
          <w:rStyle w:val="default"/>
          <w:rFonts w:cs="FrankRuehl" w:hint="cs"/>
          <w:rtl/>
        </w:rPr>
        <w:t>אופן הוכחת קיומם של תנאים להעברת דוח ריכוז נתונים רגיל למיופה כוח בתמורה לפי סעיף 42(ב) לחוק:</w:t>
      </w:r>
    </w:p>
    <w:p w:rsidR="001E46A2" w:rsidRDefault="009F6D00" w:rsidP="009F6D00">
      <w:pPr>
        <w:pStyle w:val="P00"/>
        <w:spacing w:before="72"/>
        <w:ind w:left="624" w:right="1134"/>
        <w:rPr>
          <w:rStyle w:val="default"/>
          <w:rFonts w:cs="FrankRuehl"/>
          <w:rtl/>
        </w:rPr>
      </w:pPr>
      <w:r w:rsidRPr="00FF2593">
        <w:rPr>
          <w:rStyle w:val="default"/>
          <w:rFonts w:cs="FrankRuehl"/>
          <w:rtl/>
        </w:rPr>
        <w:pict>
          <v:shape id="_x0000_s2360" type="#_x0000_t202" style="position:absolute;left:0;text-align:left;margin-left:470.35pt;margin-top:7.1pt;width:1in;height:10.95pt;z-index:251676160" filled="f" stroked="f">
            <v:textbox inset="1mm,0,1mm,0">
              <w:txbxContent>
                <w:p w:rsidR="009F6D00" w:rsidRDefault="009F6D00" w:rsidP="009F6D00">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(1)</w:t>
      </w:r>
      <w:r w:rsidRPr="00FF2593">
        <w:rPr>
          <w:rStyle w:val="default"/>
          <w:rFonts w:cs="FrankRuehl"/>
          <w:rtl/>
        </w:rPr>
        <w:tab/>
      </w:r>
      <w:r w:rsidR="006C52FF">
        <w:rPr>
          <w:rStyle w:val="default"/>
          <w:rFonts w:cs="FrankRuehl" w:hint="cs"/>
          <w:rtl/>
        </w:rPr>
        <w:t xml:space="preserve">לשכת אשראי תעביר דוח ריכוז נתונים רגיל למיופה הכוח בתמורה לאחר שזיהתה אותו </w:t>
      </w:r>
      <w:r>
        <w:rPr>
          <w:rStyle w:val="default"/>
          <w:rFonts w:cs="FrankRuehl" w:hint="cs"/>
          <w:rtl/>
        </w:rPr>
        <w:t>לפי תקנה 5</w:t>
      </w:r>
      <w:r w:rsidR="006C52FF">
        <w:rPr>
          <w:rStyle w:val="default"/>
          <w:rFonts w:cs="FrankRuehl" w:hint="cs"/>
          <w:rtl/>
        </w:rPr>
        <w:t>;</w:t>
      </w:r>
    </w:p>
    <w:p w:rsidR="006C52FF" w:rsidRDefault="006C52FF" w:rsidP="001E46A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לשכת האשראי וידאה כי מיופה הכוח בתמורה רשום במרשם מיופי כוח בתמורה ולפי המרשם לא הוגבלה או נאסרה פעולתו;</w:t>
      </w:r>
    </w:p>
    <w:p w:rsidR="006C52FF" w:rsidRDefault="006C52FF" w:rsidP="001E46A2">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322940">
        <w:rPr>
          <w:rStyle w:val="default"/>
          <w:rFonts w:cs="FrankRuehl" w:hint="cs"/>
          <w:rtl/>
        </w:rPr>
        <w:t>מיופה הכוח בתמורה הצהיר לפני לשכת האשראי כי הלקוח ייפה את כוחו, וייפוי הכוח נמצא ברשותו;</w:t>
      </w:r>
    </w:p>
    <w:p w:rsidR="00322940" w:rsidRDefault="00322940" w:rsidP="001E46A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לשכת האשראי הצהירה לפני בנק ישראל כי זיהתה את מיופה הכוח בתמורה והתקיימו שאר התנאים הקבועים בתקנה זו.</w:t>
      </w:r>
    </w:p>
    <w:p w:rsidR="009F6D00" w:rsidRPr="00330173" w:rsidRDefault="009F6D00" w:rsidP="009F6D00">
      <w:pPr>
        <w:pStyle w:val="P00"/>
        <w:spacing w:before="0"/>
        <w:ind w:left="624" w:right="1134"/>
        <w:rPr>
          <w:rStyle w:val="default"/>
          <w:rFonts w:ascii="FrankRuehl" w:hAnsi="FrankRuehl" w:cs="FrankRuehl"/>
          <w:vanish/>
          <w:color w:val="FF0000"/>
          <w:szCs w:val="20"/>
          <w:shd w:val="clear" w:color="auto" w:fill="FFFF99"/>
          <w:rtl/>
        </w:rPr>
      </w:pPr>
      <w:bookmarkStart w:id="27" w:name="Rov145"/>
      <w:r w:rsidRPr="00330173">
        <w:rPr>
          <w:rStyle w:val="default"/>
          <w:rFonts w:ascii="FrankRuehl" w:hAnsi="FrankRuehl" w:cs="FrankRuehl"/>
          <w:vanish/>
          <w:color w:val="FF0000"/>
          <w:szCs w:val="20"/>
          <w:shd w:val="clear" w:color="auto" w:fill="FFFF99"/>
          <w:rtl/>
        </w:rPr>
        <w:t xml:space="preserve">מיום </w:t>
      </w:r>
      <w:r w:rsidRPr="00330173">
        <w:rPr>
          <w:rStyle w:val="default"/>
          <w:rFonts w:ascii="FrankRuehl" w:hAnsi="FrankRuehl" w:cs="FrankRuehl" w:hint="cs"/>
          <w:vanish/>
          <w:color w:val="FF0000"/>
          <w:szCs w:val="20"/>
          <w:shd w:val="clear" w:color="auto" w:fill="FFFF99"/>
          <w:rtl/>
        </w:rPr>
        <w:t>4.3</w:t>
      </w:r>
      <w:r w:rsidRPr="00330173">
        <w:rPr>
          <w:rStyle w:val="default"/>
          <w:rFonts w:ascii="FrankRuehl" w:hAnsi="FrankRuehl" w:cs="FrankRuehl"/>
          <w:vanish/>
          <w:color w:val="FF0000"/>
          <w:szCs w:val="20"/>
          <w:shd w:val="clear" w:color="auto" w:fill="FFFF99"/>
          <w:rtl/>
        </w:rPr>
        <w:t>.2021</w:t>
      </w:r>
    </w:p>
    <w:p w:rsidR="009F6D00" w:rsidRPr="00330173" w:rsidRDefault="009F6D00" w:rsidP="009F6D00">
      <w:pPr>
        <w:pStyle w:val="P00"/>
        <w:spacing w:before="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9F6D00" w:rsidRPr="00330173" w:rsidRDefault="009F6D00" w:rsidP="009F6D00">
      <w:pPr>
        <w:pStyle w:val="P00"/>
        <w:spacing w:before="0"/>
        <w:ind w:left="624" w:right="1134"/>
        <w:rPr>
          <w:rStyle w:val="default"/>
          <w:rFonts w:ascii="FrankRuehl" w:hAnsi="FrankRuehl" w:cs="FrankRuehl"/>
          <w:vanish/>
          <w:szCs w:val="20"/>
          <w:shd w:val="clear" w:color="auto" w:fill="FFFF99"/>
          <w:rtl/>
        </w:rPr>
      </w:pPr>
      <w:hyperlink r:id="rId18"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5</w:t>
      </w:r>
    </w:p>
    <w:p w:rsidR="009F6D00" w:rsidRPr="00330173" w:rsidRDefault="009F6D00" w:rsidP="009F6D00">
      <w:pPr>
        <w:pStyle w:val="P00"/>
        <w:spacing w:before="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hint="cs"/>
          <w:b/>
          <w:bCs/>
          <w:vanish/>
          <w:szCs w:val="20"/>
          <w:shd w:val="clear" w:color="auto" w:fill="FFFF99"/>
          <w:rtl/>
        </w:rPr>
        <w:t>החלפת פסקה 10(1)</w:t>
      </w:r>
    </w:p>
    <w:p w:rsidR="009F6D00" w:rsidRPr="00330173" w:rsidRDefault="009F6D00" w:rsidP="009F6D00">
      <w:pPr>
        <w:pStyle w:val="P0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hint="cs"/>
          <w:vanish/>
          <w:szCs w:val="20"/>
          <w:shd w:val="clear" w:color="auto" w:fill="FFFF99"/>
          <w:rtl/>
        </w:rPr>
        <w:t>הנוסח הקודם:</w:t>
      </w:r>
    </w:p>
    <w:p w:rsidR="009F6D00" w:rsidRPr="009F6D00" w:rsidRDefault="009F6D00" w:rsidP="009F6D00">
      <w:pPr>
        <w:pStyle w:val="P00"/>
        <w:spacing w:before="0"/>
        <w:ind w:left="624" w:right="1134"/>
        <w:rPr>
          <w:rStyle w:val="default"/>
          <w:rFonts w:cs="FrankRuehl"/>
          <w:strike/>
          <w:sz w:val="2"/>
          <w:szCs w:val="2"/>
          <w:rtl/>
        </w:rPr>
      </w:pPr>
      <w:r w:rsidRPr="00330173">
        <w:rPr>
          <w:rStyle w:val="default"/>
          <w:rFonts w:cs="FrankRuehl" w:hint="cs"/>
          <w:strike/>
          <w:vanish/>
          <w:sz w:val="16"/>
          <w:szCs w:val="22"/>
          <w:shd w:val="clear" w:color="auto" w:fill="FFFF99"/>
          <w:rtl/>
        </w:rPr>
        <w:t>(1)</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לשכת אשראי תעביר דוח ריכוז נתונים רגיל למיופה הכוח בתמורה לאחר שזיהתה אותו באמצעי הזיהוי המפורטים בתקנה 5(1) או באמצעות קוד זיהוי אישי שנתן הממונה או לשכת האשראי למיופה הכוח בתמורה;</w:t>
      </w:r>
      <w:bookmarkEnd w:id="27"/>
    </w:p>
    <w:p w:rsidR="00386EF5" w:rsidRDefault="00386EF5" w:rsidP="00386EF5">
      <w:pPr>
        <w:pStyle w:val="P00"/>
        <w:spacing w:before="72"/>
        <w:ind w:left="0" w:right="1134"/>
        <w:rPr>
          <w:rStyle w:val="default"/>
          <w:rFonts w:cs="FrankRuehl"/>
          <w:rtl/>
        </w:rPr>
      </w:pPr>
      <w:bookmarkStart w:id="28" w:name="Seif11"/>
      <w:bookmarkEnd w:id="28"/>
      <w:r>
        <w:rPr>
          <w:lang w:val="he-IL"/>
        </w:rPr>
        <w:pict>
          <v:rect id="_x0000_s2325" style="position:absolute;left:0;text-align:left;margin-left:464.5pt;margin-top:8.05pt;width:75.05pt;height:35.25pt;z-index:251644416" o:allowincell="f" filled="f" stroked="f" strokecolor="lime" strokeweight=".25pt">
            <v:textbox style="mso-next-textbox:#_x0000_s2325" inset="0,0,0,0">
              <w:txbxContent>
                <w:p w:rsidR="00BC191A" w:rsidRDefault="00BC191A" w:rsidP="00386EF5">
                  <w:pPr>
                    <w:spacing w:line="160" w:lineRule="exact"/>
                    <w:jc w:val="left"/>
                    <w:rPr>
                      <w:rFonts w:cs="Miriam"/>
                      <w:szCs w:val="18"/>
                      <w:rtl/>
                    </w:rPr>
                  </w:pPr>
                  <w:r>
                    <w:rPr>
                      <w:rFonts w:cs="Miriam" w:hint="cs"/>
                      <w:szCs w:val="18"/>
                      <w:rtl/>
                    </w:rPr>
                    <w:t>תקופת החזקת נתוני אשראי בידי מיופה כוח בתמורה</w:t>
                  </w:r>
                </w:p>
                <w:p w:rsidR="009F6D00" w:rsidRDefault="009F6D00" w:rsidP="009F6D00">
                  <w:pPr>
                    <w:spacing w:line="160" w:lineRule="exact"/>
                    <w:jc w:val="left"/>
                    <w:rPr>
                      <w:rFonts w:cs="Miriam" w:hint="cs"/>
                      <w:noProof/>
                      <w:szCs w:val="18"/>
                      <w:rtl/>
                    </w:rPr>
                  </w:pPr>
                  <w:r>
                    <w:rPr>
                      <w:rFonts w:cs="Miriam" w:hint="cs"/>
                      <w:szCs w:val="18"/>
                      <w:rtl/>
                    </w:rPr>
                    <w:t>תק' תשפ"א-2021</w:t>
                  </w:r>
                </w:p>
              </w:txbxContent>
            </v:textbox>
            <w10:anchorlock/>
          </v:rect>
        </w:pict>
      </w:r>
      <w:r>
        <w:rPr>
          <w:rStyle w:val="big-number"/>
          <w:rFonts w:hint="cs"/>
          <w:rtl/>
        </w:rPr>
        <w:t>1</w:t>
      </w:r>
      <w:r w:rsidR="00322940">
        <w:rPr>
          <w:rStyle w:val="big-number"/>
          <w:rFonts w:hint="cs"/>
          <w:rtl/>
        </w:rPr>
        <w:t>1</w:t>
      </w:r>
      <w:r>
        <w:rPr>
          <w:rStyle w:val="default"/>
          <w:rFonts w:cs="FrankRuehl"/>
          <w:rtl/>
        </w:rPr>
        <w:t>.</w:t>
      </w:r>
      <w:r>
        <w:rPr>
          <w:rStyle w:val="default"/>
          <w:rFonts w:cs="FrankRuehl"/>
          <w:rtl/>
        </w:rPr>
        <w:tab/>
      </w:r>
      <w:r w:rsidR="00871F02">
        <w:rPr>
          <w:rStyle w:val="default"/>
          <w:rFonts w:cs="FrankRuehl" w:hint="cs"/>
          <w:rtl/>
        </w:rPr>
        <w:t>(א)</w:t>
      </w:r>
      <w:r w:rsidR="00871F02">
        <w:rPr>
          <w:rStyle w:val="default"/>
          <w:rFonts w:cs="FrankRuehl"/>
          <w:rtl/>
        </w:rPr>
        <w:tab/>
      </w:r>
      <w:r w:rsidR="00871F02">
        <w:rPr>
          <w:rStyle w:val="default"/>
          <w:rFonts w:cs="FrankRuehl" w:hint="cs"/>
          <w:rtl/>
        </w:rPr>
        <w:t xml:space="preserve">מיופה כוח בתמורה יחזיק בדוח ריכוז נתונים רגיל לגבי לקוח לתקופה שאינה עולה על 60 ימים מיום הפקת הדוח או עד למועד שבו הסתיימה תקופת ההסכם למתן השירות עם הלקוח, לפי המוקדם מביניהם; </w:t>
      </w:r>
      <w:r w:rsidR="009F6D00" w:rsidRPr="009F6D00">
        <w:rPr>
          <w:rStyle w:val="default"/>
          <w:rFonts w:cs="FrankRuehl" w:hint="cs"/>
          <w:rtl/>
        </w:rPr>
        <w:t xml:space="preserve">אם השירות שנותן מיופה כוח בתמורה הוא ייעוץ פיננסי בתחום האשראי, מיופה כוח במתורה רשאי להחזיק בדוח ריכוז נתונים רגיל או בנתוני אשראי הנוגעים לייעוץ לתקופה ארוכה יותר אם ניתנה לכך הסכמה מפורשת של הלקוח, ובלבד שלא תעלה על תקופה של שבע שנים; </w:t>
      </w:r>
      <w:r w:rsidR="00871F02">
        <w:rPr>
          <w:rStyle w:val="default"/>
          <w:rFonts w:cs="FrankRuehl" w:hint="cs"/>
          <w:rtl/>
        </w:rPr>
        <w:t>אין באמור כדי לגרוע מאפשרותו של מיופה הכוח בתמורה לקבל דוח ריכוז נתונים רגיל לגבי לקוח, מעודכן, לפי תקופת ההתקשרות הקבועה בייפוי הכוח.</w:t>
      </w:r>
    </w:p>
    <w:p w:rsidR="00871F02" w:rsidRDefault="00871F02"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70495">
        <w:rPr>
          <w:rStyle w:val="default"/>
          <w:rFonts w:cs="FrankRuehl" w:hint="cs"/>
          <w:rtl/>
        </w:rPr>
        <w:t>בחלוף המועד כאמור בתקנת משנה (א), מיופה הכוח בתמורה ימחק את דוח ריכוז הנתונים הרגיל לגבי הלקוח, כך שלא יהיה ניתן לאחזר את הנתונים.</w:t>
      </w:r>
    </w:p>
    <w:p w:rsidR="009F6D00" w:rsidRPr="00330173" w:rsidRDefault="009F6D00" w:rsidP="009F6D00">
      <w:pPr>
        <w:pStyle w:val="P00"/>
        <w:spacing w:before="0"/>
        <w:ind w:left="0" w:right="1134"/>
        <w:rPr>
          <w:rStyle w:val="default"/>
          <w:rFonts w:ascii="FrankRuehl" w:hAnsi="FrankRuehl" w:cs="FrankRuehl"/>
          <w:vanish/>
          <w:color w:val="FF0000"/>
          <w:szCs w:val="20"/>
          <w:shd w:val="clear" w:color="auto" w:fill="FFFF99"/>
          <w:rtl/>
        </w:rPr>
      </w:pPr>
      <w:bookmarkStart w:id="29" w:name="Rov146"/>
      <w:r w:rsidRPr="00330173">
        <w:rPr>
          <w:rStyle w:val="default"/>
          <w:rFonts w:ascii="FrankRuehl" w:hAnsi="FrankRuehl" w:cs="FrankRuehl"/>
          <w:vanish/>
          <w:color w:val="FF0000"/>
          <w:szCs w:val="20"/>
          <w:shd w:val="clear" w:color="auto" w:fill="FFFF99"/>
          <w:rtl/>
        </w:rPr>
        <w:t xml:space="preserve">מיום </w:t>
      </w:r>
      <w:r w:rsidRPr="00330173">
        <w:rPr>
          <w:rStyle w:val="default"/>
          <w:rFonts w:ascii="FrankRuehl" w:hAnsi="FrankRuehl" w:cs="FrankRuehl" w:hint="cs"/>
          <w:vanish/>
          <w:color w:val="FF0000"/>
          <w:szCs w:val="20"/>
          <w:shd w:val="clear" w:color="auto" w:fill="FFFF99"/>
          <w:rtl/>
        </w:rPr>
        <w:t>4.3</w:t>
      </w:r>
      <w:r w:rsidRPr="00330173">
        <w:rPr>
          <w:rStyle w:val="default"/>
          <w:rFonts w:ascii="FrankRuehl" w:hAnsi="FrankRuehl" w:cs="FrankRuehl"/>
          <w:vanish/>
          <w:color w:val="FF0000"/>
          <w:szCs w:val="20"/>
          <w:shd w:val="clear" w:color="auto" w:fill="FFFF99"/>
          <w:rtl/>
        </w:rPr>
        <w:t>.2021</w:t>
      </w:r>
    </w:p>
    <w:p w:rsidR="009F6D00" w:rsidRPr="00330173" w:rsidRDefault="009F6D00" w:rsidP="009F6D00">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9F6D00" w:rsidRPr="00330173" w:rsidRDefault="009F6D00" w:rsidP="009F6D00">
      <w:pPr>
        <w:pStyle w:val="P00"/>
        <w:spacing w:before="0"/>
        <w:ind w:left="0" w:right="1134"/>
        <w:rPr>
          <w:rStyle w:val="default"/>
          <w:rFonts w:ascii="FrankRuehl" w:hAnsi="FrankRuehl" w:cs="FrankRuehl"/>
          <w:vanish/>
          <w:szCs w:val="20"/>
          <w:shd w:val="clear" w:color="auto" w:fill="FFFF99"/>
          <w:rtl/>
        </w:rPr>
      </w:pPr>
      <w:hyperlink r:id="rId19"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6</w:t>
      </w:r>
    </w:p>
    <w:p w:rsidR="009F6D00" w:rsidRPr="009F6D00" w:rsidRDefault="009F6D00" w:rsidP="009F6D00">
      <w:pPr>
        <w:pStyle w:val="P00"/>
        <w:ind w:left="0" w:right="1134"/>
        <w:rPr>
          <w:rStyle w:val="default"/>
          <w:rFonts w:cs="FrankRuehl"/>
          <w:sz w:val="2"/>
          <w:szCs w:val="2"/>
          <w:shd w:val="clear" w:color="auto" w:fill="FFFF99"/>
          <w:rtl/>
        </w:rPr>
      </w:pP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(א)</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מיופה כוח בתמורה יחזיק בדוח ריכוז נתונים רגיל לגבי לקוח לתקופה שאינה עולה על 60 ימים מיום הפקת הדוח או עד למועד שבו הסתיימה תקופת ההסכם למתן השירות עם הלקוח, לפי המוקדם מביניהם; </w:t>
      </w:r>
      <w:r w:rsidRPr="00330173">
        <w:rPr>
          <w:rStyle w:val="default"/>
          <w:rFonts w:cs="FrankRuehl" w:hint="cs"/>
          <w:vanish/>
          <w:sz w:val="16"/>
          <w:szCs w:val="22"/>
          <w:u w:val="single"/>
          <w:shd w:val="clear" w:color="auto" w:fill="FFFF99"/>
          <w:rtl/>
        </w:rPr>
        <w:t>אם השירות שנותן מיופה כוח בתמורה הוא ייעוץ פיננסי בתחום האשראי, מיופה כוח במתורה רשאי להחזיק בדוח ריכוז נתונים רגיל או בנתוני אשראי הנוגעים לייעוץ לתקופה ארוכה יותר אם ניתנה לכך הסכמה מפורשת של הלקוח, ובלבד שלא תעלה על תקופה של שבע שנים;</w:t>
      </w:r>
      <w:r w:rsidRPr="00330173">
        <w:rPr>
          <w:rStyle w:val="default"/>
          <w:rFonts w:cs="FrankRuehl" w:hint="cs"/>
          <w:vanish/>
          <w:sz w:val="16"/>
          <w:szCs w:val="22"/>
          <w:shd w:val="clear" w:color="auto" w:fill="FFFF99"/>
          <w:rtl/>
        </w:rPr>
        <w:t xml:space="preserve"> אין באמור כדי לגרוע מאפשרותו של מיופה הכוח בתמורה לקבל דוח ריכוז נתונים רגיל לגבי לקוח, מעודכן, לפי תקופת ההתקשרות הקבועה בייפוי הכוח.</w:t>
      </w:r>
      <w:bookmarkEnd w:id="29"/>
    </w:p>
    <w:p w:rsidR="00070495" w:rsidRPr="00070495" w:rsidRDefault="00070495" w:rsidP="00070495">
      <w:pPr>
        <w:pStyle w:val="medium2-header"/>
        <w:keepLines w:val="0"/>
        <w:spacing w:before="72"/>
        <w:ind w:left="0" w:right="1134"/>
        <w:rPr>
          <w:noProof/>
          <w:rtl/>
        </w:rPr>
      </w:pPr>
      <w:bookmarkStart w:id="30" w:name="med5"/>
      <w:bookmarkEnd w:id="30"/>
      <w:r w:rsidRPr="00070495">
        <w:rPr>
          <w:rFonts w:hint="cs"/>
          <w:noProof/>
          <w:rtl/>
        </w:rPr>
        <w:t>פרק ו': שונות</w:t>
      </w:r>
    </w:p>
    <w:p w:rsidR="00386EF5" w:rsidRDefault="00386EF5" w:rsidP="00386EF5">
      <w:pPr>
        <w:pStyle w:val="P00"/>
        <w:spacing w:before="72"/>
        <w:ind w:left="0" w:right="1134"/>
        <w:rPr>
          <w:rStyle w:val="default"/>
          <w:rFonts w:cs="FrankRuehl"/>
          <w:rtl/>
        </w:rPr>
      </w:pPr>
      <w:bookmarkStart w:id="31" w:name="Seif12"/>
      <w:bookmarkEnd w:id="31"/>
      <w:r>
        <w:rPr>
          <w:lang w:val="he-IL"/>
        </w:rPr>
        <w:pict>
          <v:rect id="_x0000_s2326" style="position:absolute;left:0;text-align:left;margin-left:464.5pt;margin-top:8.05pt;width:75.05pt;height:19.9pt;z-index:251645440" o:allowincell="f" filled="f" stroked="f" strokecolor="lime" strokeweight=".25pt">
            <v:textbox style="mso-next-textbox:#_x0000_s2326" inset="0,0,0,0">
              <w:txbxContent>
                <w:p w:rsidR="00BC191A" w:rsidRDefault="00BC191A" w:rsidP="00386EF5">
                  <w:pPr>
                    <w:spacing w:line="160" w:lineRule="exact"/>
                    <w:jc w:val="left"/>
                    <w:rPr>
                      <w:rFonts w:cs="Miriam" w:hint="cs"/>
                      <w:szCs w:val="18"/>
                      <w:rtl/>
                    </w:rPr>
                  </w:pPr>
                  <w:r>
                    <w:rPr>
                      <w:rFonts w:cs="Miriam" w:hint="cs"/>
                      <w:szCs w:val="18"/>
                      <w:rtl/>
                    </w:rPr>
                    <w:t>מתווך בעסקאות אשראי</w:t>
                  </w:r>
                </w:p>
              </w:txbxContent>
            </v:textbox>
            <w10:anchorlock/>
          </v:rect>
        </w:pict>
      </w:r>
      <w:r>
        <w:rPr>
          <w:rStyle w:val="big-number"/>
          <w:rFonts w:hint="cs"/>
          <w:rtl/>
        </w:rPr>
        <w:t>1</w:t>
      </w:r>
      <w:r w:rsidR="00070495">
        <w:rPr>
          <w:rStyle w:val="big-number"/>
          <w:rFonts w:hint="cs"/>
          <w:rtl/>
        </w:rPr>
        <w:t>2</w:t>
      </w:r>
      <w:r>
        <w:rPr>
          <w:rStyle w:val="default"/>
          <w:rFonts w:cs="FrankRuehl"/>
          <w:rtl/>
        </w:rPr>
        <w:t>.</w:t>
      </w:r>
      <w:r>
        <w:rPr>
          <w:rStyle w:val="default"/>
          <w:rFonts w:cs="FrankRuehl"/>
          <w:rtl/>
        </w:rPr>
        <w:tab/>
      </w:r>
      <w:r w:rsidR="002D5811">
        <w:rPr>
          <w:rStyle w:val="default"/>
          <w:rFonts w:cs="FrankRuehl" w:hint="cs"/>
          <w:rtl/>
        </w:rPr>
        <w:t>לעניין החוק יראו מתווך דרך עיסוק, בין מלווים ללווים שהם לקוחות, באמצעות מערכת מקוונת אם המתווך מנהל לצדדים את מתן ההלוואה לרבות קביעת תנאי ההתחייבות וגביית התשלומים בעסקת אשראי, כנותן אשראי.</w:t>
      </w:r>
    </w:p>
    <w:p w:rsidR="00386EF5" w:rsidRDefault="00386EF5" w:rsidP="00386EF5">
      <w:pPr>
        <w:pStyle w:val="P00"/>
        <w:spacing w:before="72"/>
        <w:ind w:left="0" w:right="1134"/>
        <w:rPr>
          <w:rStyle w:val="default"/>
          <w:rFonts w:cs="FrankRuehl"/>
          <w:rtl/>
        </w:rPr>
      </w:pPr>
      <w:bookmarkStart w:id="32" w:name="Seif13"/>
      <w:bookmarkEnd w:id="32"/>
      <w:r>
        <w:rPr>
          <w:lang w:val="he-IL"/>
        </w:rPr>
        <w:pict>
          <v:rect id="_x0000_s2327" style="position:absolute;left:0;text-align:left;margin-left:464.5pt;margin-top:8.05pt;width:75.05pt;height:20.95pt;z-index:251646464" o:allowincell="f" filled="f" stroked="f" strokecolor="lime" strokeweight=".25pt">
            <v:textbox style="mso-next-textbox:#_x0000_s2327" inset="0,0,0,0">
              <w:txbxContent>
                <w:p w:rsidR="00BC191A" w:rsidRDefault="00BC191A" w:rsidP="00386EF5">
                  <w:pPr>
                    <w:spacing w:line="160" w:lineRule="exact"/>
                    <w:jc w:val="left"/>
                    <w:rPr>
                      <w:rFonts w:cs="Miriam" w:hint="cs"/>
                      <w:szCs w:val="18"/>
                      <w:rtl/>
                    </w:rPr>
                  </w:pPr>
                  <w:r>
                    <w:rPr>
                      <w:rFonts w:cs="Miriam" w:hint="cs"/>
                      <w:szCs w:val="18"/>
                      <w:rtl/>
                    </w:rPr>
                    <w:t>נותן אשראי בסיכון נמוך</w:t>
                  </w:r>
                </w:p>
              </w:txbxContent>
            </v:textbox>
            <w10:anchorlock/>
          </v:rect>
        </w:pict>
      </w:r>
      <w:r>
        <w:rPr>
          <w:rStyle w:val="big-number"/>
          <w:rFonts w:hint="cs"/>
          <w:rtl/>
        </w:rPr>
        <w:t>1</w:t>
      </w:r>
      <w:r w:rsidR="002D5811">
        <w:rPr>
          <w:rStyle w:val="big-number"/>
          <w:rFonts w:hint="cs"/>
          <w:rtl/>
        </w:rPr>
        <w:t>3</w:t>
      </w:r>
      <w:r>
        <w:rPr>
          <w:rStyle w:val="default"/>
          <w:rFonts w:cs="FrankRuehl"/>
          <w:rtl/>
        </w:rPr>
        <w:t>.</w:t>
      </w:r>
      <w:r>
        <w:rPr>
          <w:rStyle w:val="default"/>
          <w:rFonts w:cs="FrankRuehl"/>
          <w:rtl/>
        </w:rPr>
        <w:tab/>
      </w:r>
      <w:r w:rsidR="00ED158A">
        <w:rPr>
          <w:rStyle w:val="default"/>
          <w:rFonts w:cs="FrankRuehl" w:hint="cs"/>
          <w:rtl/>
        </w:rPr>
        <w:t>נותן אשראי בסיכון נמוך לעניין סעיף 26(א)(3) לחוק הוא נותן אשראי אגב מכירת נכס או מתן שירות כשהאשראי ניתן לתקופה שאינה עולה על שנים עשר חודשים וסכומו אינו עולה על 10,000 שקלים חדשים.</w:t>
      </w:r>
    </w:p>
    <w:p w:rsidR="00386EF5" w:rsidRDefault="00386EF5" w:rsidP="00386EF5">
      <w:pPr>
        <w:pStyle w:val="P00"/>
        <w:spacing w:before="72"/>
        <w:ind w:left="0" w:right="1134"/>
        <w:rPr>
          <w:rStyle w:val="default"/>
          <w:rFonts w:cs="FrankRuehl"/>
          <w:rtl/>
        </w:rPr>
      </w:pPr>
      <w:bookmarkStart w:id="33" w:name="Seif14"/>
      <w:bookmarkEnd w:id="33"/>
      <w:r>
        <w:rPr>
          <w:lang w:val="he-IL"/>
        </w:rPr>
        <w:pict>
          <v:rect id="_x0000_s2328" style="position:absolute;left:0;text-align:left;margin-left:464.5pt;margin-top:8.05pt;width:75.05pt;height:26.2pt;z-index:251647488" o:allowincell="f" filled="f" stroked="f" strokecolor="lime" strokeweight=".25pt">
            <v:textbox style="mso-next-textbox:#_x0000_s2328" inset="0,0,0,0">
              <w:txbxContent>
                <w:p w:rsidR="00BC191A" w:rsidRDefault="00BC191A" w:rsidP="00386EF5">
                  <w:pPr>
                    <w:spacing w:line="160" w:lineRule="exact"/>
                    <w:jc w:val="left"/>
                    <w:rPr>
                      <w:rFonts w:cs="Miriam" w:hint="cs"/>
                      <w:szCs w:val="18"/>
                      <w:rtl/>
                    </w:rPr>
                  </w:pPr>
                  <w:r>
                    <w:rPr>
                      <w:rFonts w:cs="Miriam" w:hint="cs"/>
                      <w:szCs w:val="18"/>
                      <w:rtl/>
                    </w:rPr>
                    <w:t>נתוני אשראי שניתנים למסירה יחד עם חיווי אשראי</w:t>
                  </w:r>
                </w:p>
              </w:txbxContent>
            </v:textbox>
            <w10:anchorlock/>
          </v:rect>
        </w:pict>
      </w:r>
      <w:r>
        <w:rPr>
          <w:rStyle w:val="big-number"/>
          <w:rFonts w:hint="cs"/>
          <w:rtl/>
        </w:rPr>
        <w:t>1</w:t>
      </w:r>
      <w:r w:rsidR="00ED158A">
        <w:rPr>
          <w:rStyle w:val="big-number"/>
          <w:rFonts w:hint="cs"/>
          <w:rtl/>
        </w:rPr>
        <w:t>4</w:t>
      </w:r>
      <w:r>
        <w:rPr>
          <w:rStyle w:val="default"/>
          <w:rFonts w:cs="FrankRuehl"/>
          <w:rtl/>
        </w:rPr>
        <w:t>.</w:t>
      </w:r>
      <w:r>
        <w:rPr>
          <w:rStyle w:val="default"/>
          <w:rFonts w:cs="FrankRuehl"/>
          <w:rtl/>
        </w:rPr>
        <w:tab/>
      </w:r>
      <w:r w:rsidR="00F53E9D">
        <w:rPr>
          <w:rStyle w:val="default"/>
          <w:rFonts w:cs="FrankRuehl" w:hint="cs"/>
          <w:rtl/>
        </w:rPr>
        <w:t>נתוני האשראי שאותם רשאית למסור לשכת האשראי, יחד עם חיווי האשראי לגבי לקוח, לפי בקשת נותן האשראי, הם כלהלן:</w:t>
      </w:r>
    </w:p>
    <w:p w:rsidR="00F53E9D" w:rsidRDefault="00F53E9D" w:rsidP="00F53E9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הימצאותו של הלקוח במרשם חייבים משתמטים לפי פרק ו2 לחוק ההוצאה לפועל;</w:t>
      </w:r>
    </w:p>
    <w:p w:rsidR="00F53E9D" w:rsidRDefault="00F53E9D" w:rsidP="00F53E9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הימצאותו של הלקוח במרשם חייבים מוגבלים באמצעים לפי סעיף 69ה לחוק ההוצאה לפועל;</w:t>
      </w:r>
    </w:p>
    <w:p w:rsidR="009F6D00" w:rsidRDefault="009F6D00" w:rsidP="009F6D00">
      <w:pPr>
        <w:pStyle w:val="P00"/>
        <w:spacing w:before="72"/>
        <w:ind w:left="624" w:right="1134"/>
        <w:rPr>
          <w:rStyle w:val="default"/>
          <w:rFonts w:cs="FrankRuehl"/>
          <w:rtl/>
        </w:rPr>
      </w:pPr>
      <w:r w:rsidRPr="00FF2593">
        <w:rPr>
          <w:rStyle w:val="default"/>
          <w:rFonts w:cs="FrankRuehl"/>
          <w:rtl/>
        </w:rPr>
        <w:pict>
          <v:shape id="_x0000_s2363" type="#_x0000_t202" style="position:absolute;left:0;text-align:left;margin-left:470.35pt;margin-top:7.1pt;width:1in;height:10.95pt;z-index:251678208" filled="f" stroked="f">
            <v:textbox inset="1mm,0,1mm,0">
              <w:txbxContent>
                <w:p w:rsidR="009F6D00" w:rsidRDefault="009F6D00" w:rsidP="009F6D00">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3</w:t>
      </w:r>
      <w:r w:rsidRPr="00FF2593">
        <w:rPr>
          <w:rStyle w:val="default"/>
          <w:rFonts w:cs="FrankRuehl" w:hint="cs"/>
          <w:rtl/>
        </w:rPr>
        <w:t>)</w:t>
      </w:r>
      <w:r w:rsidRPr="00FF2593">
        <w:rPr>
          <w:rStyle w:val="default"/>
          <w:rFonts w:cs="FrankRuehl"/>
          <w:rtl/>
        </w:rPr>
        <w:tab/>
      </w:r>
      <w:r>
        <w:rPr>
          <w:rStyle w:val="default"/>
          <w:rFonts w:cs="FrankRuehl" w:hint="cs"/>
          <w:rtl/>
        </w:rPr>
        <w:t xml:space="preserve">האם הלקוח הוא לקוח מוגבל או מוגבל חמור </w:t>
      </w:r>
      <w:r w:rsidR="00644790" w:rsidRPr="00644790">
        <w:rPr>
          <w:rStyle w:val="default"/>
          <w:rFonts w:cs="FrankRuehl" w:hint="cs"/>
          <w:rtl/>
        </w:rPr>
        <w:t xml:space="preserve">וכן האם ניתן צו מניעה לתחילת ההגבלה </w:t>
      </w:r>
      <w:r>
        <w:rPr>
          <w:rStyle w:val="default"/>
          <w:rFonts w:cs="FrankRuehl" w:hint="cs"/>
          <w:rtl/>
        </w:rPr>
        <w:t>לפי חוק שיקים ללא כיסוי;</w:t>
      </w:r>
    </w:p>
    <w:p w:rsidR="00F53E9D" w:rsidRDefault="009F6D00" w:rsidP="009F6D00">
      <w:pPr>
        <w:pStyle w:val="P00"/>
        <w:spacing w:before="72"/>
        <w:ind w:left="624" w:right="1134"/>
        <w:rPr>
          <w:rStyle w:val="default"/>
          <w:rFonts w:cs="FrankRuehl"/>
          <w:rtl/>
        </w:rPr>
      </w:pPr>
      <w:r w:rsidRPr="00FF2593">
        <w:rPr>
          <w:rStyle w:val="default"/>
          <w:rFonts w:cs="FrankRuehl"/>
          <w:rtl/>
        </w:rPr>
        <w:pict>
          <v:shape id="_x0000_s2362" type="#_x0000_t202" style="position:absolute;left:0;text-align:left;margin-left:470.35pt;margin-top:7.1pt;width:1in;height:10.95pt;z-index:251677184" filled="f" stroked="f">
            <v:textbox inset="1mm,0,1mm,0">
              <w:txbxContent>
                <w:p w:rsidR="009F6D00" w:rsidRDefault="009F6D00" w:rsidP="009F6D00">
                  <w:pPr>
                    <w:spacing w:line="160" w:lineRule="exact"/>
                    <w:jc w:val="left"/>
                    <w:rPr>
                      <w:rFonts w:cs="Miriam" w:hint="cs"/>
                      <w:noProof/>
                      <w:szCs w:val="18"/>
                      <w:rtl/>
                    </w:rPr>
                  </w:pPr>
                  <w:r>
                    <w:rPr>
                      <w:rFonts w:cs="Miriam" w:hint="cs"/>
                      <w:szCs w:val="18"/>
                      <w:rtl/>
                    </w:rPr>
                    <w:t>תק' תשפ"א-2021</w:t>
                  </w:r>
                </w:p>
              </w:txbxContent>
            </v:textbox>
          </v:shape>
        </w:pict>
      </w:r>
      <w:r w:rsidRPr="00FF2593">
        <w:rPr>
          <w:rStyle w:val="default"/>
          <w:rFonts w:cs="FrankRuehl" w:hint="cs"/>
          <w:rtl/>
        </w:rPr>
        <w:t>(</w:t>
      </w:r>
      <w:r>
        <w:rPr>
          <w:rStyle w:val="default"/>
          <w:rFonts w:cs="FrankRuehl" w:hint="cs"/>
          <w:rtl/>
        </w:rPr>
        <w:t>4</w:t>
      </w:r>
      <w:r w:rsidRPr="00FF2593">
        <w:rPr>
          <w:rStyle w:val="default"/>
          <w:rFonts w:cs="FrankRuehl" w:hint="cs"/>
          <w:rtl/>
        </w:rPr>
        <w:t>)</w:t>
      </w:r>
      <w:r w:rsidRPr="00FF2593">
        <w:rPr>
          <w:rStyle w:val="default"/>
          <w:rFonts w:cs="FrankRuehl"/>
          <w:rtl/>
        </w:rPr>
        <w:tab/>
      </w:r>
      <w:r w:rsidR="00644790" w:rsidRPr="00644790">
        <w:rPr>
          <w:rStyle w:val="default"/>
          <w:rFonts w:cs="FrankRuehl" w:hint="cs"/>
          <w:rtl/>
        </w:rPr>
        <w:t xml:space="preserve">נתונים בדבר הליכים לפי חוק חדלות פירעון ושיקום כלכלי </w:t>
      </w:r>
      <w:r w:rsidR="00644790" w:rsidRPr="00644790">
        <w:rPr>
          <w:rStyle w:val="default"/>
          <w:rFonts w:cs="FrankRuehl"/>
          <w:rtl/>
        </w:rPr>
        <w:t>–</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(א)</w:t>
      </w:r>
      <w:r w:rsidRPr="00644790">
        <w:rPr>
          <w:rStyle w:val="default"/>
          <w:rFonts w:cs="FrankRuehl"/>
          <w:rtl/>
        </w:rPr>
        <w:tab/>
      </w:r>
      <w:r w:rsidRPr="00644790">
        <w:rPr>
          <w:rStyle w:val="default"/>
          <w:rFonts w:cs="FrankRuehl" w:hint="cs"/>
          <w:rtl/>
        </w:rPr>
        <w:t>מתן צו לפתיחת הליכים;</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(ב)</w:t>
      </w:r>
      <w:r w:rsidRPr="00644790">
        <w:rPr>
          <w:rStyle w:val="default"/>
          <w:rFonts w:cs="FrankRuehl"/>
          <w:rtl/>
        </w:rPr>
        <w:tab/>
      </w:r>
      <w:r w:rsidRPr="00644790">
        <w:rPr>
          <w:rStyle w:val="default"/>
          <w:rFonts w:cs="FrankRuehl" w:hint="cs"/>
          <w:rtl/>
        </w:rPr>
        <w:t>מתן צו לשיקום כלכלי;</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(ג)</w:t>
      </w:r>
      <w:r w:rsidRPr="00644790">
        <w:rPr>
          <w:rStyle w:val="default"/>
          <w:rFonts w:cs="FrankRuehl"/>
          <w:rtl/>
        </w:rPr>
        <w:tab/>
      </w:r>
      <w:r w:rsidRPr="00644790">
        <w:rPr>
          <w:rStyle w:val="default"/>
          <w:rFonts w:cs="FrankRuehl" w:hint="cs"/>
          <w:rtl/>
        </w:rPr>
        <w:t>ביטול צו לפתיחת הליכים לפי סעיפים 108, 183, 200 או 286 לחוק חדלות פירעון ושיקום כלכלי;</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(ד)</w:t>
      </w:r>
      <w:r w:rsidRPr="00644790">
        <w:rPr>
          <w:rStyle w:val="default"/>
          <w:rFonts w:cs="FrankRuehl"/>
          <w:rtl/>
        </w:rPr>
        <w:tab/>
      </w:r>
      <w:r w:rsidRPr="00644790">
        <w:rPr>
          <w:rStyle w:val="default"/>
          <w:rFonts w:cs="FrankRuehl" w:hint="cs"/>
          <w:rtl/>
        </w:rPr>
        <w:t>קבלת הפטר לפי סעיף 167 או אישור על הפטר לפי סעיף 174 לחוק חדלות פירעון ושיקום כלכלי;</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(ה)</w:t>
      </w:r>
      <w:r w:rsidRPr="00644790">
        <w:rPr>
          <w:rStyle w:val="default"/>
          <w:rFonts w:cs="FrankRuehl"/>
          <w:rtl/>
        </w:rPr>
        <w:tab/>
      </w:r>
      <w:r w:rsidRPr="00644790">
        <w:rPr>
          <w:rStyle w:val="default"/>
          <w:rFonts w:cs="FrankRuehl" w:hint="cs"/>
          <w:rtl/>
        </w:rPr>
        <w:t>ביטול הפטר לפי סעיף 176 לחוק חדלות פירעון ושיקום כלכלי;</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(ו)</w:t>
      </w:r>
      <w:r w:rsidRPr="00644790">
        <w:rPr>
          <w:rStyle w:val="default"/>
          <w:rFonts w:cs="FrankRuehl"/>
          <w:rtl/>
        </w:rPr>
        <w:tab/>
      </w:r>
      <w:r w:rsidRPr="00644790">
        <w:rPr>
          <w:rStyle w:val="default"/>
          <w:rFonts w:cs="FrankRuehl" w:hint="cs"/>
          <w:rtl/>
        </w:rPr>
        <w:t>אישור הסדר חוב;</w:t>
      </w:r>
    </w:p>
    <w:p w:rsidR="00644790" w:rsidRPr="00644790" w:rsidRDefault="00644790" w:rsidP="00644790">
      <w:pPr>
        <w:pStyle w:val="P00"/>
        <w:spacing w:before="72"/>
        <w:ind w:left="1021" w:right="1134"/>
        <w:rPr>
          <w:rStyle w:val="default"/>
          <w:rFonts w:cs="FrankRuehl"/>
          <w:rtl/>
        </w:rPr>
      </w:pPr>
      <w:r w:rsidRPr="00644790">
        <w:rPr>
          <w:rStyle w:val="default"/>
          <w:rFonts w:cs="FrankRuehl" w:hint="cs"/>
          <w:rtl/>
        </w:rPr>
        <w:t>(ז)</w:t>
      </w:r>
      <w:r w:rsidRPr="00644790">
        <w:rPr>
          <w:rStyle w:val="default"/>
          <w:rFonts w:cs="FrankRuehl"/>
          <w:rtl/>
        </w:rPr>
        <w:tab/>
      </w:r>
      <w:r w:rsidRPr="00644790">
        <w:rPr>
          <w:rStyle w:val="default"/>
          <w:rFonts w:cs="FrankRuehl" w:hint="cs"/>
          <w:rtl/>
        </w:rPr>
        <w:t>השלמת הסדר חוב.</w:t>
      </w:r>
    </w:p>
    <w:p w:rsidR="009F6D00" w:rsidRPr="00330173" w:rsidRDefault="009F6D00" w:rsidP="009F6D00">
      <w:pPr>
        <w:pStyle w:val="P00"/>
        <w:spacing w:before="0"/>
        <w:ind w:left="624" w:right="1134"/>
        <w:rPr>
          <w:rStyle w:val="default"/>
          <w:rFonts w:ascii="FrankRuehl" w:hAnsi="FrankRuehl" w:cs="FrankRuehl"/>
          <w:vanish/>
          <w:color w:val="FF0000"/>
          <w:szCs w:val="20"/>
          <w:shd w:val="clear" w:color="auto" w:fill="FFFF99"/>
          <w:rtl/>
        </w:rPr>
      </w:pPr>
      <w:bookmarkStart w:id="34" w:name="Rov147"/>
      <w:r w:rsidRPr="00330173">
        <w:rPr>
          <w:rStyle w:val="default"/>
          <w:rFonts w:ascii="FrankRuehl" w:hAnsi="FrankRuehl" w:cs="FrankRuehl"/>
          <w:vanish/>
          <w:color w:val="FF0000"/>
          <w:szCs w:val="20"/>
          <w:shd w:val="clear" w:color="auto" w:fill="FFFF99"/>
          <w:rtl/>
        </w:rPr>
        <w:t xml:space="preserve">מיום </w:t>
      </w:r>
      <w:r w:rsidR="00644790" w:rsidRPr="00330173">
        <w:rPr>
          <w:rStyle w:val="default"/>
          <w:rFonts w:ascii="FrankRuehl" w:hAnsi="FrankRuehl" w:cs="FrankRuehl" w:hint="cs"/>
          <w:vanish/>
          <w:color w:val="FF0000"/>
          <w:szCs w:val="20"/>
          <w:shd w:val="clear" w:color="auto" w:fill="FFFF99"/>
          <w:rtl/>
        </w:rPr>
        <w:t>4.3</w:t>
      </w:r>
      <w:r w:rsidRPr="00330173">
        <w:rPr>
          <w:rStyle w:val="default"/>
          <w:rFonts w:ascii="FrankRuehl" w:hAnsi="FrankRuehl" w:cs="FrankRuehl"/>
          <w:vanish/>
          <w:color w:val="FF0000"/>
          <w:szCs w:val="20"/>
          <w:shd w:val="clear" w:color="auto" w:fill="FFFF99"/>
          <w:rtl/>
        </w:rPr>
        <w:t>.2021</w:t>
      </w:r>
    </w:p>
    <w:p w:rsidR="009F6D00" w:rsidRPr="00330173" w:rsidRDefault="009F6D00" w:rsidP="009F6D00">
      <w:pPr>
        <w:pStyle w:val="P00"/>
        <w:spacing w:before="0"/>
        <w:ind w:left="624"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9F6D00" w:rsidRPr="00330173" w:rsidRDefault="009F6D00" w:rsidP="009F6D00">
      <w:pPr>
        <w:pStyle w:val="P00"/>
        <w:spacing w:before="0"/>
        <w:ind w:left="624" w:right="1134"/>
        <w:rPr>
          <w:rStyle w:val="default"/>
          <w:rFonts w:ascii="FrankRuehl" w:hAnsi="FrankRuehl" w:cs="FrankRuehl"/>
          <w:vanish/>
          <w:szCs w:val="20"/>
          <w:shd w:val="clear" w:color="auto" w:fill="FFFF99"/>
          <w:rtl/>
        </w:rPr>
      </w:pPr>
      <w:hyperlink r:id="rId20"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6</w:t>
      </w:r>
    </w:p>
    <w:p w:rsidR="009F6D00" w:rsidRPr="00330173" w:rsidRDefault="009F6D00" w:rsidP="009F6D00">
      <w:pPr>
        <w:pStyle w:val="P00"/>
        <w:ind w:left="624" w:right="1134"/>
        <w:rPr>
          <w:rStyle w:val="default"/>
          <w:rFonts w:cs="FrankRuehl"/>
          <w:vanish/>
          <w:sz w:val="16"/>
          <w:szCs w:val="22"/>
          <w:shd w:val="clear" w:color="auto" w:fill="FFFF99"/>
          <w:rtl/>
        </w:rPr>
      </w:pPr>
      <w:r w:rsidRPr="00330173">
        <w:rPr>
          <w:rStyle w:val="default"/>
          <w:rFonts w:cs="FrankRuehl" w:hint="cs"/>
          <w:vanish/>
          <w:sz w:val="16"/>
          <w:szCs w:val="22"/>
          <w:shd w:val="clear" w:color="auto" w:fill="FFFF99"/>
          <w:rtl/>
        </w:rPr>
        <w:t>(3)</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האם הלקוח הוא לקוח מוגבל או מוגבל חמור </w:t>
      </w:r>
      <w:r w:rsidRPr="00330173">
        <w:rPr>
          <w:rStyle w:val="default"/>
          <w:rFonts w:cs="FrankRuehl" w:hint="cs"/>
          <w:vanish/>
          <w:sz w:val="16"/>
          <w:szCs w:val="22"/>
          <w:u w:val="single"/>
          <w:shd w:val="clear" w:color="auto" w:fill="FFFF99"/>
          <w:rtl/>
        </w:rPr>
        <w:t>וכן האם ניתן צו מניעה לתחילת ההגבלה</w:t>
      </w:r>
      <w:r w:rsidRPr="00330173">
        <w:rPr>
          <w:rStyle w:val="default"/>
          <w:rFonts w:cs="FrankRuehl" w:hint="cs"/>
          <w:vanish/>
          <w:sz w:val="16"/>
          <w:szCs w:val="22"/>
          <w:shd w:val="clear" w:color="auto" w:fill="FFFF99"/>
          <w:rtl/>
        </w:rPr>
        <w:t xml:space="preserve"> לפי חוק שיקים ללא כיסוי;</w:t>
      </w:r>
    </w:p>
    <w:p w:rsidR="009F6D00" w:rsidRPr="00330173" w:rsidRDefault="009F6D00" w:rsidP="009F6D00">
      <w:pPr>
        <w:pStyle w:val="P00"/>
        <w:spacing w:before="0"/>
        <w:ind w:left="624"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(4)</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 xml:space="preserve">נתונים בדבר פשיטת רגל, לפי פקודת פשיטת רגל </w:t>
      </w:r>
      <w:r w:rsidRPr="00330173">
        <w:rPr>
          <w:rStyle w:val="default"/>
          <w:rFonts w:cs="FrankRuehl"/>
          <w:strike/>
          <w:vanish/>
          <w:sz w:val="16"/>
          <w:szCs w:val="22"/>
          <w:shd w:val="clear" w:color="auto" w:fill="FFFF99"/>
          <w:rtl/>
        </w:rPr>
        <w:t>–</w:t>
      </w:r>
    </w:p>
    <w:p w:rsidR="009F6D00" w:rsidRPr="00330173" w:rsidRDefault="009F6D00" w:rsidP="009F6D00">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(א)</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מתן צו כינוס;</w:t>
      </w:r>
    </w:p>
    <w:p w:rsidR="009F6D00" w:rsidRPr="00330173" w:rsidRDefault="009F6D00" w:rsidP="009F6D00">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(ב)</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הכרזה על פשיטת רגל לפי סעיף 42 לפקודת פשיטת הרגל;</w:t>
      </w:r>
    </w:p>
    <w:p w:rsidR="009F6D00" w:rsidRPr="00330173" w:rsidRDefault="009F6D00" w:rsidP="009F6D00">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(ג)</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ביטול צו כינוס או ביטול הכרזה על פשיטת רגל לפי סעיפים 55 או 181 לפקודת פשיטת הרגל;</w:t>
      </w:r>
    </w:p>
    <w:p w:rsidR="009F6D00" w:rsidRPr="00330173" w:rsidRDefault="009F6D00" w:rsidP="009F6D00">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(ד)</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קבלת הפטר לפי סעיף 61 לפקודת פשיטת הרגל;</w:t>
      </w:r>
    </w:p>
    <w:p w:rsidR="009F6D00" w:rsidRPr="00330173" w:rsidRDefault="009F6D00" w:rsidP="009F6D00">
      <w:pPr>
        <w:pStyle w:val="P00"/>
        <w:spacing w:before="0"/>
        <w:ind w:left="1021"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(ה)</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אישור הסדר נושים לפי סעיפים 19א, 35 או 52 לפקודת פשיטת רגל;</w:t>
      </w:r>
    </w:p>
    <w:p w:rsidR="009F6D00" w:rsidRPr="00330173" w:rsidRDefault="009F6D00" w:rsidP="009F6D00">
      <w:pPr>
        <w:pStyle w:val="P00"/>
        <w:spacing w:before="0"/>
        <w:ind w:left="1021" w:right="1134"/>
        <w:rPr>
          <w:rStyle w:val="default"/>
          <w:rFonts w:cs="FrankRuehl"/>
          <w:vanish/>
          <w:sz w:val="16"/>
          <w:szCs w:val="22"/>
          <w:shd w:val="clear" w:color="auto" w:fill="FFFF99"/>
          <w:rtl/>
        </w:rPr>
      </w:pPr>
      <w:r w:rsidRPr="00330173">
        <w:rPr>
          <w:rStyle w:val="default"/>
          <w:rFonts w:cs="FrankRuehl" w:hint="cs"/>
          <w:strike/>
          <w:vanish/>
          <w:sz w:val="16"/>
          <w:szCs w:val="22"/>
          <w:shd w:val="clear" w:color="auto" w:fill="FFFF99"/>
          <w:rtl/>
        </w:rPr>
        <w:t>(ו)</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השלמת הסדר נושים שאושר לפי סעיפים 35 או 53 לפקודת פשיטת הרגל.</w:t>
      </w:r>
    </w:p>
    <w:p w:rsidR="009F6D00" w:rsidRPr="00330173" w:rsidRDefault="009F6D00" w:rsidP="009F6D00">
      <w:pPr>
        <w:pStyle w:val="P00"/>
        <w:spacing w:before="0"/>
        <w:ind w:left="624"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(4)</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 xml:space="preserve">נתונים בדבר הליכים לפי חוק חדלות פירעון ושיקום כלכלי </w:t>
      </w:r>
      <w:r w:rsidRPr="00330173">
        <w:rPr>
          <w:rStyle w:val="default"/>
          <w:rFonts w:cs="FrankRuehl"/>
          <w:vanish/>
          <w:sz w:val="16"/>
          <w:szCs w:val="22"/>
          <w:u w:val="single"/>
          <w:shd w:val="clear" w:color="auto" w:fill="FFFF99"/>
          <w:rtl/>
        </w:rPr>
        <w:t>–</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(א)</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מתן צו לפתיחת הליכים;</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(ב)</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מתן צו לשיקום כלכלי;</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(ג)</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ביטול צו לפתיחת הליכים לפי סעיפים 108, 183, 200 או 286 לחוק חדלות פירעון ושיקום כלכלי;</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(ד)</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קבלת הפטר לפי סעיף 167 או אישור על הפטר לפי סעיף 174 לחוק חדלות פירעון ושיקום כלכלי;</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(ה)</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ביטול הפטר לפי סעיף 176 לחוק חדלות פירעון ושיקום כלכלי;</w:t>
      </w:r>
    </w:p>
    <w:p w:rsidR="009F6D00" w:rsidRPr="00330173" w:rsidRDefault="009F6D00" w:rsidP="009F6D00">
      <w:pPr>
        <w:pStyle w:val="P00"/>
        <w:spacing w:before="0"/>
        <w:ind w:left="1021" w:right="1134"/>
        <w:rPr>
          <w:rStyle w:val="default"/>
          <w:rFonts w:cs="FrankRuehl"/>
          <w:vanish/>
          <w:sz w:val="16"/>
          <w:szCs w:val="22"/>
          <w:u w:val="single"/>
          <w:shd w:val="clear" w:color="auto" w:fill="FFFF99"/>
          <w:rtl/>
        </w:rPr>
      </w:pPr>
      <w:r w:rsidRPr="00330173">
        <w:rPr>
          <w:rStyle w:val="default"/>
          <w:rFonts w:cs="FrankRuehl" w:hint="cs"/>
          <w:vanish/>
          <w:sz w:val="16"/>
          <w:szCs w:val="22"/>
          <w:u w:val="single"/>
          <w:shd w:val="clear" w:color="auto" w:fill="FFFF99"/>
          <w:rtl/>
        </w:rPr>
        <w:t>(ו)</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אישור הסדר חוב;</w:t>
      </w:r>
    </w:p>
    <w:p w:rsidR="009F6D00" w:rsidRPr="009F6D00" w:rsidRDefault="009F6D00" w:rsidP="009F6D00">
      <w:pPr>
        <w:pStyle w:val="P00"/>
        <w:spacing w:before="0"/>
        <w:ind w:left="1021" w:right="1134"/>
        <w:rPr>
          <w:rStyle w:val="default"/>
          <w:rFonts w:cs="FrankRuehl"/>
          <w:sz w:val="2"/>
          <w:szCs w:val="2"/>
          <w:rtl/>
        </w:rPr>
      </w:pPr>
      <w:r w:rsidRPr="00330173">
        <w:rPr>
          <w:rStyle w:val="default"/>
          <w:rFonts w:cs="FrankRuehl" w:hint="cs"/>
          <w:vanish/>
          <w:sz w:val="16"/>
          <w:szCs w:val="22"/>
          <w:u w:val="single"/>
          <w:shd w:val="clear" w:color="auto" w:fill="FFFF99"/>
          <w:rtl/>
        </w:rPr>
        <w:t>(ז)</w:t>
      </w:r>
      <w:r w:rsidRPr="00330173">
        <w:rPr>
          <w:rStyle w:val="default"/>
          <w:rFonts w:cs="FrankRuehl"/>
          <w:vanish/>
          <w:sz w:val="16"/>
          <w:szCs w:val="22"/>
          <w:u w:val="single"/>
          <w:shd w:val="clear" w:color="auto" w:fill="FFFF99"/>
          <w:rtl/>
        </w:rPr>
        <w:tab/>
      </w:r>
      <w:r w:rsidRPr="00330173">
        <w:rPr>
          <w:rStyle w:val="default"/>
          <w:rFonts w:cs="FrankRuehl" w:hint="cs"/>
          <w:vanish/>
          <w:sz w:val="16"/>
          <w:szCs w:val="22"/>
          <w:u w:val="single"/>
          <w:shd w:val="clear" w:color="auto" w:fill="FFFF99"/>
          <w:rtl/>
        </w:rPr>
        <w:t>השלמת הסדר חוב.</w:t>
      </w:r>
      <w:bookmarkEnd w:id="34"/>
    </w:p>
    <w:p w:rsidR="00386EF5" w:rsidRDefault="00386EF5" w:rsidP="00386EF5">
      <w:pPr>
        <w:pStyle w:val="P00"/>
        <w:spacing w:before="72"/>
        <w:ind w:left="0" w:right="1134"/>
        <w:rPr>
          <w:rStyle w:val="default"/>
          <w:rFonts w:cs="FrankRuehl"/>
          <w:rtl/>
        </w:rPr>
      </w:pPr>
      <w:bookmarkStart w:id="35" w:name="Seif15"/>
      <w:bookmarkEnd w:id="35"/>
      <w:r>
        <w:rPr>
          <w:lang w:val="he-IL"/>
        </w:rPr>
        <w:pict>
          <v:rect id="_x0000_s2329" style="position:absolute;left:0;text-align:left;margin-left:464.5pt;margin-top:8.05pt;width:75.05pt;height:26.2pt;z-index:251648512" o:allowincell="f" filled="f" stroked="f" strokecolor="lime" strokeweight=".25pt">
            <v:textbox style="mso-next-textbox:#_x0000_s2329" inset="0,0,0,0">
              <w:txbxContent>
                <w:p w:rsidR="00BC191A" w:rsidRDefault="00BC191A" w:rsidP="00386EF5">
                  <w:pPr>
                    <w:spacing w:line="160" w:lineRule="exact"/>
                    <w:jc w:val="left"/>
                    <w:rPr>
                      <w:rFonts w:cs="Miriam" w:hint="cs"/>
                      <w:szCs w:val="18"/>
                      <w:rtl/>
                    </w:rPr>
                  </w:pPr>
                  <w:r>
                    <w:rPr>
                      <w:rFonts w:cs="Miriam" w:hint="cs"/>
                      <w:szCs w:val="18"/>
                      <w:rtl/>
                    </w:rPr>
                    <w:t>נתוני אשראי שלא יימסרו ללשכת האשראי</w:t>
                  </w:r>
                </w:p>
              </w:txbxContent>
            </v:textbox>
            <w10:anchorlock/>
          </v:rect>
        </w:pict>
      </w:r>
      <w:r>
        <w:rPr>
          <w:rStyle w:val="big-number"/>
          <w:rFonts w:hint="cs"/>
          <w:rtl/>
        </w:rPr>
        <w:t>1</w:t>
      </w:r>
      <w:r w:rsidR="005E1D49">
        <w:rPr>
          <w:rStyle w:val="big-number"/>
          <w:rFonts w:hint="cs"/>
          <w:rtl/>
        </w:rPr>
        <w:t>5</w:t>
      </w:r>
      <w:r>
        <w:rPr>
          <w:rStyle w:val="default"/>
          <w:rFonts w:cs="FrankRuehl"/>
          <w:rtl/>
        </w:rPr>
        <w:t>.</w:t>
      </w:r>
      <w:r>
        <w:rPr>
          <w:rStyle w:val="default"/>
          <w:rFonts w:cs="FrankRuehl"/>
          <w:rtl/>
        </w:rPr>
        <w:tab/>
      </w:r>
      <w:r w:rsidR="005E1D49">
        <w:rPr>
          <w:rStyle w:val="default"/>
          <w:rFonts w:cs="FrankRuehl" w:hint="cs"/>
          <w:rtl/>
        </w:rPr>
        <w:t>אין לכלול בנתוני אשראי הנמסרים ללשכת אשראי לשם עריכת דוח אשראי או חיווי אשראי לפי סעיף 46 לחוק את שיעור הריבית, עמלות או הוצאות שונות שמשלם הלקוח.</w:t>
      </w:r>
    </w:p>
    <w:p w:rsidR="00386EF5" w:rsidRDefault="00386EF5" w:rsidP="00386EF5">
      <w:pPr>
        <w:pStyle w:val="P00"/>
        <w:spacing w:before="72"/>
        <w:ind w:left="0" w:right="1134"/>
        <w:rPr>
          <w:rStyle w:val="default"/>
          <w:rFonts w:cs="FrankRuehl"/>
          <w:rtl/>
        </w:rPr>
      </w:pPr>
      <w:bookmarkStart w:id="36" w:name="Seif16"/>
      <w:bookmarkEnd w:id="36"/>
      <w:r>
        <w:rPr>
          <w:lang w:val="he-IL"/>
        </w:rPr>
        <w:pict>
          <v:rect id="_x0000_s2330" style="position:absolute;left:0;text-align:left;margin-left:464.5pt;margin-top:8.05pt;width:75.05pt;height:26.1pt;z-index:251649536" o:allowincell="f" filled="f" stroked="f" strokecolor="lime" strokeweight=".25pt">
            <v:textbox style="mso-next-textbox:#_x0000_s2330" inset="0,0,0,0">
              <w:txbxContent>
                <w:p w:rsidR="00BC191A" w:rsidRDefault="00BC191A" w:rsidP="00386EF5">
                  <w:pPr>
                    <w:spacing w:line="160" w:lineRule="exact"/>
                    <w:jc w:val="left"/>
                    <w:rPr>
                      <w:rFonts w:cs="Miriam" w:hint="cs"/>
                      <w:szCs w:val="18"/>
                      <w:rtl/>
                    </w:rPr>
                  </w:pPr>
                  <w:r>
                    <w:rPr>
                      <w:rFonts w:cs="Miriam" w:hint="cs"/>
                      <w:szCs w:val="18"/>
                      <w:rtl/>
                    </w:rPr>
                    <w:t>בקשת לקוח שלא יימסרו נתוני אשראי לגביו מהמאגר</w:t>
                  </w:r>
                </w:p>
              </w:txbxContent>
            </v:textbox>
            <w10:anchorlock/>
          </v:rect>
        </w:pict>
      </w:r>
      <w:r>
        <w:rPr>
          <w:rStyle w:val="big-number"/>
          <w:rFonts w:hint="cs"/>
          <w:rtl/>
        </w:rPr>
        <w:t>1</w:t>
      </w:r>
      <w:r w:rsidR="005E1D49">
        <w:rPr>
          <w:rStyle w:val="big-number"/>
          <w:rFonts w:hint="cs"/>
          <w:rtl/>
        </w:rPr>
        <w:t>6</w:t>
      </w:r>
      <w:r>
        <w:rPr>
          <w:rStyle w:val="default"/>
          <w:rFonts w:cs="FrankRuehl"/>
          <w:rtl/>
        </w:rPr>
        <w:t>.</w:t>
      </w:r>
      <w:r>
        <w:rPr>
          <w:rStyle w:val="default"/>
          <w:rFonts w:cs="FrankRuehl"/>
          <w:rtl/>
        </w:rPr>
        <w:tab/>
      </w:r>
      <w:r w:rsidR="003B3D12">
        <w:rPr>
          <w:rStyle w:val="default"/>
          <w:rFonts w:cs="FrankRuehl" w:hint="cs"/>
          <w:rtl/>
        </w:rPr>
        <w:t>הלקוח רשאי לבקש ממאגר בנק ישראל שנתוני אשראי לגביו לא יימסרו לשם עריכת דוח אשראי לנותן אשראי מסוים, לסוג מסוים של נותני אשראי או לכלל נותני האשראי.</w:t>
      </w:r>
    </w:p>
    <w:p w:rsidR="00386EF5" w:rsidRDefault="00386EF5" w:rsidP="00386EF5">
      <w:pPr>
        <w:pStyle w:val="P00"/>
        <w:spacing w:before="72"/>
        <w:ind w:left="0" w:right="1134"/>
        <w:rPr>
          <w:rStyle w:val="default"/>
          <w:rFonts w:cs="FrankRuehl"/>
          <w:rtl/>
        </w:rPr>
      </w:pPr>
      <w:bookmarkStart w:id="37" w:name="Seif17"/>
      <w:bookmarkEnd w:id="37"/>
      <w:r>
        <w:rPr>
          <w:lang w:val="he-IL"/>
        </w:rPr>
        <w:pict>
          <v:rect id="_x0000_s2331" style="position:absolute;left:0;text-align:left;margin-left:464.5pt;margin-top:8.05pt;width:75.05pt;height:36.15pt;z-index:251650560" o:allowincell="f" filled="f" stroked="f" strokecolor="lime" strokeweight=".25pt">
            <v:textbox style="mso-next-textbox:#_x0000_s2331" inset="0,0,0,0">
              <w:txbxContent>
                <w:p w:rsidR="00BC191A" w:rsidRDefault="00BC191A" w:rsidP="00386EF5">
                  <w:pPr>
                    <w:spacing w:line="160" w:lineRule="exact"/>
                    <w:jc w:val="left"/>
                    <w:rPr>
                      <w:rFonts w:cs="Miriam"/>
                      <w:szCs w:val="18"/>
                      <w:rtl/>
                    </w:rPr>
                  </w:pPr>
                  <w:r>
                    <w:rPr>
                      <w:rFonts w:cs="Miriam" w:hint="cs"/>
                      <w:szCs w:val="18"/>
                      <w:rtl/>
                    </w:rPr>
                    <w:t>תקופת החזקת נתוני אשראי בידי לשכת האשראי</w:t>
                  </w:r>
                </w:p>
                <w:p w:rsidR="0056297C" w:rsidRDefault="0056297C" w:rsidP="00386EF5">
                  <w:pPr>
                    <w:spacing w:line="160" w:lineRule="exact"/>
                    <w:jc w:val="left"/>
                    <w:rPr>
                      <w:rFonts w:cs="Miriam" w:hint="cs"/>
                      <w:szCs w:val="18"/>
                      <w:rtl/>
                    </w:rPr>
                  </w:pPr>
                  <w:r>
                    <w:rPr>
                      <w:rFonts w:cs="Miriam" w:hint="cs"/>
                      <w:szCs w:val="18"/>
                      <w:rtl/>
                    </w:rPr>
                    <w:t>תק' תשפ"א-2021</w:t>
                  </w:r>
                </w:p>
              </w:txbxContent>
            </v:textbox>
            <w10:anchorlock/>
          </v:rect>
        </w:pict>
      </w:r>
      <w:r>
        <w:rPr>
          <w:rStyle w:val="big-number"/>
          <w:rFonts w:hint="cs"/>
          <w:rtl/>
        </w:rPr>
        <w:t>1</w:t>
      </w:r>
      <w:r w:rsidR="003B3D12">
        <w:rPr>
          <w:rStyle w:val="big-number"/>
          <w:rFonts w:hint="cs"/>
          <w:rtl/>
        </w:rPr>
        <w:t>7</w:t>
      </w:r>
      <w:r>
        <w:rPr>
          <w:rStyle w:val="default"/>
          <w:rFonts w:cs="FrankRuehl"/>
          <w:rtl/>
        </w:rPr>
        <w:t>.</w:t>
      </w:r>
      <w:r>
        <w:rPr>
          <w:rStyle w:val="default"/>
          <w:rFonts w:cs="FrankRuehl"/>
          <w:rtl/>
        </w:rPr>
        <w:tab/>
      </w:r>
      <w:r w:rsidR="00D96125">
        <w:rPr>
          <w:rStyle w:val="default"/>
          <w:rFonts w:cs="FrankRuehl" w:hint="cs"/>
          <w:rtl/>
        </w:rPr>
        <w:t>לשכת האשראי לא תחזיק בנתוני אשראי שקיבלה לשם מתן שירות נתוני אשראי או שירות המתבסס על נתוני אשראי יותר מ-30 ימים</w:t>
      </w:r>
      <w:r w:rsidR="0056297C">
        <w:rPr>
          <w:rStyle w:val="default"/>
          <w:rFonts w:cs="FrankRuehl" w:hint="cs"/>
          <w:rtl/>
        </w:rPr>
        <w:t>; ואולם אם השירות המתבסס על נתוני אשראי הוא שירות ייעוץ ללקוח, לפי סעיף 13(2) לחוק, תהיה לשכת אשראי רשאית להחזיק בנתוני האשראי לתקופה ארוכה יותר אם ניתנה לכך הסכמה מפורשת של הלקוח, ובלבד שלא תעלה על תקופה של שבע שנים</w:t>
      </w:r>
      <w:r w:rsidR="00D96125">
        <w:rPr>
          <w:rStyle w:val="default"/>
          <w:rFonts w:cs="FrankRuehl" w:hint="cs"/>
          <w:rtl/>
        </w:rPr>
        <w:t>.</w:t>
      </w:r>
    </w:p>
    <w:p w:rsidR="009F6D00" w:rsidRPr="00330173" w:rsidRDefault="009F6D00" w:rsidP="009F6D00">
      <w:pPr>
        <w:pStyle w:val="P00"/>
        <w:spacing w:before="0"/>
        <w:ind w:left="0" w:right="1134"/>
        <w:rPr>
          <w:rStyle w:val="default"/>
          <w:rFonts w:ascii="FrankRuehl" w:hAnsi="FrankRuehl" w:cs="FrankRuehl"/>
          <w:vanish/>
          <w:color w:val="FF0000"/>
          <w:szCs w:val="20"/>
          <w:shd w:val="clear" w:color="auto" w:fill="FFFF99"/>
          <w:rtl/>
        </w:rPr>
      </w:pPr>
      <w:bookmarkStart w:id="38" w:name="Rov148"/>
      <w:r w:rsidRPr="00330173">
        <w:rPr>
          <w:rStyle w:val="default"/>
          <w:rFonts w:ascii="FrankRuehl" w:hAnsi="FrankRuehl" w:cs="FrankRuehl"/>
          <w:vanish/>
          <w:color w:val="FF0000"/>
          <w:szCs w:val="20"/>
          <w:shd w:val="clear" w:color="auto" w:fill="FFFF99"/>
          <w:rtl/>
        </w:rPr>
        <w:t xml:space="preserve">מיום </w:t>
      </w:r>
      <w:r w:rsidRPr="00330173">
        <w:rPr>
          <w:rStyle w:val="default"/>
          <w:rFonts w:ascii="FrankRuehl" w:hAnsi="FrankRuehl" w:cs="FrankRuehl" w:hint="cs"/>
          <w:vanish/>
          <w:color w:val="FF0000"/>
          <w:szCs w:val="20"/>
          <w:shd w:val="clear" w:color="auto" w:fill="FFFF99"/>
          <w:rtl/>
        </w:rPr>
        <w:t>4.3</w:t>
      </w:r>
      <w:r w:rsidRPr="00330173">
        <w:rPr>
          <w:rStyle w:val="default"/>
          <w:rFonts w:ascii="FrankRuehl" w:hAnsi="FrankRuehl" w:cs="FrankRuehl"/>
          <w:vanish/>
          <w:color w:val="FF0000"/>
          <w:szCs w:val="20"/>
          <w:shd w:val="clear" w:color="auto" w:fill="FFFF99"/>
          <w:rtl/>
        </w:rPr>
        <w:t>.2021</w:t>
      </w:r>
    </w:p>
    <w:p w:rsidR="009F6D00" w:rsidRPr="00330173" w:rsidRDefault="009F6D00" w:rsidP="009F6D00">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9F6D00" w:rsidRPr="00330173" w:rsidRDefault="009F6D00" w:rsidP="009F6D00">
      <w:pPr>
        <w:pStyle w:val="P00"/>
        <w:spacing w:before="0"/>
        <w:ind w:left="0" w:right="1134"/>
        <w:rPr>
          <w:rStyle w:val="default"/>
          <w:rFonts w:ascii="FrankRuehl" w:hAnsi="FrankRuehl" w:cs="FrankRuehl"/>
          <w:vanish/>
          <w:szCs w:val="20"/>
          <w:shd w:val="clear" w:color="auto" w:fill="FFFF99"/>
          <w:rtl/>
        </w:rPr>
      </w:pPr>
      <w:hyperlink r:id="rId21"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6</w:t>
      </w:r>
    </w:p>
    <w:p w:rsidR="009F6D00" w:rsidRPr="00330173" w:rsidRDefault="009F6D00" w:rsidP="009F6D00">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b/>
          <w:bCs/>
          <w:vanish/>
          <w:szCs w:val="20"/>
          <w:shd w:val="clear" w:color="auto" w:fill="FFFF99"/>
          <w:rtl/>
        </w:rPr>
        <w:t>החלפת תקנה 17</w:t>
      </w:r>
    </w:p>
    <w:p w:rsidR="009F6D00" w:rsidRPr="00330173" w:rsidRDefault="009F6D00" w:rsidP="009F6D00">
      <w:pPr>
        <w:pStyle w:val="P0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vanish/>
          <w:szCs w:val="20"/>
          <w:shd w:val="clear" w:color="auto" w:fill="FFFF99"/>
          <w:rtl/>
        </w:rPr>
        <w:t>הנוסח הקודם:</w:t>
      </w:r>
    </w:p>
    <w:p w:rsidR="0056297C" w:rsidRPr="00330173" w:rsidRDefault="0056297C" w:rsidP="0056297C">
      <w:pPr>
        <w:pStyle w:val="P00"/>
        <w:spacing w:before="20"/>
        <w:ind w:left="0" w:right="1134"/>
        <w:rPr>
          <w:rStyle w:val="default"/>
          <w:rFonts w:ascii="Miriam" w:hAnsi="Miriam" w:cs="Miriam"/>
          <w:strike/>
          <w:vanish/>
          <w:sz w:val="16"/>
          <w:szCs w:val="16"/>
          <w:shd w:val="clear" w:color="auto" w:fill="FFFF99"/>
          <w:rtl/>
        </w:rPr>
      </w:pPr>
      <w:r w:rsidRPr="00330173">
        <w:rPr>
          <w:rStyle w:val="default"/>
          <w:rFonts w:ascii="Miriam" w:hAnsi="Miriam" w:cs="Miriam"/>
          <w:strike/>
          <w:vanish/>
          <w:sz w:val="16"/>
          <w:szCs w:val="16"/>
          <w:shd w:val="clear" w:color="auto" w:fill="FFFF99"/>
          <w:rtl/>
        </w:rPr>
        <w:t>תקופת החזקת נתוני אשראי בידי לשכת האשראי</w:t>
      </w:r>
    </w:p>
    <w:p w:rsidR="0056297C" w:rsidRPr="0056297C" w:rsidRDefault="0056297C" w:rsidP="0056297C">
      <w:pPr>
        <w:pStyle w:val="P00"/>
        <w:spacing w:before="0"/>
        <w:ind w:left="0" w:right="1134"/>
        <w:rPr>
          <w:rStyle w:val="default"/>
          <w:rFonts w:cs="FrankRuehl"/>
          <w:sz w:val="2"/>
          <w:szCs w:val="2"/>
          <w:rtl/>
        </w:rPr>
      </w:pPr>
      <w:r w:rsidRPr="00330173">
        <w:rPr>
          <w:rStyle w:val="default"/>
          <w:rFonts w:cs="FrankRuehl" w:hint="cs"/>
          <w:strike/>
          <w:vanish/>
          <w:sz w:val="16"/>
          <w:szCs w:val="22"/>
          <w:shd w:val="clear" w:color="auto" w:fill="FFFF99"/>
          <w:rtl/>
        </w:rPr>
        <w:t>17</w:t>
      </w:r>
      <w:r w:rsidRPr="00330173">
        <w:rPr>
          <w:rStyle w:val="default"/>
          <w:rFonts w:cs="FrankRuehl"/>
          <w:strike/>
          <w:vanish/>
          <w:sz w:val="16"/>
          <w:szCs w:val="22"/>
          <w:shd w:val="clear" w:color="auto" w:fill="FFFF99"/>
          <w:rtl/>
        </w:rPr>
        <w:t>.</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לשכת האשראי לא תחזיק בנתוני אשראי שקיבלה לשם מתן שירות נתוני אשראי או שירות המתבסס על נתוני אשראי יותר מ-30 ימים.</w:t>
      </w:r>
      <w:bookmarkEnd w:id="38"/>
    </w:p>
    <w:p w:rsidR="00386EF5" w:rsidRDefault="00386EF5" w:rsidP="00386EF5">
      <w:pPr>
        <w:pStyle w:val="P00"/>
        <w:spacing w:before="72"/>
        <w:ind w:left="0" w:right="1134"/>
        <w:rPr>
          <w:rStyle w:val="default"/>
          <w:rFonts w:cs="FrankRuehl"/>
          <w:rtl/>
        </w:rPr>
      </w:pPr>
      <w:bookmarkStart w:id="39" w:name="Seif18"/>
      <w:bookmarkEnd w:id="39"/>
      <w:r>
        <w:rPr>
          <w:lang w:val="he-IL"/>
        </w:rPr>
        <w:pict>
          <v:rect id="_x0000_s2332" style="position:absolute;left:0;text-align:left;margin-left:464.5pt;margin-top:8.05pt;width:75.05pt;height:28.15pt;z-index:251651584" o:allowincell="f" filled="f" stroked="f" strokecolor="lime" strokeweight=".25pt">
            <v:textbox style="mso-next-textbox:#_x0000_s2332" inset="0,0,0,0">
              <w:txbxContent>
                <w:p w:rsidR="00BC191A" w:rsidRDefault="00BC191A" w:rsidP="00386EF5">
                  <w:pPr>
                    <w:spacing w:line="160" w:lineRule="exact"/>
                    <w:jc w:val="left"/>
                    <w:rPr>
                      <w:rFonts w:cs="Miriam" w:hint="cs"/>
                      <w:szCs w:val="18"/>
                      <w:rtl/>
                    </w:rPr>
                  </w:pPr>
                  <w:r>
                    <w:rPr>
                      <w:rFonts w:cs="Miriam" w:hint="cs"/>
                      <w:szCs w:val="18"/>
                      <w:rtl/>
                    </w:rPr>
                    <w:t>פרטים מזהים הכלולים בנתוני אשראי</w:t>
                  </w:r>
                </w:p>
              </w:txbxContent>
            </v:textbox>
            <w10:anchorlock/>
          </v:rect>
        </w:pict>
      </w:r>
      <w:r>
        <w:rPr>
          <w:rStyle w:val="big-number"/>
          <w:rFonts w:hint="cs"/>
          <w:rtl/>
        </w:rPr>
        <w:t>1</w:t>
      </w:r>
      <w:r w:rsidR="00D96125">
        <w:rPr>
          <w:rStyle w:val="big-number"/>
          <w:rFonts w:hint="cs"/>
          <w:rtl/>
        </w:rPr>
        <w:t>8</w:t>
      </w:r>
      <w:r>
        <w:rPr>
          <w:rStyle w:val="default"/>
          <w:rFonts w:cs="FrankRuehl"/>
          <w:rtl/>
        </w:rPr>
        <w:t>.</w:t>
      </w:r>
      <w:r>
        <w:rPr>
          <w:rStyle w:val="default"/>
          <w:rFonts w:cs="FrankRuehl"/>
          <w:rtl/>
        </w:rPr>
        <w:tab/>
      </w:r>
      <w:r w:rsidR="00C95911">
        <w:rPr>
          <w:rStyle w:val="default"/>
          <w:rFonts w:cs="FrankRuehl" w:hint="cs"/>
          <w:rtl/>
        </w:rPr>
        <w:t>הפרטים המזהים של הלקוח לשם הכללתם במאגר נתוני אשראי לצורך פרק ו' לחוק יהיו שם פרטי ושם משפחה, מספר זהות, תאריך לידה, כתובת; הפרטים המזהים של לקוח לצורך פרק ז' לחוק יהיו שם פרטי ושם משפחה ומספר זהות.</w:t>
      </w:r>
    </w:p>
    <w:p w:rsidR="00386EF5" w:rsidRDefault="00386EF5" w:rsidP="00386EF5">
      <w:pPr>
        <w:pStyle w:val="P00"/>
        <w:spacing w:before="72"/>
        <w:ind w:left="0" w:right="1134"/>
        <w:rPr>
          <w:rStyle w:val="default"/>
          <w:rFonts w:cs="FrankRuehl"/>
          <w:rtl/>
        </w:rPr>
      </w:pPr>
      <w:bookmarkStart w:id="40" w:name="Seif19"/>
      <w:bookmarkEnd w:id="40"/>
      <w:r>
        <w:rPr>
          <w:lang w:val="he-IL"/>
        </w:rPr>
        <w:pict>
          <v:rect id="_x0000_s2333" style="position:absolute;left:0;text-align:left;margin-left:464.5pt;margin-top:8.05pt;width:75.05pt;height:11.55pt;z-index:251652608" o:allowincell="f" filled="f" stroked="f" strokecolor="lime" strokeweight=".25pt">
            <v:textbox style="mso-next-textbox:#_x0000_s2333" inset="0,0,0,0">
              <w:txbxContent>
                <w:p w:rsidR="00BC191A" w:rsidRDefault="00BC191A" w:rsidP="00386EF5">
                  <w:pPr>
                    <w:spacing w:line="160" w:lineRule="exact"/>
                    <w:jc w:val="left"/>
                    <w:rPr>
                      <w:rFonts w:cs="Miriam" w:hint="cs"/>
                      <w:szCs w:val="18"/>
                      <w:rtl/>
                    </w:rPr>
                  </w:pPr>
                  <w:r>
                    <w:rPr>
                      <w:rFonts w:cs="Miriam" w:hint="cs"/>
                      <w:szCs w:val="18"/>
                      <w:rtl/>
                    </w:rPr>
                    <w:t>הוראות</w:t>
                  </w:r>
                </w:p>
              </w:txbxContent>
            </v:textbox>
            <w10:anchorlock/>
          </v:rect>
        </w:pict>
      </w:r>
      <w:r>
        <w:rPr>
          <w:rStyle w:val="big-number"/>
          <w:rFonts w:hint="cs"/>
          <w:rtl/>
        </w:rPr>
        <w:t>1</w:t>
      </w:r>
      <w:r w:rsidR="00C95911">
        <w:rPr>
          <w:rStyle w:val="big-number"/>
          <w:rFonts w:hint="cs"/>
          <w:rtl/>
        </w:rPr>
        <w:t>9</w:t>
      </w:r>
      <w:r>
        <w:rPr>
          <w:rStyle w:val="default"/>
          <w:rFonts w:cs="FrankRuehl"/>
          <w:rtl/>
        </w:rPr>
        <w:t>.</w:t>
      </w:r>
      <w:r>
        <w:rPr>
          <w:rStyle w:val="default"/>
          <w:rFonts w:cs="FrankRuehl"/>
          <w:rtl/>
        </w:rPr>
        <w:tab/>
      </w:r>
      <w:r w:rsidR="00C95911">
        <w:rPr>
          <w:rStyle w:val="default"/>
          <w:rFonts w:cs="FrankRuehl" w:hint="cs"/>
          <w:rtl/>
        </w:rPr>
        <w:t xml:space="preserve">התקופה שאליה יתייחסו נתוני אשראי שיועברו למאגר ביום תחילתו של החוק לפי סעיף 123 לחוק תהיה </w:t>
      </w:r>
      <w:r w:rsidR="00C95911">
        <w:rPr>
          <w:rStyle w:val="default"/>
          <w:rFonts w:cs="FrankRuehl"/>
          <w:rtl/>
        </w:rPr>
        <w:t>–</w:t>
      </w:r>
    </w:p>
    <w:p w:rsidR="00C95911" w:rsidRDefault="00C95911" w:rsidP="00C9591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תאגיד בנקאי ומנפיק כרטיס חיוב </w:t>
      </w:r>
      <w:r>
        <w:rPr>
          <w:rStyle w:val="default"/>
          <w:rFonts w:cs="FrankRuehl"/>
          <w:rtl/>
        </w:rPr>
        <w:t>–</w:t>
      </w:r>
      <w:r>
        <w:rPr>
          <w:rStyle w:val="default"/>
          <w:rFonts w:cs="FrankRuehl" w:hint="cs"/>
          <w:rtl/>
        </w:rPr>
        <w:t xml:space="preserve"> מיום כ"ג בניסן התשע"ו (1 במאי 2016);</w:t>
      </w:r>
    </w:p>
    <w:p w:rsidR="00C95911" w:rsidRDefault="00C95911" w:rsidP="00C9591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שאר מקורות המידע </w:t>
      </w:r>
      <w:r>
        <w:rPr>
          <w:rStyle w:val="default"/>
          <w:rFonts w:cs="FrankRuehl"/>
          <w:rtl/>
        </w:rPr>
        <w:t>–</w:t>
      </w:r>
      <w:r>
        <w:rPr>
          <w:rStyle w:val="default"/>
          <w:rFonts w:cs="FrankRuehl" w:hint="cs"/>
          <w:rtl/>
        </w:rPr>
        <w:t xml:space="preserve"> מיום תחילת החוק;</w:t>
      </w:r>
    </w:p>
    <w:p w:rsidR="00C95911" w:rsidRDefault="00C95911" w:rsidP="00C9591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מקור מוסמך </w:t>
      </w:r>
      <w:r>
        <w:rPr>
          <w:rStyle w:val="default"/>
          <w:rFonts w:cs="FrankRuehl"/>
          <w:rtl/>
        </w:rPr>
        <w:t>–</w:t>
      </w:r>
      <w:r>
        <w:rPr>
          <w:rStyle w:val="default"/>
          <w:rFonts w:cs="FrankRuehl" w:hint="cs"/>
          <w:rtl/>
        </w:rPr>
        <w:t xml:space="preserve"> מיום תחילת החוק לגביו או במועד מאוחר יותר כפי שיורה לו הממונה לפי סעיף 26(א)(2) או לפי הוראות הממונה לפי סעיף 68 לחוק.</w:t>
      </w:r>
    </w:p>
    <w:p w:rsidR="00386EF5" w:rsidRDefault="00386EF5" w:rsidP="00386EF5">
      <w:pPr>
        <w:pStyle w:val="P00"/>
        <w:spacing w:before="72"/>
        <w:ind w:left="0" w:right="1134"/>
        <w:rPr>
          <w:rStyle w:val="default"/>
          <w:rFonts w:cs="FrankRuehl"/>
          <w:rtl/>
        </w:rPr>
      </w:pPr>
      <w:bookmarkStart w:id="41" w:name="Seif20"/>
      <w:bookmarkEnd w:id="41"/>
      <w:r>
        <w:rPr>
          <w:lang w:val="he-IL"/>
        </w:rPr>
        <w:pict>
          <v:rect id="_x0000_s2334" style="position:absolute;left:0;text-align:left;margin-left:464.5pt;margin-top:8.05pt;width:75.05pt;height:27.45pt;z-index:251653632" o:allowincell="f" filled="f" stroked="f" strokecolor="lime" strokeweight=".25pt">
            <v:textbox style="mso-next-textbox:#_x0000_s2334" inset="0,0,0,0">
              <w:txbxContent>
                <w:p w:rsidR="00BC191A" w:rsidRDefault="0056297C" w:rsidP="00386EF5">
                  <w:pPr>
                    <w:spacing w:line="160" w:lineRule="exact"/>
                    <w:jc w:val="left"/>
                    <w:rPr>
                      <w:rFonts w:cs="Miriam"/>
                      <w:szCs w:val="18"/>
                      <w:rtl/>
                    </w:rPr>
                  </w:pPr>
                  <w:r>
                    <w:rPr>
                      <w:rFonts w:cs="Miriam" w:hint="cs"/>
                      <w:szCs w:val="18"/>
                      <w:rtl/>
                    </w:rPr>
                    <w:t>עדכון סכומים</w:t>
                  </w:r>
                </w:p>
                <w:p w:rsidR="0056297C" w:rsidRDefault="0056297C" w:rsidP="00386EF5">
                  <w:pPr>
                    <w:spacing w:line="160" w:lineRule="exact"/>
                    <w:jc w:val="left"/>
                    <w:rPr>
                      <w:rFonts w:cs="Miriam"/>
                      <w:szCs w:val="18"/>
                      <w:rtl/>
                    </w:rPr>
                  </w:pPr>
                  <w:r>
                    <w:rPr>
                      <w:rFonts w:cs="Miriam" w:hint="cs"/>
                      <w:szCs w:val="18"/>
                      <w:rtl/>
                    </w:rPr>
                    <w:t>תק' תשפ"א-2021</w:t>
                  </w:r>
                </w:p>
                <w:p w:rsidR="00330173" w:rsidRDefault="00330173" w:rsidP="00386EF5">
                  <w:pPr>
                    <w:spacing w:line="160" w:lineRule="exact"/>
                    <w:jc w:val="left"/>
                    <w:rPr>
                      <w:rFonts w:cs="Miriam" w:hint="cs"/>
                      <w:szCs w:val="18"/>
                      <w:rtl/>
                    </w:rPr>
                  </w:pPr>
                  <w:r>
                    <w:rPr>
                      <w:rFonts w:cs="Miriam" w:hint="cs"/>
                      <w:szCs w:val="18"/>
                      <w:rtl/>
                    </w:rPr>
                    <w:t>ת"ט תשפ"ג-2023</w:t>
                  </w:r>
                </w:p>
              </w:txbxContent>
            </v:textbox>
            <w10:anchorlock/>
          </v:rect>
        </w:pict>
      </w:r>
      <w:r>
        <w:rPr>
          <w:rStyle w:val="big-number"/>
          <w:rFonts w:hint="cs"/>
          <w:rtl/>
        </w:rPr>
        <w:t>20</w:t>
      </w:r>
      <w:r>
        <w:rPr>
          <w:rStyle w:val="default"/>
          <w:rFonts w:cs="FrankRuehl"/>
          <w:rtl/>
        </w:rPr>
        <w:t>.</w:t>
      </w:r>
      <w:r>
        <w:rPr>
          <w:rStyle w:val="default"/>
          <w:rFonts w:cs="FrankRuehl"/>
          <w:rtl/>
        </w:rPr>
        <w:tab/>
      </w:r>
      <w:r w:rsidR="0056297C">
        <w:rPr>
          <w:rStyle w:val="default"/>
          <w:rFonts w:cs="FrankRuehl" w:hint="cs"/>
          <w:rtl/>
        </w:rPr>
        <w:t>(א)</w:t>
      </w:r>
      <w:r w:rsidR="0056297C">
        <w:rPr>
          <w:rStyle w:val="default"/>
          <w:rFonts w:cs="FrankRuehl"/>
          <w:rtl/>
        </w:rPr>
        <w:tab/>
      </w:r>
      <w:r w:rsidR="0056297C">
        <w:rPr>
          <w:rStyle w:val="default"/>
          <w:rFonts w:cs="FrankRuehl" w:hint="cs"/>
          <w:rtl/>
        </w:rPr>
        <w:t xml:space="preserve">התברר ב-1 בינואר כי שיעור השינוי של מדד המחירים לצרכן שמפרסמת הלשכה המרכזית לסטטיסטיקה עולה על 10%, יעודכנו הסכומים לפי תקנות 3(2) ו-(4), 4(2) ו-(4) ו-13 במועד האמור, בהתאם לשיעור השינוי (בתקנה זו </w:t>
      </w:r>
      <w:r w:rsidR="0056297C">
        <w:rPr>
          <w:rStyle w:val="default"/>
          <w:rFonts w:cs="FrankRuehl"/>
          <w:rtl/>
        </w:rPr>
        <w:t>–</w:t>
      </w:r>
      <w:r w:rsidR="0056297C">
        <w:rPr>
          <w:rStyle w:val="default"/>
          <w:rFonts w:cs="FrankRuehl" w:hint="cs"/>
          <w:rtl/>
        </w:rPr>
        <w:t xml:space="preserve"> מועד העדכון); סכומים כאמור יעוגלו לסכום הקרוב השלם שהוא מכפלה של 10 שקלים חדשים; השר יפרסם ברשומות הודעה על הסכומים המעודכנים לפי תקנה זו; לעניין זה, "שיעור השינוי" </w:t>
      </w:r>
      <w:r w:rsidR="0056297C">
        <w:rPr>
          <w:rStyle w:val="default"/>
          <w:rFonts w:cs="FrankRuehl"/>
          <w:rtl/>
        </w:rPr>
        <w:t>–</w:t>
      </w:r>
      <w:r w:rsidR="0056297C">
        <w:rPr>
          <w:rStyle w:val="default"/>
          <w:rFonts w:cs="FrankRuehl" w:hint="cs"/>
          <w:rtl/>
        </w:rPr>
        <w:t xml:space="preserve"> שיעור השינוי במדד הידוע ב-1 בינואר לעומת המדד שהיה ידוע במועד העדכון הקודם</w:t>
      </w:r>
      <w:r w:rsidR="00782A44">
        <w:rPr>
          <w:rStyle w:val="default"/>
          <w:rFonts w:cs="FrankRuehl" w:hint="cs"/>
          <w:rtl/>
        </w:rPr>
        <w:t>.</w:t>
      </w:r>
    </w:p>
    <w:p w:rsidR="0056297C" w:rsidRDefault="0056297C"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עודכן סכום כאמור לפי תקנת משנה (א), יחול העדכון לעניין תקנות 3(2), (4), 4(2) ו-(4) רק על דיווח שנמסר למאגר ממועד העדכון, ובלבד שהדיווח האמור אינו דיווח מתקן, מעדכן או משלים נתון שהיה במאגר או שהיה צריך להיות מדווח למאגר ערב מועד העדכון.</w:t>
      </w:r>
    </w:p>
    <w:p w:rsidR="0056297C" w:rsidRPr="00330173" w:rsidRDefault="0056297C" w:rsidP="0056297C">
      <w:pPr>
        <w:pStyle w:val="P00"/>
        <w:spacing w:before="0"/>
        <w:ind w:left="0" w:right="1134"/>
        <w:rPr>
          <w:rStyle w:val="default"/>
          <w:rFonts w:ascii="FrankRuehl" w:hAnsi="FrankRuehl" w:cs="FrankRuehl"/>
          <w:vanish/>
          <w:color w:val="FF0000"/>
          <w:szCs w:val="20"/>
          <w:shd w:val="clear" w:color="auto" w:fill="FFFF99"/>
          <w:rtl/>
        </w:rPr>
      </w:pPr>
      <w:bookmarkStart w:id="42" w:name="Rov149"/>
      <w:r w:rsidRPr="00330173">
        <w:rPr>
          <w:rStyle w:val="default"/>
          <w:rFonts w:ascii="FrankRuehl" w:hAnsi="FrankRuehl" w:cs="FrankRuehl"/>
          <w:vanish/>
          <w:color w:val="FF0000"/>
          <w:szCs w:val="20"/>
          <w:shd w:val="clear" w:color="auto" w:fill="FFFF99"/>
          <w:rtl/>
        </w:rPr>
        <w:t xml:space="preserve">מיום </w:t>
      </w:r>
      <w:r w:rsidRPr="00330173">
        <w:rPr>
          <w:rStyle w:val="default"/>
          <w:rFonts w:ascii="FrankRuehl" w:hAnsi="FrankRuehl" w:cs="FrankRuehl" w:hint="cs"/>
          <w:vanish/>
          <w:color w:val="FF0000"/>
          <w:szCs w:val="20"/>
          <w:shd w:val="clear" w:color="auto" w:fill="FFFF99"/>
          <w:rtl/>
        </w:rPr>
        <w:t>4.3</w:t>
      </w:r>
      <w:r w:rsidRPr="00330173">
        <w:rPr>
          <w:rStyle w:val="default"/>
          <w:rFonts w:ascii="FrankRuehl" w:hAnsi="FrankRuehl" w:cs="FrankRuehl"/>
          <w:vanish/>
          <w:color w:val="FF0000"/>
          <w:szCs w:val="20"/>
          <w:shd w:val="clear" w:color="auto" w:fill="FFFF99"/>
          <w:rtl/>
        </w:rPr>
        <w:t>.2021</w:t>
      </w:r>
    </w:p>
    <w:p w:rsidR="0056297C" w:rsidRPr="00330173" w:rsidRDefault="0056297C" w:rsidP="0056297C">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b/>
          <w:bCs/>
          <w:vanish/>
          <w:szCs w:val="20"/>
          <w:shd w:val="clear" w:color="auto" w:fill="FFFF99"/>
          <w:rtl/>
        </w:rPr>
        <w:t>תק' תשפ"א-2021</w:t>
      </w:r>
    </w:p>
    <w:p w:rsidR="0056297C" w:rsidRPr="00330173" w:rsidRDefault="0056297C" w:rsidP="0056297C">
      <w:pPr>
        <w:pStyle w:val="P00"/>
        <w:spacing w:before="0"/>
        <w:ind w:left="0" w:right="1134"/>
        <w:rPr>
          <w:rStyle w:val="default"/>
          <w:rFonts w:ascii="FrankRuehl" w:hAnsi="FrankRuehl" w:cs="FrankRuehl"/>
          <w:vanish/>
          <w:szCs w:val="20"/>
          <w:shd w:val="clear" w:color="auto" w:fill="FFFF99"/>
          <w:rtl/>
        </w:rPr>
      </w:pPr>
      <w:hyperlink r:id="rId22" w:history="1">
        <w:r w:rsidRPr="00330173">
          <w:rPr>
            <w:rStyle w:val="Hyperlink"/>
            <w:rFonts w:ascii="FrankRuehl" w:hAnsi="FrankRuehl"/>
            <w:vanish/>
            <w:szCs w:val="20"/>
            <w:shd w:val="clear" w:color="auto" w:fill="FFFF99"/>
            <w:rtl/>
          </w:rPr>
          <w:t>ק"ת תשפ"א מס' 9242</w:t>
        </w:r>
      </w:hyperlink>
      <w:r w:rsidRPr="00330173">
        <w:rPr>
          <w:rStyle w:val="default"/>
          <w:rFonts w:ascii="FrankRuehl" w:hAnsi="FrankRuehl" w:cs="FrankRuehl"/>
          <w:vanish/>
          <w:szCs w:val="20"/>
          <w:shd w:val="clear" w:color="auto" w:fill="FFFF99"/>
          <w:rtl/>
        </w:rPr>
        <w:t xml:space="preserve"> מיום 4.3.2021 עמ' 240</w:t>
      </w:r>
      <w:r w:rsidRPr="00330173">
        <w:rPr>
          <w:rStyle w:val="default"/>
          <w:rFonts w:ascii="FrankRuehl" w:hAnsi="FrankRuehl" w:cs="FrankRuehl" w:hint="cs"/>
          <w:vanish/>
          <w:szCs w:val="20"/>
          <w:shd w:val="clear" w:color="auto" w:fill="FFFF99"/>
          <w:rtl/>
        </w:rPr>
        <w:t>6</w:t>
      </w:r>
    </w:p>
    <w:p w:rsidR="0056297C" w:rsidRPr="00330173" w:rsidRDefault="0056297C" w:rsidP="0056297C">
      <w:pPr>
        <w:pStyle w:val="P00"/>
        <w:spacing w:before="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b/>
          <w:bCs/>
          <w:vanish/>
          <w:szCs w:val="20"/>
          <w:shd w:val="clear" w:color="auto" w:fill="FFFF99"/>
          <w:rtl/>
        </w:rPr>
        <w:t>החלפת תקנה 20</w:t>
      </w:r>
    </w:p>
    <w:p w:rsidR="0056297C" w:rsidRPr="00330173" w:rsidRDefault="0056297C" w:rsidP="0056297C">
      <w:pPr>
        <w:pStyle w:val="P00"/>
        <w:ind w:left="0" w:right="1134"/>
        <w:rPr>
          <w:rStyle w:val="default"/>
          <w:rFonts w:ascii="FrankRuehl" w:hAnsi="FrankRuehl" w:cs="FrankRuehl"/>
          <w:vanish/>
          <w:szCs w:val="20"/>
          <w:shd w:val="clear" w:color="auto" w:fill="FFFF99"/>
          <w:rtl/>
        </w:rPr>
      </w:pPr>
      <w:r w:rsidRPr="00330173">
        <w:rPr>
          <w:rStyle w:val="default"/>
          <w:rFonts w:ascii="FrankRuehl" w:hAnsi="FrankRuehl" w:cs="FrankRuehl" w:hint="cs"/>
          <w:vanish/>
          <w:szCs w:val="20"/>
          <w:shd w:val="clear" w:color="auto" w:fill="FFFF99"/>
          <w:rtl/>
        </w:rPr>
        <w:t>הנוסח הקודם:</w:t>
      </w:r>
    </w:p>
    <w:p w:rsidR="0056297C" w:rsidRPr="00330173" w:rsidRDefault="0056297C" w:rsidP="0056297C">
      <w:pPr>
        <w:pStyle w:val="P00"/>
        <w:spacing w:before="20"/>
        <w:ind w:left="0" w:right="1134"/>
        <w:rPr>
          <w:rStyle w:val="default"/>
          <w:rFonts w:ascii="Miriam" w:hAnsi="Miriam" w:cs="Miriam"/>
          <w:strike/>
          <w:vanish/>
          <w:sz w:val="16"/>
          <w:szCs w:val="16"/>
          <w:shd w:val="clear" w:color="auto" w:fill="FFFF99"/>
          <w:rtl/>
        </w:rPr>
      </w:pPr>
      <w:r w:rsidRPr="00330173">
        <w:rPr>
          <w:rStyle w:val="default"/>
          <w:rFonts w:ascii="Miriam" w:hAnsi="Miriam" w:cs="Miriam" w:hint="cs"/>
          <w:strike/>
          <w:vanish/>
          <w:sz w:val="16"/>
          <w:szCs w:val="16"/>
          <w:shd w:val="clear" w:color="auto" w:fill="FFFF99"/>
          <w:rtl/>
        </w:rPr>
        <w:t>הצמדה</w:t>
      </w:r>
    </w:p>
    <w:p w:rsidR="00330173" w:rsidRPr="00330173" w:rsidRDefault="0056297C" w:rsidP="005B12E0">
      <w:pPr>
        <w:pStyle w:val="P00"/>
        <w:spacing w:before="0"/>
        <w:ind w:left="0" w:right="1134"/>
        <w:rPr>
          <w:rStyle w:val="default"/>
          <w:rFonts w:cs="FrankRuehl"/>
          <w:strike/>
          <w:vanish/>
          <w:sz w:val="16"/>
          <w:szCs w:val="22"/>
          <w:shd w:val="clear" w:color="auto" w:fill="FFFF99"/>
          <w:rtl/>
        </w:rPr>
      </w:pPr>
      <w:r w:rsidRPr="00330173">
        <w:rPr>
          <w:rStyle w:val="default"/>
          <w:rFonts w:cs="FrankRuehl" w:hint="cs"/>
          <w:strike/>
          <w:vanish/>
          <w:sz w:val="16"/>
          <w:szCs w:val="22"/>
          <w:shd w:val="clear" w:color="auto" w:fill="FFFF99"/>
          <w:rtl/>
        </w:rPr>
        <w:t>20</w:t>
      </w:r>
      <w:r w:rsidRPr="00330173">
        <w:rPr>
          <w:rStyle w:val="default"/>
          <w:rFonts w:cs="FrankRuehl"/>
          <w:strike/>
          <w:vanish/>
          <w:sz w:val="16"/>
          <w:szCs w:val="22"/>
          <w:shd w:val="clear" w:color="auto" w:fill="FFFF99"/>
          <w:rtl/>
        </w:rPr>
        <w:t>.</w:t>
      </w:r>
      <w:r w:rsidRPr="00330173">
        <w:rPr>
          <w:rStyle w:val="default"/>
          <w:rFonts w:cs="FrankRuehl"/>
          <w:strike/>
          <w:vanish/>
          <w:sz w:val="16"/>
          <w:szCs w:val="22"/>
          <w:shd w:val="clear" w:color="auto" w:fill="FFFF99"/>
          <w:rtl/>
        </w:rPr>
        <w:tab/>
      </w:r>
      <w:r w:rsidRPr="00330173">
        <w:rPr>
          <w:rStyle w:val="default"/>
          <w:rFonts w:cs="FrankRuehl" w:hint="cs"/>
          <w:strike/>
          <w:vanish/>
          <w:sz w:val="16"/>
          <w:szCs w:val="22"/>
          <w:shd w:val="clear" w:color="auto" w:fill="FFFF99"/>
          <w:rtl/>
        </w:rPr>
        <w:t>סכומים לפי תקנות 3(2), (4), 4(2), (4) ו-12 יתעדכנו ב-1 בינואר של כל שנה, לפי שיעור שינוי מדד המחירים לצרכן שמפרסמת הלשכה המרכזית לסטטיסטיקה, הידוע ביום העדכון, לעומת מדד ינואר 2017, ויעוגל לסכום הקרוב השלם שהוא מכפלה של 10 שקלים חדשים; שר המשפטים יפרסם ברשומות הודעה על הסכום המעודכן</w:t>
      </w:r>
      <w:r w:rsidR="00330173" w:rsidRPr="00330173">
        <w:rPr>
          <w:rStyle w:val="default"/>
          <w:rFonts w:cs="FrankRuehl" w:hint="cs"/>
          <w:strike/>
          <w:vanish/>
          <w:sz w:val="16"/>
          <w:szCs w:val="22"/>
          <w:shd w:val="clear" w:color="auto" w:fill="FFFF99"/>
          <w:rtl/>
        </w:rPr>
        <w:t>.</w:t>
      </w:r>
    </w:p>
    <w:p w:rsidR="00330173" w:rsidRPr="00330173" w:rsidRDefault="00330173" w:rsidP="005B12E0">
      <w:pPr>
        <w:pStyle w:val="P00"/>
        <w:spacing w:before="0"/>
        <w:ind w:left="0" w:right="1134"/>
        <w:rPr>
          <w:rStyle w:val="default"/>
          <w:rFonts w:cs="FrankRuehl"/>
          <w:vanish/>
          <w:sz w:val="14"/>
          <w:szCs w:val="20"/>
          <w:shd w:val="clear" w:color="auto" w:fill="FFFF99"/>
          <w:rtl/>
        </w:rPr>
      </w:pPr>
    </w:p>
    <w:p w:rsidR="00330173" w:rsidRPr="00330173" w:rsidRDefault="00330173" w:rsidP="005B12E0">
      <w:pPr>
        <w:pStyle w:val="P00"/>
        <w:spacing w:before="0"/>
        <w:ind w:left="0" w:right="1134"/>
        <w:rPr>
          <w:rStyle w:val="default"/>
          <w:rFonts w:cs="FrankRuehl"/>
          <w:vanish/>
          <w:color w:val="FF0000"/>
          <w:sz w:val="14"/>
          <w:szCs w:val="20"/>
          <w:shd w:val="clear" w:color="auto" w:fill="FFFF99"/>
          <w:rtl/>
        </w:rPr>
      </w:pPr>
      <w:r w:rsidRPr="00330173">
        <w:rPr>
          <w:rStyle w:val="default"/>
          <w:rFonts w:cs="FrankRuehl" w:hint="cs"/>
          <w:vanish/>
          <w:color w:val="FF0000"/>
          <w:sz w:val="14"/>
          <w:szCs w:val="20"/>
          <w:shd w:val="clear" w:color="auto" w:fill="FFFF99"/>
          <w:rtl/>
        </w:rPr>
        <w:t>מיום 4.3.2021</w:t>
      </w:r>
    </w:p>
    <w:p w:rsidR="00330173" w:rsidRPr="00330173" w:rsidRDefault="00330173" w:rsidP="005B12E0">
      <w:pPr>
        <w:pStyle w:val="P00"/>
        <w:spacing w:before="0"/>
        <w:ind w:left="0" w:right="1134"/>
        <w:rPr>
          <w:rStyle w:val="default"/>
          <w:rFonts w:cs="FrankRuehl"/>
          <w:vanish/>
          <w:sz w:val="14"/>
          <w:szCs w:val="20"/>
          <w:shd w:val="clear" w:color="auto" w:fill="FFFF99"/>
          <w:rtl/>
        </w:rPr>
      </w:pPr>
      <w:r w:rsidRPr="00330173">
        <w:rPr>
          <w:rStyle w:val="default"/>
          <w:rFonts w:cs="FrankRuehl" w:hint="cs"/>
          <w:b/>
          <w:bCs/>
          <w:vanish/>
          <w:sz w:val="14"/>
          <w:szCs w:val="20"/>
          <w:shd w:val="clear" w:color="auto" w:fill="FFFF99"/>
          <w:rtl/>
        </w:rPr>
        <w:t>ת"ט תשפ"ג-2023</w:t>
      </w:r>
    </w:p>
    <w:p w:rsidR="00330173" w:rsidRPr="00330173" w:rsidRDefault="00330173" w:rsidP="005B12E0">
      <w:pPr>
        <w:pStyle w:val="P00"/>
        <w:spacing w:before="0"/>
        <w:ind w:left="0" w:right="1134"/>
        <w:rPr>
          <w:rStyle w:val="default"/>
          <w:rFonts w:cs="FrankRuehl"/>
          <w:vanish/>
          <w:sz w:val="14"/>
          <w:szCs w:val="20"/>
          <w:shd w:val="clear" w:color="auto" w:fill="FFFF99"/>
          <w:rtl/>
        </w:rPr>
      </w:pPr>
      <w:hyperlink r:id="rId23" w:history="1">
        <w:r w:rsidRPr="00330173">
          <w:rPr>
            <w:rStyle w:val="Hyperlink"/>
            <w:rFonts w:hint="cs"/>
            <w:vanish/>
            <w:sz w:val="14"/>
            <w:szCs w:val="20"/>
            <w:shd w:val="clear" w:color="auto" w:fill="FFFF99"/>
            <w:rtl/>
          </w:rPr>
          <w:t>ק"ת תשפ"ג מס' 10594</w:t>
        </w:r>
      </w:hyperlink>
      <w:r w:rsidRPr="00330173">
        <w:rPr>
          <w:rStyle w:val="default"/>
          <w:rFonts w:cs="FrankRuehl" w:hint="cs"/>
          <w:vanish/>
          <w:sz w:val="14"/>
          <w:szCs w:val="20"/>
          <w:shd w:val="clear" w:color="auto" w:fill="FFFF99"/>
          <w:rtl/>
        </w:rPr>
        <w:t xml:space="preserve"> מיום 22.3.2023 עמ' 1144</w:t>
      </w:r>
    </w:p>
    <w:p w:rsidR="0056297C" w:rsidRPr="005B12E0" w:rsidRDefault="00330173" w:rsidP="00330173">
      <w:pPr>
        <w:pStyle w:val="P00"/>
        <w:ind w:left="0" w:right="1134"/>
        <w:rPr>
          <w:rStyle w:val="default"/>
          <w:rFonts w:cs="FrankRuehl"/>
          <w:strike/>
          <w:sz w:val="2"/>
          <w:szCs w:val="2"/>
          <w:rtl/>
        </w:rPr>
      </w:pP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(א)</w:t>
      </w:r>
      <w:r w:rsidRPr="00330173">
        <w:rPr>
          <w:rStyle w:val="default"/>
          <w:rFonts w:cs="FrankRuehl"/>
          <w:vanish/>
          <w:sz w:val="16"/>
          <w:szCs w:val="22"/>
          <w:shd w:val="clear" w:color="auto" w:fill="FFFF99"/>
          <w:rtl/>
        </w:rPr>
        <w:tab/>
      </w:r>
      <w:r w:rsidRPr="00330173">
        <w:rPr>
          <w:rStyle w:val="default"/>
          <w:rFonts w:cs="FrankRuehl" w:hint="cs"/>
          <w:vanish/>
          <w:sz w:val="16"/>
          <w:szCs w:val="22"/>
          <w:shd w:val="clear" w:color="auto" w:fill="FFFF99"/>
          <w:rtl/>
        </w:rPr>
        <w:t xml:space="preserve">התברר ב-1 בינואר כי שיעור השינוי של מדד המחירים לצרכן שמפרסמת הלשכה המרכזית לסטטיסטיקה עולה על 10%, יעודכנו הסכומים לפי תקנות 3(2) ו-(4), 4(2) ו-(4) ו-13 במועד האמור, בהתאם לשיעור השינוי (בתקנה זו </w:t>
      </w:r>
      <w:r w:rsidRPr="00330173">
        <w:rPr>
          <w:rStyle w:val="default"/>
          <w:rFonts w:cs="FrankRuehl"/>
          <w:vanish/>
          <w:sz w:val="16"/>
          <w:szCs w:val="22"/>
          <w:shd w:val="clear" w:color="auto" w:fill="FFFF99"/>
          <w:rtl/>
        </w:rPr>
        <w:t>–</w:t>
      </w:r>
      <w:r w:rsidRPr="00330173">
        <w:rPr>
          <w:rStyle w:val="default"/>
          <w:rFonts w:cs="FrankRuehl" w:hint="cs"/>
          <w:vanish/>
          <w:sz w:val="16"/>
          <w:szCs w:val="22"/>
          <w:shd w:val="clear" w:color="auto" w:fill="FFFF99"/>
          <w:rtl/>
        </w:rPr>
        <w:t xml:space="preserve"> מועד העדכון); סכומים כאמור יעוגלו לסכום הקרוב השלם שהוא מכפלה של 10 שקלים חדשים; השר יפרסם ברשומות הודעה על הסכומים המעודכנים לפי תקנה זו; לעניין זה, "שיעור השינוי" </w:t>
      </w:r>
      <w:r w:rsidRPr="00330173">
        <w:rPr>
          <w:rStyle w:val="default"/>
          <w:rFonts w:cs="FrankRuehl"/>
          <w:vanish/>
          <w:sz w:val="16"/>
          <w:szCs w:val="22"/>
          <w:shd w:val="clear" w:color="auto" w:fill="FFFF99"/>
          <w:rtl/>
        </w:rPr>
        <w:t>–</w:t>
      </w:r>
      <w:r w:rsidRPr="00330173">
        <w:rPr>
          <w:rStyle w:val="default"/>
          <w:rFonts w:cs="FrankRuehl" w:hint="cs"/>
          <w:vanish/>
          <w:sz w:val="16"/>
          <w:szCs w:val="22"/>
          <w:shd w:val="clear" w:color="auto" w:fill="FFFF99"/>
          <w:rtl/>
        </w:rPr>
        <w:t xml:space="preserve"> שיעור השינוי במדד הידוע ב-1 בינואר לעומת המדד שהיה ידוע </w:t>
      </w:r>
      <w:r w:rsidRPr="00330173">
        <w:rPr>
          <w:rStyle w:val="default"/>
          <w:rFonts w:cs="FrankRuehl" w:hint="cs"/>
          <w:strike/>
          <w:vanish/>
          <w:sz w:val="16"/>
          <w:szCs w:val="22"/>
          <w:shd w:val="clear" w:color="auto" w:fill="FFFF99"/>
          <w:rtl/>
        </w:rPr>
        <w:t>בינואר שקדם למועד העדכון הקודם</w:t>
      </w:r>
      <w:r w:rsidRPr="00330173">
        <w:rPr>
          <w:rStyle w:val="default"/>
          <w:rFonts w:cs="FrankRuehl" w:hint="cs"/>
          <w:vanish/>
          <w:sz w:val="16"/>
          <w:szCs w:val="22"/>
          <w:shd w:val="clear" w:color="auto" w:fill="FFFF99"/>
          <w:rtl/>
        </w:rPr>
        <w:t xml:space="preserve"> </w:t>
      </w:r>
      <w:r w:rsidRPr="00330173">
        <w:rPr>
          <w:rStyle w:val="default"/>
          <w:rFonts w:cs="FrankRuehl" w:hint="cs"/>
          <w:vanish/>
          <w:sz w:val="16"/>
          <w:szCs w:val="22"/>
          <w:u w:val="single"/>
          <w:shd w:val="clear" w:color="auto" w:fill="FFFF99"/>
          <w:rtl/>
        </w:rPr>
        <w:t>במועד העדכון הקודם</w:t>
      </w:r>
      <w:r w:rsidRPr="00330173">
        <w:rPr>
          <w:rStyle w:val="default"/>
          <w:rFonts w:cs="FrankRuehl" w:hint="cs"/>
          <w:vanish/>
          <w:sz w:val="16"/>
          <w:szCs w:val="22"/>
          <w:shd w:val="clear" w:color="auto" w:fill="FFFF99"/>
          <w:rtl/>
        </w:rPr>
        <w:t>.</w:t>
      </w:r>
      <w:bookmarkEnd w:id="42"/>
    </w:p>
    <w:p w:rsidR="001153D7" w:rsidRDefault="001153D7">
      <w:pPr>
        <w:pStyle w:val="P00"/>
        <w:spacing w:before="72"/>
        <w:ind w:left="0" w:right="1134"/>
        <w:rPr>
          <w:rStyle w:val="default"/>
          <w:rFonts w:cs="FrankRuehl"/>
          <w:rtl/>
        </w:rPr>
      </w:pPr>
    </w:p>
    <w:p w:rsidR="00386EF5" w:rsidRPr="005F092E" w:rsidRDefault="005B12E0" w:rsidP="005B12E0">
      <w:pPr>
        <w:pStyle w:val="medium2-header"/>
        <w:keepLines w:val="0"/>
        <w:spacing w:before="72"/>
        <w:ind w:left="0" w:right="1134"/>
        <w:rPr>
          <w:noProof/>
          <w:rtl/>
        </w:rPr>
      </w:pPr>
      <w:bookmarkStart w:id="43" w:name="med6"/>
      <w:bookmarkEnd w:id="43"/>
      <w:r>
        <w:rPr>
          <w:noProof/>
          <w:sz w:val="20"/>
          <w:rtl/>
          <w:lang w:eastAsia="en-US"/>
        </w:rPr>
        <w:pict>
          <v:shape id="_x0000_s2366" type="#_x0000_t202" style="position:absolute;left:0;text-align:left;margin-left:470.35pt;margin-top:7.1pt;width:1in;height:10.95pt;z-index:251679232" filled="f" stroked="f">
            <v:textbox inset="1mm,0,1mm,0">
              <w:txbxContent>
                <w:p w:rsidR="005B12E0" w:rsidRDefault="005B12E0" w:rsidP="005B12E0">
                  <w:pPr>
                    <w:spacing w:line="160" w:lineRule="exact"/>
                    <w:jc w:val="left"/>
                    <w:rPr>
                      <w:rFonts w:cs="Miriam"/>
                      <w:noProof/>
                      <w:szCs w:val="18"/>
                      <w:rtl/>
                    </w:rPr>
                  </w:pPr>
                  <w:r>
                    <w:rPr>
                      <w:rFonts w:cs="Miriam" w:hint="cs"/>
                      <w:noProof/>
                      <w:szCs w:val="18"/>
                      <w:rtl/>
                    </w:rPr>
                    <w:t>תק' תשפ"א-2021</w:t>
                  </w:r>
                </w:p>
              </w:txbxContent>
            </v:textbox>
            <w10:anchorlock/>
          </v:shape>
        </w:pict>
      </w:r>
      <w:r>
        <w:rPr>
          <w:rFonts w:hint="cs"/>
          <w:noProof/>
          <w:sz w:val="20"/>
          <w:rtl/>
        </w:rPr>
        <w:t xml:space="preserve">תוספת </w:t>
      </w:r>
      <w:r w:rsidR="00782A44" w:rsidRPr="005F092E">
        <w:rPr>
          <w:rFonts w:hint="cs"/>
          <w:noProof/>
          <w:rtl/>
        </w:rPr>
        <w:t>ראשונה</w:t>
      </w:r>
    </w:p>
    <w:p w:rsidR="00386EF5" w:rsidRPr="005F092E" w:rsidRDefault="00782A44" w:rsidP="005F092E">
      <w:pPr>
        <w:pStyle w:val="P00"/>
        <w:spacing w:before="72"/>
        <w:ind w:left="0" w:right="1134"/>
        <w:jc w:val="center"/>
        <w:rPr>
          <w:rStyle w:val="default"/>
          <w:rFonts w:cs="FrankRuehl"/>
          <w:sz w:val="24"/>
          <w:szCs w:val="24"/>
          <w:rtl/>
        </w:rPr>
      </w:pPr>
      <w:r w:rsidRPr="005F092E">
        <w:rPr>
          <w:rStyle w:val="default"/>
          <w:rFonts w:cs="FrankRuehl" w:hint="cs"/>
          <w:sz w:val="24"/>
          <w:szCs w:val="24"/>
          <w:rtl/>
        </w:rPr>
        <w:t>(תקנות 2, 3 ו-4)</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261"/>
        <w:gridCol w:w="3118"/>
      </w:tblGrid>
      <w:tr w:rsidR="00713DC7" w:rsidRPr="009D0C87" w:rsidTr="009D0C87">
        <w:tc>
          <w:tcPr>
            <w:tcW w:w="1559" w:type="dxa"/>
            <w:shd w:val="clear" w:color="auto" w:fill="auto"/>
          </w:tcPr>
          <w:p w:rsidR="00F531DD"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טור א'</w:t>
            </w:r>
          </w:p>
          <w:p w:rsidR="00713DC7"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מקור המידע</w:t>
            </w:r>
          </w:p>
        </w:tc>
        <w:tc>
          <w:tcPr>
            <w:tcW w:w="3261" w:type="dxa"/>
            <w:shd w:val="clear" w:color="auto" w:fill="auto"/>
          </w:tcPr>
          <w:p w:rsidR="00F531DD"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טור ב'</w:t>
            </w:r>
          </w:p>
          <w:p w:rsidR="00713DC7"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פרטי המידע</w:t>
            </w:r>
          </w:p>
        </w:tc>
        <w:tc>
          <w:tcPr>
            <w:tcW w:w="3118" w:type="dxa"/>
            <w:shd w:val="clear" w:color="auto" w:fill="auto"/>
          </w:tcPr>
          <w:p w:rsidR="00F531DD"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טור ג'</w:t>
            </w:r>
          </w:p>
          <w:p w:rsidR="00713DC7"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9D0C87">
              <w:rPr>
                <w:rStyle w:val="default"/>
                <w:rFonts w:cs="FrankRuehl" w:hint="cs"/>
                <w:sz w:val="22"/>
                <w:szCs w:val="22"/>
                <w:rtl/>
              </w:rPr>
              <w:t>תנאים להעברה והערות</w:t>
            </w:r>
          </w:p>
        </w:tc>
      </w:tr>
      <w:tr w:rsidR="00713DC7" w:rsidRPr="009D0C87" w:rsidTr="009D0C87">
        <w:tc>
          <w:tcPr>
            <w:tcW w:w="1559" w:type="dxa"/>
            <w:shd w:val="clear" w:color="auto" w:fill="auto"/>
          </w:tcPr>
          <w:p w:rsidR="00F531DD"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D0C87">
              <w:rPr>
                <w:rStyle w:val="default"/>
                <w:rFonts w:cs="FrankRuehl" w:hint="cs"/>
                <w:szCs w:val="24"/>
                <w:rtl/>
              </w:rPr>
              <w:t xml:space="preserve">1. </w:t>
            </w:r>
            <w:r w:rsidR="005B12E0">
              <w:rPr>
                <w:rStyle w:val="default"/>
                <w:rFonts w:cs="FrankRuehl" w:hint="cs"/>
                <w:szCs w:val="24"/>
                <w:rtl/>
              </w:rPr>
              <w:t>הממונה על הליכי חדלות פירעון ושיקום כלכלי</w:t>
            </w:r>
          </w:p>
        </w:tc>
        <w:tc>
          <w:tcPr>
            <w:tcW w:w="3261" w:type="dxa"/>
            <w:shd w:val="clear" w:color="auto" w:fill="auto"/>
          </w:tcPr>
          <w:p w:rsidR="00F531DD" w:rsidRPr="009D0C87" w:rsidRDefault="005B12E0"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פתיחת הליכים לרבות בקשה לצו לפתיחת הליכים, זהות מגיש הבקשה ודחיית בקשה כאמור, גובה החוב כפי שהכריע הנאמן, צו לשיקום כלכלי, ביטול הצו לפתיחת הליכים וסיבת הביטול, הפטר לרבות הפטר לאלתר וביטול ההפטר, הסדר חוב, סיום ההליך וסיבת סיום ההליך</w:t>
            </w:r>
            <w:r w:rsidR="00713DC7" w:rsidRPr="009D0C87">
              <w:rPr>
                <w:rStyle w:val="default"/>
                <w:rFonts w:cs="FrankRuehl" w:hint="cs"/>
                <w:szCs w:val="24"/>
                <w:rtl/>
              </w:rPr>
              <w:t>;</w:t>
            </w:r>
          </w:p>
        </w:tc>
        <w:tc>
          <w:tcPr>
            <w:tcW w:w="3118" w:type="dxa"/>
            <w:shd w:val="clear" w:color="auto" w:fill="auto"/>
          </w:tcPr>
          <w:p w:rsidR="00F531DD" w:rsidRPr="009D0C87" w:rsidRDefault="00713DC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לעניין זה </w:t>
            </w:r>
            <w:r w:rsidRPr="009D0C87">
              <w:rPr>
                <w:rStyle w:val="default"/>
                <w:rFonts w:cs="FrankRuehl"/>
                <w:szCs w:val="24"/>
                <w:rtl/>
              </w:rPr>
              <w:t>–</w:t>
            </w:r>
          </w:p>
          <w:p w:rsidR="00713DC7" w:rsidRPr="009D0C87" w:rsidRDefault="00713DC7" w:rsidP="005B12E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"צו </w:t>
            </w:r>
            <w:r w:rsidR="005B12E0">
              <w:rPr>
                <w:rStyle w:val="default"/>
                <w:rFonts w:cs="FrankRuehl" w:hint="cs"/>
                <w:szCs w:val="24"/>
                <w:rtl/>
              </w:rPr>
              <w:t xml:space="preserve">לפתיחת הליכים" </w:t>
            </w:r>
            <w:r w:rsidR="005B12E0">
              <w:rPr>
                <w:rStyle w:val="default"/>
                <w:rFonts w:cs="FrankRuehl"/>
                <w:szCs w:val="24"/>
                <w:rtl/>
              </w:rPr>
              <w:t>–</w:t>
            </w:r>
            <w:r w:rsidR="005B12E0">
              <w:rPr>
                <w:rStyle w:val="default"/>
                <w:rFonts w:cs="FrankRuehl" w:hint="cs"/>
                <w:szCs w:val="24"/>
                <w:rtl/>
              </w:rPr>
              <w:t xml:space="preserve"> כמשמעותו בסעיפים 105 ו-116 לחוק חדלות פירעון ושיקום כלכלי; הממונה רשאי להורות לפי סעיף 19(ז)</w:t>
            </w:r>
            <w:r w:rsidR="005B12E0">
              <w:rPr>
                <w:rStyle w:val="default"/>
                <w:rFonts w:cs="FrankRuehl" w:hint="cs"/>
                <w:szCs w:val="24"/>
              </w:rPr>
              <w:t xml:space="preserve"> </w:t>
            </w:r>
            <w:r w:rsidR="005B12E0">
              <w:rPr>
                <w:rStyle w:val="default"/>
                <w:rFonts w:cs="FrankRuehl" w:hint="cs"/>
                <w:szCs w:val="24"/>
                <w:rtl/>
              </w:rPr>
              <w:t>לחוק, על נתונים נוספים בדבר גובה החוב.</w:t>
            </w:r>
          </w:p>
        </w:tc>
      </w:tr>
      <w:tr w:rsidR="0024041E" w:rsidRPr="009D0C87" w:rsidTr="009D0C87">
        <w:tc>
          <w:tcPr>
            <w:tcW w:w="1559" w:type="dxa"/>
            <w:vMerge w:val="restart"/>
            <w:shd w:val="clear" w:color="auto" w:fill="auto"/>
          </w:tcPr>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2. הוצאה לפועל</w:t>
            </w:r>
          </w:p>
        </w:tc>
        <w:tc>
          <w:tcPr>
            <w:tcW w:w="3261" w:type="dxa"/>
            <w:vMerge w:val="restart"/>
            <w:shd w:val="clear" w:color="auto" w:fill="auto"/>
          </w:tcPr>
          <w:p w:rsidR="0024041E" w:rsidRDefault="007A149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(א) </w:t>
            </w:r>
            <w:r w:rsidR="0024041E" w:rsidRPr="009D0C87">
              <w:rPr>
                <w:rStyle w:val="default"/>
                <w:rFonts w:cs="FrankRuehl" w:hint="cs"/>
                <w:szCs w:val="24"/>
                <w:rtl/>
              </w:rPr>
              <w:t>סוג תיק (פסק דין כספי, שטר, תיק איחוד, תביעה על סכום קצוב, משכון, משכנתה, כביש אגרה, הרשאה לפי פקודת המסים (גבייה), צו תשלומים, גובה החוב לרבות הקטנות החוב, נתונים לגבי חייב מוגבל באמצעים, הפטר, איחוד תיקים, נתונים בדבר סגירת התיק (בין השאר, סיבת הסגירה, תאריך הסגירה)</w:t>
            </w:r>
            <w:r>
              <w:rPr>
                <w:rStyle w:val="default"/>
                <w:rFonts w:cs="FrankRuehl" w:hint="cs"/>
                <w:szCs w:val="24"/>
                <w:rtl/>
              </w:rPr>
              <w:t>;</w:t>
            </w:r>
          </w:p>
          <w:p w:rsidR="007A1497" w:rsidRPr="009D0C87" w:rsidRDefault="007A149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(ב) נתונים לעניין הליכי חדלות פירעון ושיקום כלכלי </w:t>
            </w:r>
            <w:r>
              <w:rPr>
                <w:rStyle w:val="default"/>
                <w:rFonts w:cs="FrankRuehl"/>
                <w:szCs w:val="24"/>
                <w:rtl/>
              </w:rPr>
              <w:t>–</w:t>
            </w:r>
            <w:r>
              <w:rPr>
                <w:rStyle w:val="default"/>
                <w:rFonts w:cs="FrankRuehl" w:hint="cs"/>
                <w:szCs w:val="24"/>
                <w:rtl/>
              </w:rPr>
              <w:t xml:space="preserve"> פתיחת הליכים, לרבות בקשה לצו לפתיחת הליכים ודחיית בקשה כאמור, גובה החוב כפי שהכריע הנאמן, צו לשיקום כלכלי, ביטול של הצו לפתיחת הליכים וסיבת הביטול, הפטר, לרבות הפטר לאלתר וביטול ההפטר, העברת ההליך לממונה על הליכי חדלות פירעון ושיקום כלכלי, סיום ההליך וסיבת סיום ההליך; </w:t>
            </w:r>
          </w:p>
        </w:tc>
        <w:tc>
          <w:tcPr>
            <w:tcW w:w="3118" w:type="dxa"/>
            <w:shd w:val="clear" w:color="auto" w:fill="auto"/>
          </w:tcPr>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לעניין פרט </w:t>
            </w:r>
            <w:r w:rsidR="007A1497">
              <w:rPr>
                <w:rStyle w:val="default"/>
                <w:rFonts w:cs="FrankRuehl" w:hint="cs"/>
                <w:szCs w:val="24"/>
                <w:rtl/>
              </w:rPr>
              <w:t>משנה (א)</w:t>
            </w:r>
            <w:r w:rsidRPr="009D0C87">
              <w:rPr>
                <w:rStyle w:val="default"/>
                <w:rFonts w:cs="FrankRuehl" w:hint="cs"/>
                <w:szCs w:val="24"/>
                <w:rtl/>
              </w:rPr>
              <w:t xml:space="preserve"> </w:t>
            </w:r>
            <w:r w:rsidRPr="009D0C87">
              <w:rPr>
                <w:rStyle w:val="default"/>
                <w:rFonts w:cs="FrankRuehl"/>
                <w:szCs w:val="24"/>
                <w:rtl/>
              </w:rPr>
              <w:t>–</w:t>
            </w:r>
          </w:p>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"תיק איחוד" </w:t>
            </w:r>
            <w:r w:rsidRPr="009D0C87">
              <w:rPr>
                <w:rStyle w:val="default"/>
                <w:rFonts w:cs="FrankRuehl"/>
                <w:szCs w:val="24"/>
                <w:rtl/>
              </w:rPr>
              <w:t>–</w:t>
            </w:r>
            <w:r w:rsidRPr="009D0C87">
              <w:rPr>
                <w:rStyle w:val="default"/>
                <w:rFonts w:cs="FrankRuehl" w:hint="cs"/>
                <w:szCs w:val="24"/>
                <w:rtl/>
              </w:rPr>
              <w:t xml:space="preserve"> כמשמעותו בפרק ז3 בחוק ההוצאה לפועל;</w:t>
            </w:r>
          </w:p>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"חייב" </w:t>
            </w:r>
            <w:r w:rsidRPr="009D0C87">
              <w:rPr>
                <w:rStyle w:val="default"/>
                <w:rFonts w:cs="FrankRuehl"/>
                <w:szCs w:val="24"/>
                <w:rtl/>
              </w:rPr>
              <w:t>–</w:t>
            </w:r>
            <w:r w:rsidRPr="009D0C87">
              <w:rPr>
                <w:rStyle w:val="default"/>
                <w:rFonts w:cs="FrankRuehl" w:hint="cs"/>
                <w:szCs w:val="24"/>
                <w:rtl/>
              </w:rPr>
              <w:t xml:space="preserve"> כהגדרתו בחוק ההוצאה לפועל;</w:t>
            </w:r>
          </w:p>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"חייב מוגבל באמצעים" </w:t>
            </w:r>
            <w:r w:rsidRPr="009D0C87">
              <w:rPr>
                <w:rStyle w:val="default"/>
                <w:rFonts w:cs="FrankRuehl"/>
                <w:szCs w:val="24"/>
                <w:rtl/>
              </w:rPr>
              <w:t>–</w:t>
            </w:r>
            <w:r w:rsidRPr="009D0C87">
              <w:rPr>
                <w:rStyle w:val="default"/>
                <w:rFonts w:cs="FrankRuehl" w:hint="cs"/>
                <w:szCs w:val="24"/>
                <w:rtl/>
              </w:rPr>
              <w:t xml:space="preserve"> כמשמעותו בסעיף 69ג לחוק ההוצאה לפועל;</w:t>
            </w:r>
          </w:p>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"פסק דין" </w:t>
            </w:r>
            <w:r w:rsidRPr="009D0C87">
              <w:rPr>
                <w:rStyle w:val="default"/>
                <w:rFonts w:cs="FrankRuehl"/>
                <w:szCs w:val="24"/>
                <w:rtl/>
              </w:rPr>
              <w:t>–</w:t>
            </w:r>
            <w:r w:rsidRPr="009D0C87">
              <w:rPr>
                <w:rStyle w:val="default"/>
                <w:rFonts w:cs="FrankRuehl" w:hint="cs"/>
                <w:szCs w:val="24"/>
                <w:rtl/>
              </w:rPr>
              <w:t xml:space="preserve"> פסק דין כספי שאינו חיוב במזונות, וכן שטר משכון או משכנתה.</w:t>
            </w:r>
          </w:p>
        </w:tc>
      </w:tr>
      <w:tr w:rsidR="0024041E" w:rsidRPr="009D0C87" w:rsidTr="009D0C87">
        <w:tc>
          <w:tcPr>
            <w:tcW w:w="1559" w:type="dxa"/>
            <w:vMerge/>
            <w:shd w:val="clear" w:color="auto" w:fill="auto"/>
          </w:tcPr>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3261" w:type="dxa"/>
            <w:vMerge/>
            <w:shd w:val="clear" w:color="auto" w:fill="auto"/>
          </w:tcPr>
          <w:p w:rsidR="0024041E" w:rsidRPr="009D0C87" w:rsidRDefault="0024041E"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3118" w:type="dxa"/>
            <w:shd w:val="clear" w:color="auto" w:fill="auto"/>
          </w:tcPr>
          <w:p w:rsidR="0024041E" w:rsidRDefault="007A149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פרטי המידע כאמור בפרט משנה (א) יועברו בכל אחד מהמקרים האלה:</w:t>
            </w:r>
          </w:p>
          <w:p w:rsidR="007A1497" w:rsidRDefault="007A149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(1) עברו 60 ימים לפחות ממועד המצאת האזהרה לחייב לפי סעיף 7 לחוק ההוצאה לפועל ולא ניתן צו עיכוב הליכים בתיק במסגרת אותם 60 ימים ממועד המצאת האזהרה כאמור, למעט אם ניתן צו לעיכוב הליכים בשל צירוף התיק לתיק איחוד;</w:t>
            </w:r>
          </w:p>
          <w:p w:rsidR="007A1497" w:rsidRPr="009D0C87" w:rsidRDefault="007A1497"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 תיק איחוד, מהמועד שבו נפתח התיק.</w:t>
            </w:r>
          </w:p>
        </w:tc>
      </w:tr>
      <w:tr w:rsidR="00713DC7" w:rsidRPr="009D0C87" w:rsidTr="009D0C87">
        <w:tc>
          <w:tcPr>
            <w:tcW w:w="1559" w:type="dxa"/>
            <w:shd w:val="clear" w:color="auto" w:fill="auto"/>
          </w:tcPr>
          <w:p w:rsidR="00F531DD" w:rsidRPr="009D0C87" w:rsidRDefault="000B25EF"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3. בנק ישראל</w:t>
            </w:r>
          </w:p>
        </w:tc>
        <w:tc>
          <w:tcPr>
            <w:tcW w:w="3261" w:type="dxa"/>
            <w:shd w:val="clear" w:color="auto" w:fill="auto"/>
          </w:tcPr>
          <w:p w:rsidR="00F531DD" w:rsidRPr="009D0C87" w:rsidRDefault="000B25EF"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נתונים כאמור בסעיף 19(ב)(1) לחוק שהם נתונים אם הלקוח הוא לקוח מוגבל או לקוח מוגבל חמור ובדבר המגבלה ומועדי ההגבלה, צו מניעה, ביטול או סיום ההגבלה, הסיבה לביטול או לסיום ההגבלה;</w:t>
            </w:r>
          </w:p>
        </w:tc>
        <w:tc>
          <w:tcPr>
            <w:tcW w:w="3118" w:type="dxa"/>
            <w:shd w:val="clear" w:color="auto" w:fill="auto"/>
          </w:tcPr>
          <w:p w:rsidR="00F531DD" w:rsidRPr="009D0C87" w:rsidRDefault="00F531DD"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24041E" w:rsidRPr="009D0C87" w:rsidTr="009D0C87">
        <w:tc>
          <w:tcPr>
            <w:tcW w:w="1559" w:type="dxa"/>
            <w:shd w:val="clear" w:color="auto" w:fill="auto"/>
          </w:tcPr>
          <w:p w:rsidR="0024041E" w:rsidRPr="009D0C87" w:rsidRDefault="000B25EF"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4. תאגיד בנקאי, מנפיק כרטיסי חיוב או מקור מוסמך שמעביר נתוני אשראי למאגר</w:t>
            </w:r>
          </w:p>
        </w:tc>
        <w:tc>
          <w:tcPr>
            <w:tcW w:w="3261" w:type="dxa"/>
            <w:shd w:val="clear" w:color="auto" w:fill="auto"/>
          </w:tcPr>
          <w:p w:rsidR="0024041E" w:rsidRPr="009D0C87" w:rsidRDefault="000B25EF"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פרטי זיהוי</w:t>
            </w:r>
            <w:r w:rsidR="00E02274" w:rsidRPr="009D0C87">
              <w:rPr>
                <w:rStyle w:val="default"/>
                <w:rFonts w:cs="FrankRuehl" w:hint="cs"/>
                <w:szCs w:val="24"/>
                <w:rtl/>
              </w:rPr>
              <w:t xml:space="preserve"> בנוגע לעסקת האשראי, סוג עסקת אשראי (בין השאר: מסגרת אשראי, מסגרת מתחדשת, הלוואה, משכנתה, ערבות); מטרת האשראי (בין השאר: עסק, רכב, לימודים, נדל"ן, השקעה בשוק ההון, ארגון חוב מחדש, כרטיס אשראי); תנאי עסקת האשראי (בין השאר: תקופה, סכום, קיום ביטחונות, תדירות התשלום, ריבית, הצמדה, מטבע); נתונים בדבר ביצוע העסקה והיסטוריית התשלומים במסגרתה (בין השאר: ניצול אשראי, יתרה לסילוק, ביצוע תשלומים, פיגור בתשלום, מחילת חוב, חילוט ערבות, נקיטת הליך משפטי או הוצאה לפועל), פרטי לקוחות הקשורים לעסקה ומהות הקשר שלהם (בין השאר: מספר הלקוחות הקשורים, פרטים מזהים של הלקוחות הקשורים, </w:t>
            </w:r>
            <w:r w:rsidR="009F18D3" w:rsidRPr="009D0C87">
              <w:rPr>
                <w:rStyle w:val="default"/>
                <w:rFonts w:cs="FrankRuehl" w:hint="cs"/>
                <w:szCs w:val="24"/>
                <w:rtl/>
              </w:rPr>
              <w:t xml:space="preserve">סוג הקשר לעסקה </w:t>
            </w:r>
            <w:r w:rsidR="009F18D3" w:rsidRPr="009D0C87">
              <w:rPr>
                <w:rStyle w:val="default"/>
                <w:rFonts w:cs="FrankRuehl"/>
                <w:szCs w:val="24"/>
                <w:rtl/>
              </w:rPr>
              <w:t>–</w:t>
            </w:r>
            <w:r w:rsidR="009F18D3" w:rsidRPr="009D0C87">
              <w:rPr>
                <w:rStyle w:val="default"/>
                <w:rFonts w:cs="FrankRuehl" w:hint="cs"/>
                <w:szCs w:val="24"/>
                <w:rtl/>
              </w:rPr>
              <w:t xml:space="preserve"> לדוגמה, אם ערב או חייב);</w:t>
            </w:r>
          </w:p>
        </w:tc>
        <w:tc>
          <w:tcPr>
            <w:tcW w:w="3118" w:type="dxa"/>
            <w:shd w:val="clear" w:color="auto" w:fill="auto"/>
          </w:tcPr>
          <w:p w:rsidR="0024041E" w:rsidRPr="009D0C87" w:rsidRDefault="00E02274"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לגבי "מטרת אשראי" </w:t>
            </w:r>
            <w:r w:rsidRPr="009D0C87">
              <w:rPr>
                <w:rStyle w:val="default"/>
                <w:rFonts w:cs="FrankRuehl"/>
                <w:szCs w:val="24"/>
                <w:rtl/>
              </w:rPr>
              <w:t>–</w:t>
            </w:r>
            <w:r w:rsidRPr="009D0C87">
              <w:rPr>
                <w:rStyle w:val="default"/>
                <w:rFonts w:cs="FrankRuehl" w:hint="cs"/>
                <w:szCs w:val="24"/>
                <w:rtl/>
              </w:rPr>
              <w:t xml:space="preserve"> המידע יימסר לגבי עסקת אשראי העולה על 5,000 שקלים חדשים;</w:t>
            </w:r>
          </w:p>
          <w:p w:rsidR="00E02274" w:rsidRPr="009D0C87" w:rsidRDefault="00E02274"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לגבי "פיגור בתשלום" </w:t>
            </w:r>
            <w:r w:rsidRPr="009D0C87">
              <w:rPr>
                <w:rStyle w:val="default"/>
                <w:rFonts w:cs="FrankRuehl"/>
                <w:szCs w:val="24"/>
                <w:rtl/>
              </w:rPr>
              <w:t>–</w:t>
            </w:r>
            <w:r w:rsidRPr="009D0C87">
              <w:rPr>
                <w:rStyle w:val="default"/>
                <w:rFonts w:cs="FrankRuehl" w:hint="cs"/>
                <w:szCs w:val="24"/>
                <w:rtl/>
              </w:rPr>
              <w:t xml:space="preserve"> עברו 30 ימים לפחות מהמועד שבו נוצר החוב והחוב שבפיגור הוא מעל 200 שקלים חדשים; אם המקור המוסמך נותן אשראי אגב מכירת נכס או שירות </w:t>
            </w:r>
            <w:r w:rsidRPr="009D0C87">
              <w:rPr>
                <w:rStyle w:val="default"/>
                <w:rFonts w:cs="FrankRuehl"/>
                <w:szCs w:val="24"/>
                <w:rtl/>
              </w:rPr>
              <w:t>–</w:t>
            </w:r>
            <w:r w:rsidRPr="009D0C87">
              <w:rPr>
                <w:rStyle w:val="default"/>
                <w:rFonts w:cs="FrankRuehl" w:hint="cs"/>
                <w:szCs w:val="24"/>
                <w:rtl/>
              </w:rPr>
              <w:t xml:space="preserve"> עברו 60 ימים לפחות מהמועד שבו נוצר החוב והחוב שבפיגור הוא מעל 500 שקלים חדשים; והכול בלבד שנמסרה התראה על הפיגור בתשלום ללקוח; </w:t>
            </w:r>
            <w:r w:rsidR="009F18D3" w:rsidRPr="009D0C87">
              <w:rPr>
                <w:rStyle w:val="default"/>
                <w:rFonts w:cs="FrankRuehl" w:hint="cs"/>
                <w:szCs w:val="24"/>
                <w:rtl/>
              </w:rPr>
              <w:t>הממונה רשאי לקבוע לפי סעיף 19(ז) לחוק סכומי חוב העולים על 200 שקלים חדשים או 500 שקלים חדשים, לפי הענין.</w:t>
            </w:r>
          </w:p>
          <w:p w:rsidR="009F18D3" w:rsidRPr="009D0C87" w:rsidRDefault="009F18D3"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לגבי "מחילת חוב" </w:t>
            </w:r>
            <w:r w:rsidRPr="009D0C87">
              <w:rPr>
                <w:rStyle w:val="default"/>
                <w:rFonts w:cs="FrankRuehl"/>
                <w:szCs w:val="24"/>
                <w:rtl/>
              </w:rPr>
              <w:t>–</w:t>
            </w:r>
            <w:r w:rsidRPr="009D0C87">
              <w:rPr>
                <w:rStyle w:val="default"/>
                <w:rFonts w:cs="FrankRuehl" w:hint="cs"/>
                <w:szCs w:val="24"/>
                <w:rtl/>
              </w:rPr>
              <w:t xml:space="preserve"> החוב שנמחל הוא מעל 200 שקלים חדשים; אם המקור המוסמך נותן אשראי אגב מכירת נכס או שירות </w:t>
            </w:r>
            <w:r w:rsidRPr="009D0C87">
              <w:rPr>
                <w:rStyle w:val="default"/>
                <w:rFonts w:cs="FrankRuehl"/>
                <w:szCs w:val="24"/>
                <w:rtl/>
              </w:rPr>
              <w:t>–</w:t>
            </w:r>
            <w:r w:rsidRPr="009D0C87">
              <w:rPr>
                <w:rStyle w:val="default"/>
                <w:rFonts w:cs="FrankRuehl" w:hint="cs"/>
                <w:szCs w:val="24"/>
                <w:rtl/>
              </w:rPr>
              <w:t xml:space="preserve"> החוב שנמחל הוא מעל 500 שקלים חדשים; הממונה רשאי לקבוע לפי סעיף 19(ז) לחוק סכומי חוב העולים על 200 שקלים חדשים או 500 שקלים חדשים, לפי העניין.</w:t>
            </w:r>
          </w:p>
          <w:p w:rsidR="009F18D3" w:rsidRPr="009D0C87" w:rsidRDefault="009F18D3"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 xml:space="preserve">לגבי "לקוחות קשורים" </w:t>
            </w:r>
            <w:r w:rsidRPr="009D0C87">
              <w:rPr>
                <w:rStyle w:val="default"/>
                <w:rFonts w:cs="FrankRuehl"/>
                <w:szCs w:val="24"/>
                <w:rtl/>
              </w:rPr>
              <w:t>–</w:t>
            </w:r>
            <w:r w:rsidRPr="009D0C87">
              <w:rPr>
                <w:rStyle w:val="default"/>
                <w:rFonts w:cs="FrankRuehl" w:hint="cs"/>
                <w:szCs w:val="24"/>
                <w:rtl/>
              </w:rPr>
              <w:t xml:space="preserve"> לקוח שביקש שנתוני האשראי לגביו לא ייכללו במאגר לפי סעיף 22 לחוק, בנק ישראל לא יכלול לגביו במאגר נתונים בדבר היותו "לקוח קשור".</w:t>
            </w:r>
          </w:p>
        </w:tc>
      </w:tr>
      <w:tr w:rsidR="00713DC7" w:rsidRPr="009D0C87" w:rsidTr="009D0C87">
        <w:tc>
          <w:tcPr>
            <w:tcW w:w="1559" w:type="dxa"/>
            <w:shd w:val="clear" w:color="auto" w:fill="auto"/>
          </w:tcPr>
          <w:p w:rsidR="00F531DD" w:rsidRPr="009D0C87" w:rsidRDefault="009F18D3"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5. תאגיד בנקאי ובנק הדואר</w:t>
            </w:r>
          </w:p>
        </w:tc>
        <w:tc>
          <w:tcPr>
            <w:tcW w:w="3261" w:type="dxa"/>
            <w:shd w:val="clear" w:color="auto" w:fill="auto"/>
          </w:tcPr>
          <w:p w:rsidR="00F531DD" w:rsidRPr="009D0C87" w:rsidRDefault="009F18D3"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D0C87">
              <w:rPr>
                <w:rStyle w:val="default"/>
                <w:rFonts w:cs="FrankRuehl" w:hint="cs"/>
                <w:szCs w:val="24"/>
                <w:rtl/>
              </w:rPr>
              <w:t>מספר שיקים שהוצגו לפירעון, מספר שיקים שחזרו מסיבת אין כיסוי מספיק, מספר הוראות לחיוב חשבון, מספר הוראות קבע או הוראות חיוב דיגיטליות שכובדו ושלא כובדו, התראות לפי סעיף 2(א1) לחוק שיקים ללא כיסוי; הממונה רשאי לקבוע לפי סעיף 19(ז) לחוק כי נתוני האשראי ייכללו גם את סכומי השיקים וההוראות כאמור.</w:t>
            </w:r>
          </w:p>
        </w:tc>
        <w:tc>
          <w:tcPr>
            <w:tcW w:w="3118" w:type="dxa"/>
            <w:shd w:val="clear" w:color="auto" w:fill="auto"/>
          </w:tcPr>
          <w:p w:rsidR="00F531DD" w:rsidRPr="009D0C87" w:rsidRDefault="00F531DD" w:rsidP="009D0C8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782A44" w:rsidRDefault="00782A44">
      <w:pPr>
        <w:pStyle w:val="P00"/>
        <w:spacing w:before="72"/>
        <w:ind w:left="0" w:right="1134"/>
        <w:rPr>
          <w:rStyle w:val="default"/>
          <w:rFonts w:cs="FrankRuehl"/>
          <w:rtl/>
        </w:rPr>
      </w:pPr>
    </w:p>
    <w:p w:rsidR="00DD4234" w:rsidRPr="005F092E" w:rsidRDefault="007A1497" w:rsidP="007A1497">
      <w:pPr>
        <w:pStyle w:val="medium2-header"/>
        <w:keepLines w:val="0"/>
        <w:spacing w:before="72"/>
        <w:ind w:left="0" w:right="1134"/>
        <w:rPr>
          <w:noProof/>
          <w:rtl/>
        </w:rPr>
      </w:pPr>
      <w:bookmarkStart w:id="44" w:name="med7"/>
      <w:bookmarkEnd w:id="44"/>
      <w:r>
        <w:rPr>
          <w:noProof/>
          <w:sz w:val="20"/>
          <w:rtl/>
          <w:lang w:eastAsia="en-US"/>
        </w:rPr>
        <w:pict>
          <v:shape id="_x0000_s2367" type="#_x0000_t202" style="position:absolute;left:0;text-align:left;margin-left:470.35pt;margin-top:7.1pt;width:1in;height:10.95pt;z-index:251680256" filled="f" stroked="f">
            <v:textbox inset="1mm,0,1mm,0">
              <w:txbxContent>
                <w:p w:rsidR="007A1497" w:rsidRDefault="007A1497" w:rsidP="007A1497">
                  <w:pPr>
                    <w:spacing w:line="160" w:lineRule="exact"/>
                    <w:jc w:val="left"/>
                    <w:rPr>
                      <w:rFonts w:cs="Miriam"/>
                      <w:noProof/>
                      <w:szCs w:val="18"/>
                      <w:rtl/>
                    </w:rPr>
                  </w:pPr>
                  <w:r>
                    <w:rPr>
                      <w:rFonts w:cs="Miriam" w:hint="cs"/>
                      <w:noProof/>
                      <w:szCs w:val="18"/>
                      <w:rtl/>
                    </w:rPr>
                    <w:t>תק' תשפ"א-2021</w:t>
                  </w:r>
                </w:p>
              </w:txbxContent>
            </v:textbox>
            <w10:anchorlock/>
          </v:shape>
        </w:pict>
      </w:r>
      <w:r>
        <w:rPr>
          <w:rFonts w:hint="cs"/>
          <w:noProof/>
          <w:sz w:val="20"/>
          <w:rtl/>
        </w:rPr>
        <w:t xml:space="preserve">תוספת </w:t>
      </w:r>
      <w:r w:rsidR="00DD4234">
        <w:rPr>
          <w:rFonts w:hint="cs"/>
          <w:noProof/>
          <w:rtl/>
        </w:rPr>
        <w:t>שנייה</w:t>
      </w:r>
    </w:p>
    <w:p w:rsidR="00DD4234" w:rsidRDefault="00DD4234" w:rsidP="00DD4234">
      <w:pPr>
        <w:pStyle w:val="P00"/>
        <w:spacing w:before="72"/>
        <w:ind w:left="0" w:right="1134"/>
        <w:jc w:val="center"/>
        <w:rPr>
          <w:rStyle w:val="default"/>
          <w:rFonts w:cs="FrankRuehl"/>
          <w:sz w:val="24"/>
          <w:szCs w:val="24"/>
          <w:rtl/>
        </w:rPr>
      </w:pPr>
      <w:r w:rsidRPr="005F092E">
        <w:rPr>
          <w:rStyle w:val="default"/>
          <w:rFonts w:cs="FrankRuehl" w:hint="cs"/>
          <w:sz w:val="24"/>
          <w:szCs w:val="24"/>
          <w:rtl/>
        </w:rPr>
        <w:t>(</w:t>
      </w:r>
      <w:r w:rsidR="00770063">
        <w:rPr>
          <w:rStyle w:val="default"/>
          <w:rFonts w:cs="FrankRuehl" w:hint="cs"/>
          <w:sz w:val="24"/>
          <w:szCs w:val="24"/>
          <w:rtl/>
        </w:rPr>
        <w:t>בוטלה</w:t>
      </w:r>
      <w:r w:rsidRPr="005F092E">
        <w:rPr>
          <w:rStyle w:val="default"/>
          <w:rFonts w:cs="FrankRuehl" w:hint="cs"/>
          <w:sz w:val="24"/>
          <w:szCs w:val="24"/>
          <w:rtl/>
        </w:rPr>
        <w:t>)</w:t>
      </w:r>
    </w:p>
    <w:p w:rsidR="006222CE" w:rsidRDefault="006222CE" w:rsidP="006222CE">
      <w:pPr>
        <w:pStyle w:val="P00"/>
        <w:spacing w:before="72"/>
        <w:ind w:left="0" w:right="1134"/>
        <w:rPr>
          <w:rStyle w:val="default"/>
          <w:rFonts w:cs="FrankRuehl"/>
          <w:rtl/>
        </w:rPr>
      </w:pPr>
    </w:p>
    <w:p w:rsidR="00663AB9" w:rsidRPr="005F092E" w:rsidRDefault="007A1497" w:rsidP="007A1497">
      <w:pPr>
        <w:pStyle w:val="medium2-header"/>
        <w:keepLines w:val="0"/>
        <w:spacing w:before="72"/>
        <w:ind w:left="0" w:right="1134"/>
        <w:rPr>
          <w:noProof/>
          <w:rtl/>
        </w:rPr>
      </w:pPr>
      <w:bookmarkStart w:id="45" w:name="med8"/>
      <w:bookmarkEnd w:id="45"/>
      <w:r>
        <w:rPr>
          <w:noProof/>
          <w:sz w:val="20"/>
          <w:rtl/>
          <w:lang w:eastAsia="en-US"/>
        </w:rPr>
        <w:pict>
          <v:shape id="_x0000_s2368" type="#_x0000_t202" style="position:absolute;left:0;text-align:left;margin-left:470.35pt;margin-top:7.1pt;width:1in;height:10.95pt;z-index:251681280" filled="f" stroked="f">
            <v:textbox inset="1mm,0,1mm,0">
              <w:txbxContent>
                <w:p w:rsidR="007A1497" w:rsidRDefault="007A1497" w:rsidP="007A1497">
                  <w:pPr>
                    <w:spacing w:line="160" w:lineRule="exact"/>
                    <w:jc w:val="left"/>
                    <w:rPr>
                      <w:rFonts w:cs="Miriam"/>
                      <w:noProof/>
                      <w:szCs w:val="18"/>
                      <w:rtl/>
                    </w:rPr>
                  </w:pPr>
                  <w:r>
                    <w:rPr>
                      <w:rFonts w:cs="Miriam" w:hint="cs"/>
                      <w:noProof/>
                      <w:szCs w:val="18"/>
                      <w:rtl/>
                    </w:rPr>
                    <w:t>תק' תשפ"א-2021</w:t>
                  </w:r>
                </w:p>
              </w:txbxContent>
            </v:textbox>
            <w10:anchorlock/>
          </v:shape>
        </w:pict>
      </w:r>
      <w:r>
        <w:rPr>
          <w:rFonts w:hint="cs"/>
          <w:noProof/>
          <w:sz w:val="20"/>
          <w:rtl/>
        </w:rPr>
        <w:t xml:space="preserve">תוספת </w:t>
      </w:r>
      <w:r w:rsidR="00663AB9">
        <w:rPr>
          <w:rFonts w:hint="cs"/>
          <w:noProof/>
          <w:rtl/>
        </w:rPr>
        <w:t>שלישית</w:t>
      </w:r>
    </w:p>
    <w:p w:rsidR="00663AB9" w:rsidRPr="005F092E" w:rsidRDefault="00663AB9" w:rsidP="00663AB9">
      <w:pPr>
        <w:pStyle w:val="P00"/>
        <w:spacing w:before="72"/>
        <w:ind w:left="0" w:right="1134"/>
        <w:jc w:val="center"/>
        <w:rPr>
          <w:rStyle w:val="default"/>
          <w:rFonts w:cs="FrankRuehl"/>
          <w:sz w:val="24"/>
          <w:szCs w:val="24"/>
          <w:rtl/>
        </w:rPr>
      </w:pPr>
      <w:r w:rsidRPr="005F092E">
        <w:rPr>
          <w:rStyle w:val="default"/>
          <w:rFonts w:cs="FrankRuehl" w:hint="cs"/>
          <w:sz w:val="24"/>
          <w:szCs w:val="24"/>
          <w:rtl/>
        </w:rPr>
        <w:t>(</w:t>
      </w:r>
      <w:r w:rsidR="00770063">
        <w:rPr>
          <w:rStyle w:val="default"/>
          <w:rFonts w:cs="FrankRuehl" w:hint="cs"/>
          <w:sz w:val="24"/>
          <w:szCs w:val="24"/>
          <w:rtl/>
        </w:rPr>
        <w:t>בוטלה</w:t>
      </w:r>
      <w:r w:rsidRPr="005F092E">
        <w:rPr>
          <w:rStyle w:val="default"/>
          <w:rFonts w:cs="FrankRuehl" w:hint="cs"/>
          <w:sz w:val="24"/>
          <w:szCs w:val="24"/>
          <w:rtl/>
        </w:rPr>
        <w:t>)</w:t>
      </w:r>
    </w:p>
    <w:p w:rsidR="006222CE" w:rsidRDefault="006222CE" w:rsidP="006222CE">
      <w:pPr>
        <w:pStyle w:val="P00"/>
        <w:spacing w:before="72"/>
        <w:ind w:left="0" w:right="1134"/>
        <w:rPr>
          <w:rStyle w:val="default"/>
          <w:rFonts w:cs="FrankRuehl"/>
          <w:rtl/>
        </w:rPr>
      </w:pPr>
    </w:p>
    <w:p w:rsidR="006222CE" w:rsidRDefault="006222CE">
      <w:pPr>
        <w:pStyle w:val="P00"/>
        <w:spacing w:before="72"/>
        <w:ind w:left="0" w:right="1134"/>
        <w:rPr>
          <w:rStyle w:val="default"/>
          <w:rFonts w:cs="FrankRuehl" w:hint="cs"/>
          <w:rtl/>
        </w:rPr>
      </w:pPr>
    </w:p>
    <w:p w:rsidR="001153D7" w:rsidRDefault="00176B28"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י"א</w:t>
      </w:r>
      <w:r w:rsidR="008B1FCD">
        <w:rPr>
          <w:rFonts w:hint="cs"/>
          <w:rtl/>
        </w:rPr>
        <w:t xml:space="preserve"> בכסלו התשע"ח (2</w:t>
      </w:r>
      <w:r>
        <w:rPr>
          <w:rFonts w:hint="cs"/>
          <w:rtl/>
        </w:rPr>
        <w:t>9</w:t>
      </w:r>
      <w:r w:rsidR="008B1FCD">
        <w:rPr>
          <w:rFonts w:hint="cs"/>
          <w:rtl/>
        </w:rPr>
        <w:t xml:space="preserve"> בנובמבר</w:t>
      </w:r>
      <w:r w:rsidR="00005B60">
        <w:rPr>
          <w:rFonts w:hint="cs"/>
          <w:rtl/>
        </w:rPr>
        <w:t xml:space="preserve"> 2017</w:t>
      </w:r>
      <w:r w:rsidR="001153D7">
        <w:rPr>
          <w:rFonts w:hint="cs"/>
          <w:rtl/>
        </w:rPr>
        <w:t>)</w:t>
      </w:r>
      <w:r w:rsidR="001153D7">
        <w:rPr>
          <w:rFonts w:hint="cs"/>
          <w:rtl/>
        </w:rPr>
        <w:tab/>
      </w:r>
      <w:r>
        <w:rPr>
          <w:rFonts w:hint="cs"/>
          <w:rtl/>
        </w:rPr>
        <w:t>איילת שקד</w:t>
      </w:r>
    </w:p>
    <w:p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176B28">
        <w:rPr>
          <w:rFonts w:hint="cs"/>
          <w:sz w:val="22"/>
          <w:szCs w:val="22"/>
          <w:rtl/>
        </w:rPr>
        <w:t>שרת המשפטים</w:t>
      </w:r>
    </w:p>
    <w:p w:rsidR="0043188D" w:rsidRDefault="0043188D">
      <w:pPr>
        <w:pStyle w:val="P00"/>
        <w:spacing w:before="72"/>
        <w:ind w:left="0" w:right="1134"/>
        <w:rPr>
          <w:rtl/>
        </w:rPr>
      </w:pPr>
    </w:p>
    <w:p w:rsidR="00B75003" w:rsidRDefault="00B75003">
      <w:pPr>
        <w:pStyle w:val="P00"/>
        <w:spacing w:before="72"/>
        <w:ind w:left="0" w:right="1134"/>
        <w:rPr>
          <w:rtl/>
        </w:rPr>
      </w:pPr>
    </w:p>
    <w:p w:rsidR="003B36B5" w:rsidRDefault="003B36B5">
      <w:pPr>
        <w:pStyle w:val="P00"/>
        <w:spacing w:before="72"/>
        <w:ind w:left="0" w:right="1134"/>
        <w:rPr>
          <w:rtl/>
        </w:rPr>
      </w:pPr>
    </w:p>
    <w:p w:rsidR="003B36B5" w:rsidRDefault="003B36B5" w:rsidP="003B36B5">
      <w:pPr>
        <w:pStyle w:val="P00"/>
        <w:spacing w:before="72"/>
        <w:ind w:left="0" w:right="1134"/>
        <w:jc w:val="center"/>
        <w:rPr>
          <w:rFonts w:cs="David"/>
          <w:color w:val="0000FF"/>
          <w:szCs w:val="24"/>
          <w:u w:val="single"/>
          <w:rtl/>
        </w:rPr>
      </w:pPr>
      <w:hyperlink r:id="rId24" w:history="1">
        <w:r>
          <w:rPr>
            <w:rFonts w:cs="David"/>
            <w:color w:val="0000FF"/>
            <w:szCs w:val="24"/>
            <w:u w:val="single"/>
            <w:rtl/>
          </w:rPr>
          <w:t>הודעה למנויים על עריכה ושינויים במסמכי פסיקה, חקיקה ועוד באתר נבו - הקש כאן</w:t>
        </w:r>
      </w:hyperlink>
    </w:p>
    <w:p w:rsidR="009063ED" w:rsidRDefault="009063ED" w:rsidP="003B36B5">
      <w:pPr>
        <w:pStyle w:val="P00"/>
        <w:spacing w:before="72"/>
        <w:ind w:left="0" w:right="1134"/>
        <w:jc w:val="center"/>
        <w:rPr>
          <w:rFonts w:cs="David"/>
          <w:color w:val="0000FF"/>
          <w:szCs w:val="24"/>
          <w:u w:val="single"/>
          <w:rtl/>
        </w:rPr>
      </w:pPr>
    </w:p>
    <w:p w:rsidR="009063ED" w:rsidRDefault="009063ED" w:rsidP="003B36B5">
      <w:pPr>
        <w:pStyle w:val="P00"/>
        <w:spacing w:before="72"/>
        <w:ind w:left="0" w:right="1134"/>
        <w:jc w:val="center"/>
        <w:rPr>
          <w:rFonts w:cs="David"/>
          <w:color w:val="0000FF"/>
          <w:szCs w:val="24"/>
          <w:u w:val="single"/>
          <w:rtl/>
        </w:rPr>
      </w:pPr>
    </w:p>
    <w:p w:rsidR="009063ED" w:rsidRDefault="009063ED" w:rsidP="009063ED">
      <w:pPr>
        <w:pStyle w:val="P00"/>
        <w:spacing w:before="72"/>
        <w:ind w:left="0" w:right="1134"/>
        <w:jc w:val="center"/>
        <w:rPr>
          <w:rFonts w:cs="David"/>
          <w:color w:val="0000FF"/>
          <w:szCs w:val="24"/>
          <w:u w:val="single"/>
          <w:rtl/>
        </w:rPr>
      </w:pPr>
      <w:hyperlink r:id="rId25" w:history="1">
        <w:r>
          <w:rPr>
            <w:rStyle w:val="Hyperlink"/>
            <w:rFonts w:cs="David"/>
            <w:noProof w:val="0"/>
            <w:sz w:val="22"/>
            <w:szCs w:val="24"/>
            <w:rtl/>
          </w:rPr>
          <w:t>הודעה למנויים על עריכה ושינויים במסמכי פסיקה, חקיקה ועוד באתר נבו - הקש כאן</w:t>
        </w:r>
      </w:hyperlink>
    </w:p>
    <w:p w:rsidR="00193951" w:rsidRPr="009063ED" w:rsidRDefault="00193951" w:rsidP="009063ED">
      <w:pPr>
        <w:pStyle w:val="P00"/>
        <w:spacing w:before="72"/>
        <w:ind w:left="0" w:right="1134"/>
        <w:jc w:val="center"/>
        <w:rPr>
          <w:rFonts w:cs="David"/>
          <w:color w:val="0000FF"/>
          <w:szCs w:val="24"/>
          <w:u w:val="single"/>
          <w:rtl/>
        </w:rPr>
      </w:pPr>
    </w:p>
    <w:sectPr w:rsidR="00193951" w:rsidRPr="009063ED">
      <w:headerReference w:type="even" r:id="rId26"/>
      <w:headerReference w:type="default" r:id="rId27"/>
      <w:footerReference w:type="even" r:id="rId28"/>
      <w:footerReference w:type="default" r:id="rId2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804" w:rsidRDefault="00610804" w:rsidP="001153D7">
      <w:pPr>
        <w:pStyle w:val="P00"/>
      </w:pPr>
      <w:r>
        <w:separator/>
      </w:r>
    </w:p>
  </w:endnote>
  <w:endnote w:type="continuationSeparator" w:id="0">
    <w:p w:rsidR="00610804" w:rsidRDefault="00610804"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91A" w:rsidRDefault="00BC19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C191A" w:rsidRDefault="00BC19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C191A" w:rsidRDefault="00BC19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91A" w:rsidRDefault="00BC19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340F7">
      <w:rPr>
        <w:rFonts w:hAnsi="FrankRuehl"/>
        <w:noProof/>
        <w:sz w:val="24"/>
        <w:szCs w:val="24"/>
        <w:rtl/>
      </w:rPr>
      <w:t>4</w:t>
    </w:r>
    <w:r>
      <w:rPr>
        <w:rFonts w:hAnsi="FrankRuehl"/>
        <w:sz w:val="24"/>
        <w:szCs w:val="24"/>
        <w:rtl/>
      </w:rPr>
      <w:fldChar w:fldCharType="end"/>
    </w:r>
  </w:p>
  <w:p w:rsidR="00BC191A" w:rsidRDefault="00BC19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C191A" w:rsidRDefault="00BC19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804" w:rsidRDefault="00610804">
      <w:pPr>
        <w:spacing w:before="60" w:line="240" w:lineRule="auto"/>
        <w:ind w:right="1134"/>
      </w:pPr>
      <w:r>
        <w:separator/>
      </w:r>
    </w:p>
  </w:footnote>
  <w:footnote w:type="continuationSeparator" w:id="0">
    <w:p w:rsidR="00610804" w:rsidRDefault="00610804">
      <w:r>
        <w:separator/>
      </w:r>
    </w:p>
  </w:footnote>
  <w:footnote w:id="1">
    <w:p w:rsidR="00612501" w:rsidRDefault="00BC191A" w:rsidP="006125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612501">
          <w:rPr>
            <w:rStyle w:val="Hyperlink"/>
            <w:rFonts w:hint="cs"/>
            <w:sz w:val="20"/>
            <w:rtl/>
          </w:rPr>
          <w:t>ק"ת תשע"ח מס' 7905</w:t>
        </w:r>
      </w:hyperlink>
      <w:r>
        <w:rPr>
          <w:rFonts w:hint="cs"/>
          <w:sz w:val="20"/>
          <w:rtl/>
        </w:rPr>
        <w:t xml:space="preserve"> מיום 26.12.2017 עמ' 392.</w:t>
      </w:r>
    </w:p>
    <w:p w:rsidR="00E340F7" w:rsidRPr="00E340F7" w:rsidRDefault="008D69AC" w:rsidP="00E340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D779FC">
          <w:rPr>
            <w:rStyle w:val="Hyperlink"/>
            <w:rFonts w:hint="cs"/>
            <w:sz w:val="20"/>
            <w:rtl/>
          </w:rPr>
          <w:t>ק"ת תשפ"א מס' 9242</w:t>
        </w:r>
      </w:hyperlink>
      <w:r>
        <w:rPr>
          <w:rFonts w:hint="cs"/>
          <w:sz w:val="20"/>
          <w:rtl/>
        </w:rPr>
        <w:t xml:space="preserve"> מיום 4.3.2021 עמ' 2404 </w:t>
      </w:r>
      <w:r>
        <w:rPr>
          <w:sz w:val="20"/>
          <w:rtl/>
        </w:rPr>
        <w:t>–</w:t>
      </w:r>
      <w:r>
        <w:rPr>
          <w:rFonts w:hint="cs"/>
          <w:sz w:val="20"/>
          <w:rtl/>
        </w:rPr>
        <w:t xml:space="preserve"> תק' תשפ"א-2021; ר' תקנות 15, 16 לענין תחילה והוראת מעבר.</w:t>
      </w:r>
      <w:r w:rsidR="00644790">
        <w:rPr>
          <w:rFonts w:hint="cs"/>
          <w:sz w:val="20"/>
          <w:rtl/>
        </w:rPr>
        <w:t xml:space="preserve"> ת"ט </w:t>
      </w:r>
      <w:hyperlink r:id="rId3" w:history="1">
        <w:r w:rsidR="00644790" w:rsidRPr="00C225B5">
          <w:rPr>
            <w:rStyle w:val="Hyperlink"/>
            <w:rFonts w:hint="cs"/>
            <w:sz w:val="20"/>
            <w:rtl/>
          </w:rPr>
          <w:t>ק"ת תשפ"א מס' 9287</w:t>
        </w:r>
      </w:hyperlink>
      <w:r w:rsidR="00644790">
        <w:rPr>
          <w:rFonts w:hint="cs"/>
          <w:sz w:val="20"/>
          <w:rtl/>
        </w:rPr>
        <w:t xml:space="preserve"> מיום 21.3.2021 עמ' 2767.</w:t>
      </w:r>
      <w:r w:rsidR="00330173" w:rsidRPr="00330173">
        <w:rPr>
          <w:rFonts w:hint="cs"/>
          <w:sz w:val="20"/>
          <w:rtl/>
        </w:rPr>
        <w:t xml:space="preserve"> </w:t>
      </w:r>
      <w:hyperlink r:id="rId4" w:history="1">
        <w:r w:rsidR="00330173" w:rsidRPr="00E340F7">
          <w:rPr>
            <w:rStyle w:val="Hyperlink"/>
            <w:rFonts w:hint="cs"/>
            <w:sz w:val="20"/>
            <w:rtl/>
          </w:rPr>
          <w:t>ק"ת תשפ"ג מס' 10594</w:t>
        </w:r>
      </w:hyperlink>
      <w:r w:rsidR="00330173">
        <w:rPr>
          <w:rFonts w:hint="cs"/>
          <w:sz w:val="20"/>
          <w:rtl/>
        </w:rPr>
        <w:t xml:space="preserve"> מיום 22.3.2023 עמ' 1144.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91A" w:rsidRDefault="00BC191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C191A" w:rsidRDefault="00BC19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C191A" w:rsidRDefault="00BC191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91A" w:rsidRDefault="00BC191A"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נתוני אשראי, תשע"ח-2017</w:t>
    </w:r>
  </w:p>
  <w:p w:rsidR="00BC191A" w:rsidRDefault="00BC19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C191A" w:rsidRDefault="00BC191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43F34"/>
    <w:rsid w:val="00054113"/>
    <w:rsid w:val="00062ECF"/>
    <w:rsid w:val="00070495"/>
    <w:rsid w:val="00075D40"/>
    <w:rsid w:val="00082583"/>
    <w:rsid w:val="000A4522"/>
    <w:rsid w:val="000A65F9"/>
    <w:rsid w:val="000B25EF"/>
    <w:rsid w:val="000B73AF"/>
    <w:rsid w:val="000C1517"/>
    <w:rsid w:val="000C3D03"/>
    <w:rsid w:val="000F190C"/>
    <w:rsid w:val="001153D7"/>
    <w:rsid w:val="00115AE5"/>
    <w:rsid w:val="0016119E"/>
    <w:rsid w:val="0016580D"/>
    <w:rsid w:val="00173AE5"/>
    <w:rsid w:val="00175E39"/>
    <w:rsid w:val="00176B28"/>
    <w:rsid w:val="00193951"/>
    <w:rsid w:val="001A7BC2"/>
    <w:rsid w:val="001C03D5"/>
    <w:rsid w:val="001C17AC"/>
    <w:rsid w:val="001D533D"/>
    <w:rsid w:val="001D5BF2"/>
    <w:rsid w:val="001E46A2"/>
    <w:rsid w:val="001F475F"/>
    <w:rsid w:val="0024041E"/>
    <w:rsid w:val="00245C6D"/>
    <w:rsid w:val="002505CB"/>
    <w:rsid w:val="00254DA4"/>
    <w:rsid w:val="00273ECE"/>
    <w:rsid w:val="00276269"/>
    <w:rsid w:val="0028405A"/>
    <w:rsid w:val="00294215"/>
    <w:rsid w:val="002B34C2"/>
    <w:rsid w:val="002B5F26"/>
    <w:rsid w:val="002B600C"/>
    <w:rsid w:val="002C7604"/>
    <w:rsid w:val="002D19C3"/>
    <w:rsid w:val="002D24EE"/>
    <w:rsid w:val="002D5811"/>
    <w:rsid w:val="00305A98"/>
    <w:rsid w:val="00314DBF"/>
    <w:rsid w:val="0031637D"/>
    <w:rsid w:val="00317E3D"/>
    <w:rsid w:val="00320967"/>
    <w:rsid w:val="00322940"/>
    <w:rsid w:val="00327CF2"/>
    <w:rsid w:val="00330173"/>
    <w:rsid w:val="00342A8B"/>
    <w:rsid w:val="0034536F"/>
    <w:rsid w:val="003639D1"/>
    <w:rsid w:val="00376F5F"/>
    <w:rsid w:val="00386EF5"/>
    <w:rsid w:val="00390FA3"/>
    <w:rsid w:val="003A1639"/>
    <w:rsid w:val="003A263B"/>
    <w:rsid w:val="003A6770"/>
    <w:rsid w:val="003B268A"/>
    <w:rsid w:val="003B36B5"/>
    <w:rsid w:val="003B3D12"/>
    <w:rsid w:val="003B4D28"/>
    <w:rsid w:val="003E0C4E"/>
    <w:rsid w:val="003E1655"/>
    <w:rsid w:val="003E44E7"/>
    <w:rsid w:val="003F2647"/>
    <w:rsid w:val="003F3BEC"/>
    <w:rsid w:val="00404E60"/>
    <w:rsid w:val="0041521C"/>
    <w:rsid w:val="00415410"/>
    <w:rsid w:val="00426A03"/>
    <w:rsid w:val="0043188D"/>
    <w:rsid w:val="0043593F"/>
    <w:rsid w:val="0044144F"/>
    <w:rsid w:val="00462720"/>
    <w:rsid w:val="00463775"/>
    <w:rsid w:val="0048430F"/>
    <w:rsid w:val="004C2593"/>
    <w:rsid w:val="004D3349"/>
    <w:rsid w:val="004E4A2D"/>
    <w:rsid w:val="004F3CDA"/>
    <w:rsid w:val="0050143C"/>
    <w:rsid w:val="00513477"/>
    <w:rsid w:val="00521E97"/>
    <w:rsid w:val="005377C3"/>
    <w:rsid w:val="00550A93"/>
    <w:rsid w:val="00556D05"/>
    <w:rsid w:val="0056297C"/>
    <w:rsid w:val="0056541E"/>
    <w:rsid w:val="00587ECE"/>
    <w:rsid w:val="00597B0F"/>
    <w:rsid w:val="005A2585"/>
    <w:rsid w:val="005A4FC2"/>
    <w:rsid w:val="005B12E0"/>
    <w:rsid w:val="005B2FE7"/>
    <w:rsid w:val="005E1D49"/>
    <w:rsid w:val="005F092E"/>
    <w:rsid w:val="005F65FC"/>
    <w:rsid w:val="00601434"/>
    <w:rsid w:val="00605048"/>
    <w:rsid w:val="00610804"/>
    <w:rsid w:val="00612501"/>
    <w:rsid w:val="00621CA5"/>
    <w:rsid w:val="006222CE"/>
    <w:rsid w:val="00627848"/>
    <w:rsid w:val="00644790"/>
    <w:rsid w:val="00663AB9"/>
    <w:rsid w:val="006745E3"/>
    <w:rsid w:val="00675888"/>
    <w:rsid w:val="0067667C"/>
    <w:rsid w:val="006816D8"/>
    <w:rsid w:val="006947C5"/>
    <w:rsid w:val="006A15C8"/>
    <w:rsid w:val="006C023A"/>
    <w:rsid w:val="006C34DE"/>
    <w:rsid w:val="006C52FF"/>
    <w:rsid w:val="006D2E19"/>
    <w:rsid w:val="006D42E4"/>
    <w:rsid w:val="006E0BEF"/>
    <w:rsid w:val="00705F48"/>
    <w:rsid w:val="00713DC7"/>
    <w:rsid w:val="00727C05"/>
    <w:rsid w:val="00751918"/>
    <w:rsid w:val="00752FE9"/>
    <w:rsid w:val="007617A0"/>
    <w:rsid w:val="00770063"/>
    <w:rsid w:val="00782A44"/>
    <w:rsid w:val="00783DE0"/>
    <w:rsid w:val="0078635E"/>
    <w:rsid w:val="00786771"/>
    <w:rsid w:val="00796D72"/>
    <w:rsid w:val="007A1497"/>
    <w:rsid w:val="007A3D8C"/>
    <w:rsid w:val="007B0D4E"/>
    <w:rsid w:val="007C09D7"/>
    <w:rsid w:val="007D0808"/>
    <w:rsid w:val="007E0946"/>
    <w:rsid w:val="007E3EF8"/>
    <w:rsid w:val="0080640E"/>
    <w:rsid w:val="008138CD"/>
    <w:rsid w:val="008360D3"/>
    <w:rsid w:val="00871F02"/>
    <w:rsid w:val="0088463A"/>
    <w:rsid w:val="008A4983"/>
    <w:rsid w:val="008A65B4"/>
    <w:rsid w:val="008B1FCD"/>
    <w:rsid w:val="008D69AC"/>
    <w:rsid w:val="008F1E41"/>
    <w:rsid w:val="009063ED"/>
    <w:rsid w:val="00921E5A"/>
    <w:rsid w:val="0093393E"/>
    <w:rsid w:val="0098048A"/>
    <w:rsid w:val="00980513"/>
    <w:rsid w:val="009816EA"/>
    <w:rsid w:val="00992CEB"/>
    <w:rsid w:val="009A4D64"/>
    <w:rsid w:val="009D0C87"/>
    <w:rsid w:val="009D55FB"/>
    <w:rsid w:val="009E1ED1"/>
    <w:rsid w:val="009F18D3"/>
    <w:rsid w:val="009F6D00"/>
    <w:rsid w:val="00A07F73"/>
    <w:rsid w:val="00A105A6"/>
    <w:rsid w:val="00A14553"/>
    <w:rsid w:val="00A2279B"/>
    <w:rsid w:val="00A30215"/>
    <w:rsid w:val="00A3360D"/>
    <w:rsid w:val="00A35851"/>
    <w:rsid w:val="00A53FFA"/>
    <w:rsid w:val="00A97203"/>
    <w:rsid w:val="00AC3520"/>
    <w:rsid w:val="00AF6BF6"/>
    <w:rsid w:val="00B01622"/>
    <w:rsid w:val="00B0746C"/>
    <w:rsid w:val="00B23890"/>
    <w:rsid w:val="00B33E9D"/>
    <w:rsid w:val="00B36F4C"/>
    <w:rsid w:val="00B54F14"/>
    <w:rsid w:val="00B6777C"/>
    <w:rsid w:val="00B67CED"/>
    <w:rsid w:val="00B7125D"/>
    <w:rsid w:val="00B75003"/>
    <w:rsid w:val="00B823AB"/>
    <w:rsid w:val="00B8420E"/>
    <w:rsid w:val="00B9089A"/>
    <w:rsid w:val="00B92B57"/>
    <w:rsid w:val="00B93D82"/>
    <w:rsid w:val="00BA3CCE"/>
    <w:rsid w:val="00BB2AF9"/>
    <w:rsid w:val="00BC191A"/>
    <w:rsid w:val="00BE05D5"/>
    <w:rsid w:val="00BF6605"/>
    <w:rsid w:val="00C02B83"/>
    <w:rsid w:val="00C225B5"/>
    <w:rsid w:val="00C26EEC"/>
    <w:rsid w:val="00C370E0"/>
    <w:rsid w:val="00C45BF5"/>
    <w:rsid w:val="00C45C3F"/>
    <w:rsid w:val="00C5736C"/>
    <w:rsid w:val="00C62561"/>
    <w:rsid w:val="00C6357C"/>
    <w:rsid w:val="00C92E0E"/>
    <w:rsid w:val="00C95911"/>
    <w:rsid w:val="00CA1404"/>
    <w:rsid w:val="00CA5755"/>
    <w:rsid w:val="00CB790E"/>
    <w:rsid w:val="00CC6E75"/>
    <w:rsid w:val="00CE7469"/>
    <w:rsid w:val="00CF527A"/>
    <w:rsid w:val="00D11EA5"/>
    <w:rsid w:val="00D21A7E"/>
    <w:rsid w:val="00D62F4C"/>
    <w:rsid w:val="00D75396"/>
    <w:rsid w:val="00D779FC"/>
    <w:rsid w:val="00D81E1D"/>
    <w:rsid w:val="00D87A89"/>
    <w:rsid w:val="00D96125"/>
    <w:rsid w:val="00DC6D84"/>
    <w:rsid w:val="00DD002E"/>
    <w:rsid w:val="00DD307B"/>
    <w:rsid w:val="00DD4234"/>
    <w:rsid w:val="00DE4C2A"/>
    <w:rsid w:val="00DE55D2"/>
    <w:rsid w:val="00E02274"/>
    <w:rsid w:val="00E2041E"/>
    <w:rsid w:val="00E22C9F"/>
    <w:rsid w:val="00E33582"/>
    <w:rsid w:val="00E340F7"/>
    <w:rsid w:val="00E44EC4"/>
    <w:rsid w:val="00E45AC2"/>
    <w:rsid w:val="00E65DD1"/>
    <w:rsid w:val="00E7102F"/>
    <w:rsid w:val="00ED158A"/>
    <w:rsid w:val="00ED29FC"/>
    <w:rsid w:val="00ED6CFE"/>
    <w:rsid w:val="00EF4509"/>
    <w:rsid w:val="00F035EA"/>
    <w:rsid w:val="00F05B6A"/>
    <w:rsid w:val="00F20D9B"/>
    <w:rsid w:val="00F21308"/>
    <w:rsid w:val="00F23033"/>
    <w:rsid w:val="00F35D6F"/>
    <w:rsid w:val="00F45FE4"/>
    <w:rsid w:val="00F50AE3"/>
    <w:rsid w:val="00F531DD"/>
    <w:rsid w:val="00F53E9D"/>
    <w:rsid w:val="00F56232"/>
    <w:rsid w:val="00F64F30"/>
    <w:rsid w:val="00F67FAB"/>
    <w:rsid w:val="00F75FD2"/>
    <w:rsid w:val="00FA05BC"/>
    <w:rsid w:val="00FC128A"/>
    <w:rsid w:val="00FF25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D3D7BD9-DE85-4BB5-A9C7-36894D13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F5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8D6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242.pdf" TargetMode="External"/><Relationship Id="rId13" Type="http://schemas.openxmlformats.org/officeDocument/2006/relationships/hyperlink" Target="https://www.nevo.co.il/law_word/law06/tak-9242.pdf" TargetMode="External"/><Relationship Id="rId18" Type="http://schemas.openxmlformats.org/officeDocument/2006/relationships/hyperlink" Target="https://www.nevo.co.il/law_word/law06/tak-9242.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nevo.co.il/law_word/law06/tak-9242.pdf" TargetMode="External"/><Relationship Id="rId7" Type="http://schemas.openxmlformats.org/officeDocument/2006/relationships/hyperlink" Target="https://www.nevo.co.il/law_word/law06/tak-9242.pdf" TargetMode="External"/><Relationship Id="rId12" Type="http://schemas.openxmlformats.org/officeDocument/2006/relationships/hyperlink" Target="https://www.nevo.co.il/law_word/law06/tak-9242.pdf" TargetMode="External"/><Relationship Id="rId17" Type="http://schemas.openxmlformats.org/officeDocument/2006/relationships/hyperlink" Target="https://www.nevo.co.il/law_word/law06/tak-9242.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s://www.nevo.co.il/law_word/law06/tak-9242.pdf" TargetMode="External"/><Relationship Id="rId20" Type="http://schemas.openxmlformats.org/officeDocument/2006/relationships/hyperlink" Target="https://www.nevo.co.il/law_word/law06/tak-9242.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242.pdf" TargetMode="External"/><Relationship Id="rId11" Type="http://schemas.openxmlformats.org/officeDocument/2006/relationships/hyperlink" Target="https://www.nevo.co.il/law_word/law06/tak-9242.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s://www.nevo.co.il/law_word/law06/tak-9242.pdf" TargetMode="External"/><Relationship Id="rId23" Type="http://schemas.openxmlformats.org/officeDocument/2006/relationships/hyperlink" Target="https://www.nevo.co.il/law_html/law06/tak-10594.pdf" TargetMode="External"/><Relationship Id="rId28" Type="http://schemas.openxmlformats.org/officeDocument/2006/relationships/footer" Target="footer1.xml"/><Relationship Id="rId10" Type="http://schemas.openxmlformats.org/officeDocument/2006/relationships/hyperlink" Target="https://www.nevo.co.il/law_word/law06/tak-9242.pdf" TargetMode="External"/><Relationship Id="rId19" Type="http://schemas.openxmlformats.org/officeDocument/2006/relationships/hyperlink" Target="https://www.nevo.co.il/law_word/law06/tak-9242.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06/tak-9242.pdf" TargetMode="External"/><Relationship Id="rId14" Type="http://schemas.openxmlformats.org/officeDocument/2006/relationships/hyperlink" Target="https://www.nevo.co.il/law_word/law06/tak-9242.pdf" TargetMode="External"/><Relationship Id="rId22" Type="http://schemas.openxmlformats.org/officeDocument/2006/relationships/hyperlink" Target="https://www.nevo.co.il/law_word/law06/tak-9242.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287.pdf" TargetMode="External"/><Relationship Id="rId2" Type="http://schemas.openxmlformats.org/officeDocument/2006/relationships/hyperlink" Target="https://www.nevo.co.il/law_word/law06/tak-9242.pdf" TargetMode="External"/><Relationship Id="rId1" Type="http://schemas.openxmlformats.org/officeDocument/2006/relationships/hyperlink" Target="http://www.nevo.co.il/Law_word/law06/tak-7905.pdf" TargetMode="External"/><Relationship Id="rId4" Type="http://schemas.openxmlformats.org/officeDocument/2006/relationships/hyperlink" Target="https://www.nevo.co.il/law_word/law06/tak-105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29357</CharactersWithSpaces>
  <SharedDoc>false</SharedDoc>
  <HLinks>
    <vt:vector size="318" baseType="variant">
      <vt:variant>
        <vt:i4>393283</vt:i4>
      </vt:variant>
      <vt:variant>
        <vt:i4>231</vt:i4>
      </vt:variant>
      <vt:variant>
        <vt:i4>0</vt:i4>
      </vt:variant>
      <vt:variant>
        <vt:i4>5</vt:i4>
      </vt:variant>
      <vt:variant>
        <vt:lpwstr>http://www.nevo.co.il/advertisements/nevo-100.doc</vt:lpwstr>
      </vt:variant>
      <vt:variant>
        <vt:lpwstr/>
      </vt:variant>
      <vt:variant>
        <vt:i4>393283</vt:i4>
      </vt:variant>
      <vt:variant>
        <vt:i4>228</vt:i4>
      </vt:variant>
      <vt:variant>
        <vt:i4>0</vt:i4>
      </vt:variant>
      <vt:variant>
        <vt:i4>5</vt:i4>
      </vt:variant>
      <vt:variant>
        <vt:lpwstr>http://www.nevo.co.il/advertisements/nevo-100.doc</vt:lpwstr>
      </vt:variant>
      <vt:variant>
        <vt:lpwstr/>
      </vt:variant>
      <vt:variant>
        <vt:i4>2293771</vt:i4>
      </vt:variant>
      <vt:variant>
        <vt:i4>225</vt:i4>
      </vt:variant>
      <vt:variant>
        <vt:i4>0</vt:i4>
      </vt:variant>
      <vt:variant>
        <vt:i4>5</vt:i4>
      </vt:variant>
      <vt:variant>
        <vt:lpwstr>https://www.nevo.co.il/law_html/law06/tak-10594.pdf</vt:lpwstr>
      </vt:variant>
      <vt:variant>
        <vt:lpwstr/>
      </vt:variant>
      <vt:variant>
        <vt:i4>7733279</vt:i4>
      </vt:variant>
      <vt:variant>
        <vt:i4>222</vt:i4>
      </vt:variant>
      <vt:variant>
        <vt:i4>0</vt:i4>
      </vt:variant>
      <vt:variant>
        <vt:i4>5</vt:i4>
      </vt:variant>
      <vt:variant>
        <vt:lpwstr>https://www.nevo.co.il/law_word/law06/tak-9242.pdf</vt:lpwstr>
      </vt:variant>
      <vt:variant>
        <vt:lpwstr/>
      </vt:variant>
      <vt:variant>
        <vt:i4>7733279</vt:i4>
      </vt:variant>
      <vt:variant>
        <vt:i4>219</vt:i4>
      </vt:variant>
      <vt:variant>
        <vt:i4>0</vt:i4>
      </vt:variant>
      <vt:variant>
        <vt:i4>5</vt:i4>
      </vt:variant>
      <vt:variant>
        <vt:lpwstr>https://www.nevo.co.il/law_word/law06/tak-9242.pdf</vt:lpwstr>
      </vt:variant>
      <vt:variant>
        <vt:lpwstr/>
      </vt:variant>
      <vt:variant>
        <vt:i4>7733279</vt:i4>
      </vt:variant>
      <vt:variant>
        <vt:i4>216</vt:i4>
      </vt:variant>
      <vt:variant>
        <vt:i4>0</vt:i4>
      </vt:variant>
      <vt:variant>
        <vt:i4>5</vt:i4>
      </vt:variant>
      <vt:variant>
        <vt:lpwstr>https://www.nevo.co.il/law_word/law06/tak-9242.pdf</vt:lpwstr>
      </vt:variant>
      <vt:variant>
        <vt:lpwstr/>
      </vt:variant>
      <vt:variant>
        <vt:i4>7733279</vt:i4>
      </vt:variant>
      <vt:variant>
        <vt:i4>213</vt:i4>
      </vt:variant>
      <vt:variant>
        <vt:i4>0</vt:i4>
      </vt:variant>
      <vt:variant>
        <vt:i4>5</vt:i4>
      </vt:variant>
      <vt:variant>
        <vt:lpwstr>https://www.nevo.co.il/law_word/law06/tak-9242.pdf</vt:lpwstr>
      </vt:variant>
      <vt:variant>
        <vt:lpwstr/>
      </vt:variant>
      <vt:variant>
        <vt:i4>7733279</vt:i4>
      </vt:variant>
      <vt:variant>
        <vt:i4>210</vt:i4>
      </vt:variant>
      <vt:variant>
        <vt:i4>0</vt:i4>
      </vt:variant>
      <vt:variant>
        <vt:i4>5</vt:i4>
      </vt:variant>
      <vt:variant>
        <vt:lpwstr>https://www.nevo.co.il/law_word/law06/tak-9242.pdf</vt:lpwstr>
      </vt:variant>
      <vt:variant>
        <vt:lpwstr/>
      </vt:variant>
      <vt:variant>
        <vt:i4>7733279</vt:i4>
      </vt:variant>
      <vt:variant>
        <vt:i4>207</vt:i4>
      </vt:variant>
      <vt:variant>
        <vt:i4>0</vt:i4>
      </vt:variant>
      <vt:variant>
        <vt:i4>5</vt:i4>
      </vt:variant>
      <vt:variant>
        <vt:lpwstr>https://www.nevo.co.il/law_word/law06/tak-9242.pdf</vt:lpwstr>
      </vt:variant>
      <vt:variant>
        <vt:lpwstr/>
      </vt:variant>
      <vt:variant>
        <vt:i4>7733279</vt:i4>
      </vt:variant>
      <vt:variant>
        <vt:i4>204</vt:i4>
      </vt:variant>
      <vt:variant>
        <vt:i4>0</vt:i4>
      </vt:variant>
      <vt:variant>
        <vt:i4>5</vt:i4>
      </vt:variant>
      <vt:variant>
        <vt:lpwstr>https://www.nevo.co.il/law_word/law06/tak-9242.pdf</vt:lpwstr>
      </vt:variant>
      <vt:variant>
        <vt:lpwstr/>
      </vt:variant>
      <vt:variant>
        <vt:i4>7733279</vt:i4>
      </vt:variant>
      <vt:variant>
        <vt:i4>201</vt:i4>
      </vt:variant>
      <vt:variant>
        <vt:i4>0</vt:i4>
      </vt:variant>
      <vt:variant>
        <vt:i4>5</vt:i4>
      </vt:variant>
      <vt:variant>
        <vt:lpwstr>https://www.nevo.co.il/law_word/law06/tak-9242.pdf</vt:lpwstr>
      </vt:variant>
      <vt:variant>
        <vt:lpwstr/>
      </vt:variant>
      <vt:variant>
        <vt:i4>7733279</vt:i4>
      </vt:variant>
      <vt:variant>
        <vt:i4>198</vt:i4>
      </vt:variant>
      <vt:variant>
        <vt:i4>0</vt:i4>
      </vt:variant>
      <vt:variant>
        <vt:i4>5</vt:i4>
      </vt:variant>
      <vt:variant>
        <vt:lpwstr>https://www.nevo.co.il/law_word/law06/tak-9242.pdf</vt:lpwstr>
      </vt:variant>
      <vt:variant>
        <vt:lpwstr/>
      </vt:variant>
      <vt:variant>
        <vt:i4>7733279</vt:i4>
      </vt:variant>
      <vt:variant>
        <vt:i4>195</vt:i4>
      </vt:variant>
      <vt:variant>
        <vt:i4>0</vt:i4>
      </vt:variant>
      <vt:variant>
        <vt:i4>5</vt:i4>
      </vt:variant>
      <vt:variant>
        <vt:lpwstr>https://www.nevo.co.il/law_word/law06/tak-9242.pdf</vt:lpwstr>
      </vt:variant>
      <vt:variant>
        <vt:lpwstr/>
      </vt:variant>
      <vt:variant>
        <vt:i4>7733279</vt:i4>
      </vt:variant>
      <vt:variant>
        <vt:i4>192</vt:i4>
      </vt:variant>
      <vt:variant>
        <vt:i4>0</vt:i4>
      </vt:variant>
      <vt:variant>
        <vt:i4>5</vt:i4>
      </vt:variant>
      <vt:variant>
        <vt:lpwstr>https://www.nevo.co.il/law_word/law06/tak-9242.pdf</vt:lpwstr>
      </vt:variant>
      <vt:variant>
        <vt:lpwstr/>
      </vt:variant>
      <vt:variant>
        <vt:i4>7733279</vt:i4>
      </vt:variant>
      <vt:variant>
        <vt:i4>189</vt:i4>
      </vt:variant>
      <vt:variant>
        <vt:i4>0</vt:i4>
      </vt:variant>
      <vt:variant>
        <vt:i4>5</vt:i4>
      </vt:variant>
      <vt:variant>
        <vt:lpwstr>https://www.nevo.co.il/law_word/law06/tak-9242.pdf</vt:lpwstr>
      </vt:variant>
      <vt:variant>
        <vt:lpwstr/>
      </vt:variant>
      <vt:variant>
        <vt:i4>7733279</vt:i4>
      </vt:variant>
      <vt:variant>
        <vt:i4>186</vt:i4>
      </vt:variant>
      <vt:variant>
        <vt:i4>0</vt:i4>
      </vt:variant>
      <vt:variant>
        <vt:i4>5</vt:i4>
      </vt:variant>
      <vt:variant>
        <vt:lpwstr>https://www.nevo.co.il/law_word/law06/tak-9242.pdf</vt:lpwstr>
      </vt:variant>
      <vt:variant>
        <vt:lpwstr/>
      </vt:variant>
      <vt:variant>
        <vt:i4>7733279</vt:i4>
      </vt:variant>
      <vt:variant>
        <vt:i4>183</vt:i4>
      </vt:variant>
      <vt:variant>
        <vt:i4>0</vt:i4>
      </vt:variant>
      <vt:variant>
        <vt:i4>5</vt:i4>
      </vt:variant>
      <vt:variant>
        <vt:lpwstr>https://www.nevo.co.il/law_word/law06/tak-9242.pdf</vt:lpwstr>
      </vt:variant>
      <vt:variant>
        <vt:lpwstr/>
      </vt:variant>
      <vt:variant>
        <vt:i4>7733279</vt:i4>
      </vt:variant>
      <vt:variant>
        <vt:i4>180</vt:i4>
      </vt:variant>
      <vt:variant>
        <vt:i4>0</vt:i4>
      </vt:variant>
      <vt:variant>
        <vt:i4>5</vt:i4>
      </vt:variant>
      <vt:variant>
        <vt:lpwstr>https://www.nevo.co.il/law_word/law06/tak-9242.pdf</vt:lpwstr>
      </vt:variant>
      <vt:variant>
        <vt:lpwstr/>
      </vt:variant>
      <vt:variant>
        <vt:i4>7733279</vt:i4>
      </vt:variant>
      <vt:variant>
        <vt:i4>177</vt:i4>
      </vt:variant>
      <vt:variant>
        <vt:i4>0</vt:i4>
      </vt:variant>
      <vt:variant>
        <vt:i4>5</vt:i4>
      </vt:variant>
      <vt:variant>
        <vt:lpwstr>https://www.nevo.co.il/law_word/law06/tak-9242.pdf</vt:lpwstr>
      </vt:variant>
      <vt:variant>
        <vt:lpwstr/>
      </vt:variant>
      <vt:variant>
        <vt:i4>7733279</vt:i4>
      </vt:variant>
      <vt:variant>
        <vt:i4>174</vt:i4>
      </vt:variant>
      <vt:variant>
        <vt:i4>0</vt:i4>
      </vt:variant>
      <vt:variant>
        <vt:i4>5</vt:i4>
      </vt:variant>
      <vt:variant>
        <vt:lpwstr>https://www.nevo.co.il/law_word/law06/tak-9242.pdf</vt:lpwstr>
      </vt:variant>
      <vt:variant>
        <vt:lpwstr/>
      </vt:variant>
      <vt:variant>
        <vt:i4>6094857</vt:i4>
      </vt:variant>
      <vt:variant>
        <vt:i4>168</vt:i4>
      </vt:variant>
      <vt:variant>
        <vt:i4>0</vt:i4>
      </vt:variant>
      <vt:variant>
        <vt:i4>5</vt:i4>
      </vt:variant>
      <vt:variant>
        <vt:lpwstr/>
      </vt:variant>
      <vt:variant>
        <vt:lpwstr>med8</vt:lpwstr>
      </vt:variant>
      <vt:variant>
        <vt:i4>5373961</vt:i4>
      </vt:variant>
      <vt:variant>
        <vt:i4>162</vt:i4>
      </vt:variant>
      <vt:variant>
        <vt:i4>0</vt:i4>
      </vt:variant>
      <vt:variant>
        <vt:i4>5</vt:i4>
      </vt:variant>
      <vt:variant>
        <vt:lpwstr/>
      </vt:variant>
      <vt:variant>
        <vt:lpwstr>med7</vt:lpwstr>
      </vt:variant>
      <vt:variant>
        <vt:i4>5439497</vt:i4>
      </vt:variant>
      <vt:variant>
        <vt:i4>156</vt:i4>
      </vt:variant>
      <vt:variant>
        <vt:i4>0</vt:i4>
      </vt:variant>
      <vt:variant>
        <vt:i4>5</vt:i4>
      </vt:variant>
      <vt:variant>
        <vt:lpwstr/>
      </vt:variant>
      <vt:variant>
        <vt:lpwstr>med6</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5242889</vt:i4>
      </vt:variant>
      <vt:variant>
        <vt:i4>96</vt:i4>
      </vt:variant>
      <vt:variant>
        <vt:i4>0</vt:i4>
      </vt:variant>
      <vt:variant>
        <vt:i4>5</vt:i4>
      </vt:variant>
      <vt:variant>
        <vt:lpwstr/>
      </vt:variant>
      <vt:variant>
        <vt:lpwstr>med5</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5308425</vt:i4>
      </vt:variant>
      <vt:variant>
        <vt:i4>54</vt:i4>
      </vt:variant>
      <vt:variant>
        <vt:i4>0</vt:i4>
      </vt:variant>
      <vt:variant>
        <vt:i4>5</vt:i4>
      </vt:variant>
      <vt:variant>
        <vt:lpwstr/>
      </vt:variant>
      <vt:variant>
        <vt:lpwstr>med4</vt:lpwstr>
      </vt:variant>
      <vt:variant>
        <vt:i4>196634</vt:i4>
      </vt:variant>
      <vt:variant>
        <vt:i4>48</vt:i4>
      </vt:variant>
      <vt:variant>
        <vt:i4>0</vt:i4>
      </vt:variant>
      <vt:variant>
        <vt:i4>5</vt:i4>
      </vt:variant>
      <vt:variant>
        <vt:lpwstr/>
      </vt:variant>
      <vt:variant>
        <vt:lpwstr>Seif5</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2293784</vt:i4>
      </vt:variant>
      <vt:variant>
        <vt:i4>9</vt:i4>
      </vt:variant>
      <vt:variant>
        <vt:i4>0</vt:i4>
      </vt:variant>
      <vt:variant>
        <vt:i4>5</vt:i4>
      </vt:variant>
      <vt:variant>
        <vt:lpwstr>https://www.nevo.co.il/law_word/law06/tak-10594.pdf</vt:lpwstr>
      </vt:variant>
      <vt:variant>
        <vt:lpwstr/>
      </vt:variant>
      <vt:variant>
        <vt:i4>7536659</vt:i4>
      </vt:variant>
      <vt:variant>
        <vt:i4>6</vt:i4>
      </vt:variant>
      <vt:variant>
        <vt:i4>0</vt:i4>
      </vt:variant>
      <vt:variant>
        <vt:i4>5</vt:i4>
      </vt:variant>
      <vt:variant>
        <vt:lpwstr>https://www.nevo.co.il/law_word/law06/tak-9287.pdf</vt:lpwstr>
      </vt:variant>
      <vt:variant>
        <vt:lpwstr/>
      </vt:variant>
      <vt:variant>
        <vt:i4>7733279</vt:i4>
      </vt:variant>
      <vt:variant>
        <vt:i4>3</vt:i4>
      </vt:variant>
      <vt:variant>
        <vt:i4>0</vt:i4>
      </vt:variant>
      <vt:variant>
        <vt:i4>5</vt:i4>
      </vt:variant>
      <vt:variant>
        <vt:lpwstr>https://www.nevo.co.il/law_word/law06/tak-9242.pdf</vt:lpwstr>
      </vt:variant>
      <vt:variant>
        <vt:lpwstr/>
      </vt:variant>
      <vt:variant>
        <vt:i4>8257540</vt:i4>
      </vt:variant>
      <vt:variant>
        <vt:i4>0</vt:i4>
      </vt:variant>
      <vt:variant>
        <vt:i4>0</vt:i4>
      </vt:variant>
      <vt:variant>
        <vt:i4>5</vt:i4>
      </vt:variant>
      <vt:variant>
        <vt:lpwstr>http://www.nevo.co.il/Law_word/law06/tak-7905.pdf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תקנות נתוני אשראי, תשע"ח-2017</vt:lpwstr>
  </property>
  <property fmtid="{D5CDD505-2E9C-101B-9397-08002B2CF9AE}" pid="5" name="LAWNUMBER">
    <vt:lpwstr>0735</vt:lpwstr>
  </property>
  <property fmtid="{D5CDD505-2E9C-101B-9397-08002B2CF9AE}" pid="6" name="TYPE">
    <vt:lpwstr>01</vt:lpwstr>
  </property>
  <property fmtid="{D5CDD505-2E9C-101B-9397-08002B2CF9AE}" pid="7" name="LINKK4">
    <vt:lpwstr>https://www.nevo.co.il/law_word/law06/tak-10594.pdf;‎רשומות - תקנות כלליות#ק"ת תשפ"ג מס' ‏‏10594#מיום 22.3.2023 עמ' 1144‏</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https://www.nevo.co.il/law_word/law06/tak-9287.pdf;‎רשומות - תקנות כלליות#ת"ט ק"ת תשפ"א ‏מס' 9287 #מיום 21.3.2021 עמ' 2767‏</vt:lpwstr>
  </property>
  <property fmtid="{D5CDD505-2E9C-101B-9397-08002B2CF9AE}" pid="20" name="MEKORSAMCHUT">
    <vt:lpwstr/>
  </property>
  <property fmtid="{D5CDD505-2E9C-101B-9397-08002B2CF9AE}" pid="21" name="MEKOR_NAME1">
    <vt:lpwstr>חוק נתוני אשראי</vt:lpwstr>
  </property>
  <property fmtid="{D5CDD505-2E9C-101B-9397-08002B2CF9AE}" pid="22" name="MEKOR_SAIF1">
    <vt:lpwstr>2X;19XבX;19XדX1X;22XהX1X</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שירות ללקוח</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שירות נתוני אשראי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2">
    <vt:lpwstr>https://www.nevo.co.il/law_word/law06/tak-9242.pdf;‎רשומות - תקנות כלליות#תוקנו ק"ת תשפ"א מס' ‏‏9242 #מיום 4.3.2021 עמ' 2404 – תק' תשפ"א-2021; ר' תקנות 15, 16 לענין תחילה והוראת מעבר</vt:lpwstr>
  </property>
  <property fmtid="{D5CDD505-2E9C-101B-9397-08002B2CF9AE}" pid="63" name="MEKOR_NAME2">
    <vt:lpwstr>חוק נתוני אשראי</vt:lpwstr>
  </property>
  <property fmtid="{D5CDD505-2E9C-101B-9397-08002B2CF9AE}" pid="64" name="MEKOR_SAIF2">
    <vt:lpwstr>26XאX3X;26XגX;30XאX;35XאX</vt:lpwstr>
  </property>
  <property fmtid="{D5CDD505-2E9C-101B-9397-08002B2CF9AE}" pid="65" name="MEKOR_NAME3">
    <vt:lpwstr>חוק נתוני אשראי</vt:lpwstr>
  </property>
  <property fmtid="{D5CDD505-2E9C-101B-9397-08002B2CF9AE}" pid="66" name="MEKOR_SAIF3">
    <vt:lpwstr>36X;42XבX;46X;49XאX</vt:lpwstr>
  </property>
  <property fmtid="{D5CDD505-2E9C-101B-9397-08002B2CF9AE}" pid="67" name="MEKOR_NAME4">
    <vt:lpwstr>חוק נתוני אשראי</vt:lpwstr>
  </property>
  <property fmtid="{D5CDD505-2E9C-101B-9397-08002B2CF9AE}" pid="68" name="MEKOR_SAIF4">
    <vt:lpwstr>49XבX;107X;115X;125XדX</vt:lpwstr>
  </property>
  <property fmtid="{D5CDD505-2E9C-101B-9397-08002B2CF9AE}" pid="69" name="LINKK1">
    <vt:lpwstr>http://www.nevo.co.il/Law_word/law06/tak-7905.pdf;‎רשומות - תקנות כלליות#פורסמו ק"ת תשע"ח ‏מס' 7905 #מיום 26.12.2017 עמ' 392‏</vt:lpwstr>
  </property>
</Properties>
</file>