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0BF" w:rsidRDefault="002770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סדר הדין הפלילי (הודעה לנאשם בדבר האפשרות לניהול דיון מקדמי), תשס"ז-2006</w:t>
      </w:r>
    </w:p>
    <w:p w:rsidR="00FD2984" w:rsidRPr="00FD2984" w:rsidRDefault="00FD2984" w:rsidP="00FD2984">
      <w:pPr>
        <w:spacing w:line="320" w:lineRule="auto"/>
        <w:rPr>
          <w:rFonts w:cs="FrankRuehl"/>
          <w:szCs w:val="26"/>
          <w:rtl/>
        </w:rPr>
      </w:pPr>
    </w:p>
    <w:p w:rsidR="00FD2984" w:rsidRDefault="00FD2984" w:rsidP="00FD2984">
      <w:pPr>
        <w:spacing w:line="320" w:lineRule="auto"/>
        <w:rPr>
          <w:rtl/>
        </w:rPr>
      </w:pPr>
    </w:p>
    <w:p w:rsidR="00FD2984" w:rsidRDefault="00FD2984" w:rsidP="00FD2984">
      <w:pPr>
        <w:spacing w:line="320" w:lineRule="auto"/>
        <w:rPr>
          <w:rFonts w:cs="FrankRuehl"/>
          <w:szCs w:val="26"/>
          <w:rtl/>
        </w:rPr>
      </w:pPr>
      <w:r w:rsidRPr="00FD2984">
        <w:rPr>
          <w:rFonts w:cs="Miriam"/>
          <w:szCs w:val="22"/>
          <w:rtl/>
        </w:rPr>
        <w:t>בתי משפט וסדרי דין</w:t>
      </w:r>
      <w:r w:rsidRPr="00FD2984">
        <w:rPr>
          <w:rFonts w:cs="FrankRuehl"/>
          <w:szCs w:val="26"/>
          <w:rtl/>
        </w:rPr>
        <w:t xml:space="preserve"> – סדר דין פלילי – ניהול ההליך הפלילי – דיון מקדמי</w:t>
      </w:r>
    </w:p>
    <w:p w:rsidR="002B3F67" w:rsidRPr="00FD2984" w:rsidRDefault="00FD2984" w:rsidP="00FD2984">
      <w:pPr>
        <w:spacing w:line="320" w:lineRule="auto"/>
        <w:rPr>
          <w:rFonts w:cs="Miriam"/>
          <w:szCs w:val="22"/>
          <w:rtl/>
        </w:rPr>
      </w:pPr>
      <w:r w:rsidRPr="00FD2984">
        <w:rPr>
          <w:rFonts w:cs="Miriam"/>
          <w:szCs w:val="22"/>
          <w:rtl/>
        </w:rPr>
        <w:t>עונשין ומשפט פלילי</w:t>
      </w:r>
      <w:r w:rsidRPr="00FD2984">
        <w:rPr>
          <w:rFonts w:cs="FrankRuehl"/>
          <w:szCs w:val="26"/>
          <w:rtl/>
        </w:rPr>
        <w:t xml:space="preserve"> – סדר דין פלילי</w:t>
      </w:r>
    </w:p>
    <w:p w:rsidR="002770BF" w:rsidRDefault="002770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770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770BF" w:rsidRDefault="002770B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2770BF" w:rsidRDefault="002770BF">
            <w:pPr>
              <w:rPr>
                <w:rFonts w:hint="cs"/>
              </w:rPr>
            </w:pPr>
            <w:hyperlink w:anchor="Seif0" w:tooltip="נוסח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70BF" w:rsidRDefault="002770BF">
            <w:pPr>
              <w:rPr>
                <w:rtl/>
              </w:rPr>
            </w:pPr>
            <w:r>
              <w:rPr>
                <w:rtl/>
              </w:rPr>
              <w:t>נוסח ההודעה</w:t>
            </w:r>
          </w:p>
        </w:tc>
        <w:tc>
          <w:tcPr>
            <w:tcW w:w="1247" w:type="dxa"/>
          </w:tcPr>
          <w:p w:rsidR="002770BF" w:rsidRDefault="002770BF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2770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770BF" w:rsidRDefault="002770B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2770BF" w:rsidRDefault="002770BF">
            <w:pPr>
              <w:rPr>
                <w:rFonts w:hint="cs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70BF" w:rsidRDefault="002770BF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2770BF" w:rsidRDefault="002770BF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</w:tbl>
    <w:p w:rsidR="002770BF" w:rsidRDefault="002770BF">
      <w:pPr>
        <w:pStyle w:val="big-header"/>
        <w:ind w:left="0" w:right="1134"/>
        <w:rPr>
          <w:rFonts w:cs="FrankRuehl" w:hint="cs"/>
          <w:sz w:val="32"/>
          <w:rtl/>
        </w:rPr>
      </w:pPr>
    </w:p>
    <w:p w:rsidR="002770BF" w:rsidRPr="002B3F67" w:rsidRDefault="002770BF" w:rsidP="002B3F6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סדר הדין הפלילי (הודעה לנאשם בדבר האפשרות לניהול דיון מקדמי),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770BF" w:rsidRDefault="00277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מכוח סמכותי לפי סעיף 95(ב) לחוק סדר הדין הפלילי [נוסח משולב], התשמ"ב</w:t>
      </w:r>
      <w:r>
        <w:rPr>
          <w:rStyle w:val="default"/>
          <w:rFonts w:cs="FrankRuehl" w:hint="cs"/>
          <w:rtl/>
        </w:rPr>
        <w:t>-1982</w:t>
      </w:r>
      <w:r>
        <w:rPr>
          <w:rStyle w:val="default"/>
          <w:rFonts w:cs="FrankRuehl"/>
          <w:rtl/>
        </w:rPr>
        <w:t xml:space="preserve"> (להלן – החוק), ובאישור ועדת החוקה חוק ומשפט של הכנסת, אני מתקין תקנות אלה:</w:t>
      </w:r>
    </w:p>
    <w:p w:rsidR="002770BF" w:rsidRDefault="00277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7216" o:allowincell="f" filled="f" stroked="f" strokecolor="lime" strokeweight=".25pt">
            <v:textbox style="mso-next-textbox:#_x0000_s1026" inset="0,0,0,0">
              <w:txbxContent>
                <w:p w:rsidR="002770BF" w:rsidRDefault="002770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נוסח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נוסח ההודעה לפי סעיף 95(ב) לחוק יהיה כדלקמן:</w:t>
      </w:r>
    </w:p>
    <w:p w:rsidR="002770BF" w:rsidRDefault="002770BF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  <w:b/>
          <w:bCs/>
          <w:sz w:val="22"/>
          <w:szCs w:val="22"/>
          <w:rtl/>
        </w:rPr>
        <w:t>הודעה לנאשם בדבר האפשרות לניהול דיון מקדמי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מובא בזה לידיעתך, כי הנך מוזמנ/ת להקראת כתב האישום במועד הנקוב בהזמנה המצורפת בזה. במועד זה תתבקש/י לתת את תשובתך לכתב האישום.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בית המשפט יהיה רשאי לשאול אותך שאלות לשם הבהרת תשובתך לכתב האישום.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במסגרת הדיון יהיה בית המשפט רשאי לקיים הליך נוסף הקרוי דיון מקדמי, שתכליתו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לברר את עמדתך לענין הודאה או כפירה בעובדות הנטענות בכתב האישום, כולן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מקצתן, לבחון את האפשרות לצמצום המחלוקת העובדתית או המשפטית, כולה או מקצתה, ולברר האם ניתן לוותר על הצורך בשמיעת ראיות.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בהליך זה, יהיה בית המשפט רשאי לסיים את הדיון בתיק בהתאם לבירורים המפורטים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לעיל או להעביר את התיק לשופט אחר לצורך שמיעת עדויות, בנושאים שנותרו במחלוקת.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הדיון המקדמי יתקיים רק בהסכמתך, ורק אם תהיה/י מיוצג/ת על ידי סניגור פרטי או ציבורי, לפי בחירתך.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אם ברצונך לקבל ייצוג מטעם הסנגוריה הציבורית, עליך ליצור קשר עם משרד הסנגוריה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הקרוב למקום מגוריך, לפי רשימת הכתובות שלהלן או להיעזר בסניגור הציבורי, אשר יימצא בבית המשפט ביום הדיון.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כתובות הסניגוריה הציבורית:</w:t>
      </w:r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מחוז הדרום: </w:t>
      </w:r>
      <w:r>
        <w:rPr>
          <w:rStyle w:val="default"/>
          <w:rFonts w:cs="FrankRuehl"/>
          <w:rtl/>
        </w:rPr>
        <w:fldChar w:fldCharType="begin">
          <w:ffData>
            <w:name w:val="טקסט1"/>
            <w:enabled/>
            <w:calcOnExit w:val="0"/>
            <w:textInput/>
          </w:ffData>
        </w:fldChar>
      </w:r>
      <w:bookmarkStart w:id="1" w:name="טקסט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"/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מחוז חיפה: </w:t>
      </w:r>
      <w:r>
        <w:rPr>
          <w:rStyle w:val="default"/>
          <w:rFonts w:cs="FrankRuehl"/>
          <w:rtl/>
        </w:rPr>
        <w:fldChar w:fldCharType="begin">
          <w:ffData>
            <w:name w:val="טקסט2"/>
            <w:enabled/>
            <w:calcOnExit w:val="0"/>
            <w:textInput/>
          </w:ffData>
        </w:fldChar>
      </w:r>
      <w:bookmarkStart w:id="2" w:name="טקסט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"/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מחוז ירושלים: </w:t>
      </w:r>
      <w:r>
        <w:rPr>
          <w:rStyle w:val="default"/>
          <w:rFonts w:cs="FrankRuehl"/>
          <w:rtl/>
        </w:rPr>
        <w:fldChar w:fldCharType="begin">
          <w:ffData>
            <w:name w:val="טקסט3"/>
            <w:enabled/>
            <w:calcOnExit w:val="0"/>
            <w:textInput/>
          </w:ffData>
        </w:fldChar>
      </w:r>
      <w:bookmarkStart w:id="3" w:name="טקסט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"/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מחוז הצפון</w:t>
      </w:r>
      <w:r>
        <w:rPr>
          <w:rStyle w:val="default"/>
          <w:rFonts w:cs="FrankRuehl" w:hint="cs"/>
          <w:rtl/>
        </w:rPr>
        <w:t xml:space="preserve">: </w:t>
      </w:r>
      <w:r>
        <w:rPr>
          <w:rStyle w:val="default"/>
          <w:rFonts w:cs="FrankRuehl"/>
          <w:rtl/>
        </w:rPr>
        <w:fldChar w:fldCharType="begin">
          <w:ffData>
            <w:name w:val="טקסט4"/>
            <w:enabled/>
            <w:calcOnExit w:val="0"/>
            <w:textInput/>
          </w:ffData>
        </w:fldChar>
      </w:r>
      <w:bookmarkStart w:id="4" w:name="טקסט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4"/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מחוז תל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אביב-מרכז: </w:t>
      </w:r>
      <w:r>
        <w:rPr>
          <w:rStyle w:val="default"/>
          <w:rFonts w:cs="FrankRuehl"/>
          <w:rtl/>
        </w:rPr>
        <w:fldChar w:fldCharType="begin">
          <w:ffData>
            <w:name w:val="טקסט5"/>
            <w:enabled/>
            <w:calcOnExit w:val="0"/>
            <w:textInput/>
          </w:ffData>
        </w:fldChar>
      </w:r>
      <w:bookmarkStart w:id="5" w:name="טקסט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"/>
    </w:p>
    <w:p w:rsidR="002770BF" w:rsidRDefault="002770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</w:p>
    <w:p w:rsidR="002770BF" w:rsidRDefault="002770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5670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6"/>
            <w:enabled/>
            <w:calcOnExit w:val="0"/>
            <w:textInput>
              <w:default w:val="תאריך"/>
            </w:textInput>
          </w:ffData>
        </w:fldChar>
      </w:r>
      <w:bookmarkStart w:id="6" w:name="טקסט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6"/>
      <w:r>
        <w:rPr>
          <w:rStyle w:val="default"/>
          <w:rFonts w:cs="FrankRuehl" w:hint="cs"/>
          <w:rtl/>
        </w:rPr>
        <w:tab/>
        <w:t>_______________</w:t>
      </w:r>
    </w:p>
    <w:p w:rsidR="002770BF" w:rsidRDefault="002770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5670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חתימה"</w:t>
      </w:r>
    </w:p>
    <w:p w:rsidR="002770BF" w:rsidRDefault="00277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1"/>
      <w:bookmarkEnd w:id="7"/>
      <w:r>
        <w:rPr>
          <w:rFonts w:cs="Miriam"/>
          <w:lang w:val="he-IL"/>
        </w:rPr>
        <w:pict>
          <v:rect id="_x0000_s1179" style="position:absolute;left:0;text-align:left;margin-left:464.35pt;margin-top:7.1pt;width:75.05pt;height:9.05pt;z-index:251658240" o:allowincell="f" filled="f" stroked="f" strokecolor="lime" strokeweight=".25pt">
            <v:textbox style="mso-next-textbox:#_x0000_s1179" inset="0,0,0,0">
              <w:txbxContent>
                <w:p w:rsidR="002770BF" w:rsidRDefault="002770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י"א בטבת התשס"ז (1 בינואר 2007).</w:t>
      </w:r>
    </w:p>
    <w:p w:rsidR="002770BF" w:rsidRDefault="00277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70BF" w:rsidRDefault="00277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70BF" w:rsidRDefault="00277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בטבת התשס"ז (25 בדצמבר 2006)</w:t>
      </w:r>
    </w:p>
    <w:p w:rsidR="002770BF" w:rsidRDefault="002770B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ציפי לבני</w:t>
      </w:r>
    </w:p>
    <w:p w:rsidR="002770BF" w:rsidRDefault="002770B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שרת המשפטים</w:t>
      </w:r>
    </w:p>
    <w:p w:rsidR="002770BF" w:rsidRDefault="002770B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2770BF" w:rsidRDefault="002770B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2770BF" w:rsidRDefault="002770BF">
      <w:pPr>
        <w:pStyle w:val="sig-0"/>
        <w:ind w:left="0" w:right="1134"/>
        <w:rPr>
          <w:rFonts w:cs="FrankRuehl"/>
          <w:sz w:val="26"/>
          <w:rtl/>
        </w:rPr>
      </w:pPr>
    </w:p>
    <w:sectPr w:rsidR="002770B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4542" w:rsidRDefault="00504542">
      <w:r>
        <w:separator/>
      </w:r>
    </w:p>
  </w:endnote>
  <w:endnote w:type="continuationSeparator" w:id="0">
    <w:p w:rsidR="00504542" w:rsidRDefault="0050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0BF" w:rsidRDefault="002770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770BF" w:rsidRDefault="002770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770BF" w:rsidRDefault="002770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Z:\000000000000-law\yael\07-01-01-d\01\table\999_707.doc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0BF" w:rsidRDefault="002770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298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770BF" w:rsidRDefault="002770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770BF" w:rsidRDefault="002770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Z:\000000000000-law\yael\07-01-01-d\01\table\999_707.doc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4542" w:rsidRDefault="00504542">
      <w:r>
        <w:separator/>
      </w:r>
    </w:p>
  </w:footnote>
  <w:footnote w:type="continuationSeparator" w:id="0">
    <w:p w:rsidR="00504542" w:rsidRDefault="00504542">
      <w:r>
        <w:continuationSeparator/>
      </w:r>
    </w:p>
  </w:footnote>
  <w:footnote w:id="1">
    <w:p w:rsidR="002770BF" w:rsidRDefault="002770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6547</w:t>
        </w:r>
      </w:hyperlink>
      <w:r>
        <w:rPr>
          <w:rFonts w:cs="FrankRuehl" w:hint="cs"/>
          <w:rtl/>
        </w:rPr>
        <w:t xml:space="preserve"> מיום 28.12.2006 עמ' 402.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0BF" w:rsidRDefault="002770B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770BF" w:rsidRDefault="002770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70BF" w:rsidRDefault="002770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0BF" w:rsidRDefault="002770B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סדר הדין הפלילי (הודעה לנאשם בדבר האפשרות לניהול דיון מקדמי),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תשס"ז-2006</w:t>
    </w:r>
  </w:p>
  <w:p w:rsidR="002770BF" w:rsidRDefault="002770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70BF" w:rsidRDefault="002770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2654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F67"/>
    <w:rsid w:val="002770BF"/>
    <w:rsid w:val="002B3F67"/>
    <w:rsid w:val="00504542"/>
    <w:rsid w:val="006A4B5E"/>
    <w:rsid w:val="00AC4800"/>
    <w:rsid w:val="00BC5182"/>
    <w:rsid w:val="00FC059B"/>
    <w:rsid w:val="00F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9033F63-5097-44B1-9855-88653E32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1945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סדר הדין הפלילי (הודעה לנאשם בדבר האפשרות לניהול דיון מקדמי), תשס"ז-2006</vt:lpwstr>
  </property>
  <property fmtid="{D5CDD505-2E9C-101B-9397-08002B2CF9AE}" pid="4" name="LAWNUMBER">
    <vt:lpwstr>0707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http://www.nevo.co.il/Law_word/law06/tak-6547.pdf;רשומות - תקנות כלליות#פורסמו ק"ת תשס"ז מס' 6547 #מיום 28.12.2006 #עמ' 402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ניהול ההליך הפלילי</vt:lpwstr>
  </property>
  <property fmtid="{D5CDD505-2E9C-101B-9397-08002B2CF9AE}" pid="25" name="NOSE41">
    <vt:lpwstr>דיון מקדמי</vt:lpwstr>
  </property>
  <property fmtid="{D5CDD505-2E9C-101B-9397-08002B2CF9AE}" pid="26" name="NOSE12">
    <vt:lpwstr>עונשין ומשפט פלילי</vt:lpwstr>
  </property>
  <property fmtid="{D5CDD505-2E9C-101B-9397-08002B2CF9AE}" pid="27" name="NOSE22">
    <vt:lpwstr>סדר דין פלילי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95XבX</vt:lpwstr>
  </property>
</Properties>
</file>