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264C" w14:textId="77777777" w:rsidR="00124348" w:rsidRDefault="0012434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סדר הדין הפלילי (כשירות שוטר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תובע וסמכויותיו), תשכ"ו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1966</w:t>
      </w:r>
    </w:p>
    <w:p w14:paraId="0A992A9F" w14:textId="77777777" w:rsidR="00124348" w:rsidRDefault="00F554F8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14:paraId="3104D6BA" w14:textId="77777777" w:rsidR="009664A8" w:rsidRPr="009664A8" w:rsidRDefault="009664A8" w:rsidP="009664A8">
      <w:pPr>
        <w:spacing w:line="320" w:lineRule="auto"/>
        <w:jc w:val="left"/>
        <w:rPr>
          <w:rFonts w:cs="FrankRuehl"/>
          <w:szCs w:val="26"/>
          <w:rtl/>
        </w:rPr>
      </w:pPr>
    </w:p>
    <w:p w14:paraId="21AE638E" w14:textId="77777777" w:rsidR="009664A8" w:rsidRDefault="009664A8" w:rsidP="009664A8">
      <w:pPr>
        <w:spacing w:line="320" w:lineRule="auto"/>
        <w:jc w:val="left"/>
        <w:rPr>
          <w:rtl/>
        </w:rPr>
      </w:pPr>
    </w:p>
    <w:p w14:paraId="3A2E0B17" w14:textId="77777777" w:rsidR="009664A8" w:rsidRDefault="009664A8" w:rsidP="009664A8">
      <w:pPr>
        <w:spacing w:line="320" w:lineRule="auto"/>
        <w:jc w:val="left"/>
        <w:rPr>
          <w:rFonts w:cs="FrankRuehl"/>
          <w:szCs w:val="26"/>
          <w:rtl/>
        </w:rPr>
      </w:pPr>
      <w:r w:rsidRPr="009664A8">
        <w:rPr>
          <w:rFonts w:cs="Miriam"/>
          <w:szCs w:val="22"/>
          <w:rtl/>
        </w:rPr>
        <w:t>בתי משפט וסדרי דין</w:t>
      </w:r>
      <w:r w:rsidRPr="009664A8">
        <w:rPr>
          <w:rFonts w:cs="FrankRuehl"/>
          <w:szCs w:val="26"/>
          <w:rtl/>
        </w:rPr>
        <w:t xml:space="preserve"> – סדר דין פלילי – ניהול ההליך הפלילי</w:t>
      </w:r>
    </w:p>
    <w:p w14:paraId="136C364B" w14:textId="77777777" w:rsidR="009664A8" w:rsidRDefault="009664A8" w:rsidP="009664A8">
      <w:pPr>
        <w:spacing w:line="320" w:lineRule="auto"/>
        <w:jc w:val="left"/>
        <w:rPr>
          <w:rFonts w:cs="FrankRuehl"/>
          <w:szCs w:val="26"/>
          <w:rtl/>
        </w:rPr>
      </w:pPr>
      <w:r w:rsidRPr="009664A8">
        <w:rPr>
          <w:rFonts w:cs="Miriam"/>
          <w:szCs w:val="22"/>
          <w:rtl/>
        </w:rPr>
        <w:t>בטחון</w:t>
      </w:r>
      <w:r w:rsidRPr="009664A8">
        <w:rPr>
          <w:rFonts w:cs="FrankRuehl"/>
          <w:szCs w:val="26"/>
          <w:rtl/>
        </w:rPr>
        <w:t xml:space="preserve"> – משטרה</w:t>
      </w:r>
    </w:p>
    <w:p w14:paraId="396B92EB" w14:textId="77777777" w:rsidR="00B37BB1" w:rsidRPr="009664A8" w:rsidRDefault="009664A8" w:rsidP="009664A8">
      <w:pPr>
        <w:spacing w:line="320" w:lineRule="auto"/>
        <w:jc w:val="left"/>
        <w:rPr>
          <w:rFonts w:cs="Miriam"/>
          <w:szCs w:val="22"/>
          <w:rtl/>
        </w:rPr>
      </w:pPr>
      <w:r w:rsidRPr="009664A8">
        <w:rPr>
          <w:rFonts w:cs="Miriam"/>
          <w:szCs w:val="22"/>
          <w:rtl/>
        </w:rPr>
        <w:t>עונשין ומשפט פלילי</w:t>
      </w:r>
      <w:r w:rsidRPr="009664A8">
        <w:rPr>
          <w:rFonts w:cs="FrankRuehl"/>
          <w:szCs w:val="26"/>
          <w:rtl/>
        </w:rPr>
        <w:t xml:space="preserve"> – סדר דין פלילי</w:t>
      </w:r>
    </w:p>
    <w:p w14:paraId="6EF019A2" w14:textId="77777777" w:rsidR="00124348" w:rsidRDefault="0012434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24348" w14:paraId="2D3DA12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C145B02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03F418A6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תנאי כ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623F44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תנאי כשירות</w:t>
            </w:r>
          </w:p>
        </w:tc>
        <w:tc>
          <w:tcPr>
            <w:tcW w:w="1247" w:type="dxa"/>
          </w:tcPr>
          <w:p w14:paraId="4221FEED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124348" w14:paraId="6A2C2E8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5CA4A5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6D25265B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סמכות תובע משטר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3D57C9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סמכות תובע משטרתי</w:t>
            </w:r>
          </w:p>
        </w:tc>
        <w:tc>
          <w:tcPr>
            <w:tcW w:w="1247" w:type="dxa"/>
          </w:tcPr>
          <w:p w14:paraId="5D5D950E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124348" w14:paraId="24B13B5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C01AEDC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279E0225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C4FF35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77F962D" w14:textId="77777777" w:rsidR="00124348" w:rsidRDefault="0012434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</w:tbl>
    <w:p w14:paraId="3E3EC0F7" w14:textId="77777777" w:rsidR="00124348" w:rsidRDefault="00124348">
      <w:pPr>
        <w:pStyle w:val="big-header"/>
        <w:ind w:left="0" w:right="1134"/>
        <w:rPr>
          <w:rFonts w:cs="FrankRuehl"/>
          <w:sz w:val="32"/>
          <w:rtl/>
        </w:rPr>
      </w:pPr>
    </w:p>
    <w:p w14:paraId="087D9255" w14:textId="77777777" w:rsidR="00124348" w:rsidRPr="00B37BB1" w:rsidRDefault="00124348" w:rsidP="00B37BB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rtl/>
          <w:lang w:val="he-IL"/>
        </w:rPr>
        <w:lastRenderedPageBreak/>
        <w:pict w14:anchorId="2866046C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26.95pt;width:1in;height:11.4pt;z-index:251657728" filled="f" stroked="f">
            <v:textbox inset="1mm,0,1mm,0">
              <w:txbxContent>
                <w:p w14:paraId="1C99904C" w14:textId="77777777" w:rsidR="00124348" w:rsidRDefault="0012434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סדר הדין הפלילי (כשירות שוטר תובע וסמכויותיו), תשכ"ו-</w:t>
      </w:r>
      <w:r>
        <w:rPr>
          <w:rFonts w:cs="FrankRuehl"/>
          <w:sz w:val="32"/>
          <w:rtl/>
        </w:rPr>
        <w:t>1966</w:t>
      </w:r>
      <w:r>
        <w:rPr>
          <w:rStyle w:val="default"/>
          <w:rtl/>
        </w:rPr>
        <w:footnoteReference w:customMarkFollows="1" w:id="1"/>
        <w:t>*</w:t>
      </w:r>
    </w:p>
    <w:p w14:paraId="54638F1C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6"/>
      <w:r w:rsidRPr="00005BF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22.7.2007</w:t>
      </w:r>
    </w:p>
    <w:p w14:paraId="0A7602E9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5BF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14:paraId="6C5A6109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005BF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6604</w:t>
        </w:r>
      </w:hyperlink>
      <w:r w:rsidRPr="00005BF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22.7.2007 עמ' 1056</w:t>
      </w:r>
    </w:p>
    <w:p w14:paraId="62497F8B" w14:textId="77777777" w:rsidR="00124348" w:rsidRDefault="0012434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05BF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שם התקנות</w:t>
      </w:r>
      <w:bookmarkEnd w:id="0"/>
    </w:p>
    <w:p w14:paraId="38AED947" w14:textId="77777777" w:rsidR="00124348" w:rsidRDefault="001243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6CC479B3">
          <v:shape id="_x0000_s1031" type="#_x0000_t202" style="position:absolute;left:0;text-align:left;margin-left:470.25pt;margin-top:7.1pt;width:1in;height:11.2pt;z-index:251658752" filled="f" stroked="f">
            <v:textbox inset="1mm,0,1mm,0">
              <w:txbxContent>
                <w:p w14:paraId="4AE5BF9C" w14:textId="77777777" w:rsidR="00124348" w:rsidRDefault="0012434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</w:t>
      </w:r>
      <w:r>
        <w:rPr>
          <w:rStyle w:val="default"/>
          <w:rFonts w:cs="FrankRuehl"/>
          <w:rtl/>
        </w:rPr>
        <w:t>לפי סעיפים 12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244 לחוק סדר הדין הפלילי [נוסח משולב], התשמ"ב</w:t>
      </w:r>
      <w:r>
        <w:rPr>
          <w:rStyle w:val="default"/>
          <w:rFonts w:cs="FrankRuehl" w:hint="cs"/>
          <w:rtl/>
        </w:rPr>
        <w:t xml:space="preserve">-1982 </w:t>
      </w:r>
      <w:r>
        <w:rPr>
          <w:rStyle w:val="default"/>
          <w:rFonts w:cs="FrankRuehl"/>
          <w:rtl/>
        </w:rPr>
        <w:t xml:space="preserve">(להלן – החוק), </w:t>
      </w:r>
      <w:r>
        <w:rPr>
          <w:rStyle w:val="default"/>
          <w:rFonts w:cs="FrankRuehl" w:hint="cs"/>
          <w:rtl/>
        </w:rPr>
        <w:t>ולאחר התייעצות עם שר המשטרה, אני מתקין תקנות אלה:</w:t>
      </w:r>
    </w:p>
    <w:p w14:paraId="26D25435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7"/>
      <w:r w:rsidRPr="00005BF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22.7.2007</w:t>
      </w:r>
    </w:p>
    <w:p w14:paraId="6DF53FCE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5BF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14:paraId="749DB7C5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005BF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6604</w:t>
        </w:r>
      </w:hyperlink>
      <w:r w:rsidRPr="00005BF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22.7.2007 עמ' 1056</w:t>
      </w:r>
    </w:p>
    <w:p w14:paraId="619FFD2C" w14:textId="77777777" w:rsidR="00124348" w:rsidRDefault="0012434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05BF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וקף סמכותי </w:t>
      </w:r>
      <w:r w:rsidRPr="00005BF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סעיף 10 לחוק סדר הדין הפלילי, תשכ"ה-</w:t>
      </w:r>
      <w:r w:rsidRPr="00005BF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1965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05BF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לפי סעיפים 12 ו</w:t>
      </w:r>
      <w:r w:rsidRPr="00005BF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05BF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244 לחוק סדר הדין הפלילי [נוסח משולב], התשמ"ב</w:t>
      </w:r>
      <w:r w:rsidRPr="00005BF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-1982 </w:t>
      </w:r>
      <w:r w:rsidRPr="00005BF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(להלן – החוק)</w:t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ולאחר התייעצות עם שר המשטרה, אני מתקין תקנות אלה:</w:t>
      </w:r>
      <w:bookmarkEnd w:id="1"/>
    </w:p>
    <w:p w14:paraId="51C05D85" w14:textId="77777777" w:rsidR="00124348" w:rsidRDefault="001243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0"/>
      <w:bookmarkEnd w:id="2"/>
      <w:r>
        <w:rPr>
          <w:lang w:val="he-IL"/>
        </w:rPr>
        <w:pict w14:anchorId="487DB965">
          <v:rect id="_x0000_s1026" style="position:absolute;left:0;text-align:left;margin-left:464.5pt;margin-top:8.05pt;width:75.05pt;height:17.9pt;z-index:251654656" o:allowincell="f" filled="f" stroked="f" strokecolor="lime" strokeweight=".25pt">
            <v:textbox style="mso-next-textbox:#_x0000_s1026" inset="0,0,0,0">
              <w:txbxContent>
                <w:p w14:paraId="07D33D53" w14:textId="77777777" w:rsidR="00124348" w:rsidRDefault="0012434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כשירות</w:t>
                  </w:r>
                </w:p>
                <w:p w14:paraId="4DE43E64" w14:textId="77777777" w:rsidR="00124348" w:rsidRDefault="001243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 xml:space="preserve">טר שהוא אחד המנויים להלן יהיה כשיר להתמנות תובע לפי </w:t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12(א)(2) לחוק</w:t>
      </w:r>
      <w:r>
        <w:rPr>
          <w:rStyle w:val="default"/>
          <w:rFonts w:cs="FrankRuehl"/>
          <w:rtl/>
        </w:rPr>
        <w:t xml:space="preserve"> –</w:t>
      </w:r>
    </w:p>
    <w:p w14:paraId="5BD09DAB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לשכת עורכי-הדין;</w:t>
      </w:r>
    </w:p>
    <w:p w14:paraId="6D3D879A" w14:textId="77777777" w:rsidR="00124348" w:rsidRDefault="00005BF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1A3E2ACA">
          <v:shape id="_x0000_s1038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168C9791" w14:textId="77777777" w:rsidR="00005BF8" w:rsidRDefault="00005BF8" w:rsidP="00005B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</v:shape>
        </w:pict>
      </w:r>
      <w:r w:rsidR="00124348">
        <w:rPr>
          <w:rStyle w:val="default"/>
          <w:rFonts w:cs="FrankRuehl" w:hint="cs"/>
          <w:rtl/>
        </w:rPr>
        <w:t>(2)</w:t>
      </w:r>
      <w:r w:rsidR="00124348">
        <w:rPr>
          <w:rStyle w:val="default"/>
          <w:rFonts w:cs="FrankRuehl"/>
          <w:rtl/>
        </w:rPr>
        <w:tab/>
        <w:t>ב</w:t>
      </w:r>
      <w:r w:rsidR="00124348">
        <w:rPr>
          <w:rStyle w:val="default"/>
          <w:rFonts w:cs="FrankRuehl" w:hint="cs"/>
          <w:rtl/>
        </w:rPr>
        <w:t>וגר הפקולטה למשפטים של האוניברסיטה העברית או של אוניברסיטת תל-אביב או אוניברסיטת בר-אילן;</w:t>
      </w:r>
    </w:p>
    <w:p w14:paraId="6C882105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וגר בית-ספר לקצינים בכירים של המשטרה;</w:t>
      </w:r>
    </w:p>
    <w:p w14:paraId="3D67A33E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וגר קורס-מפקחים של המשטרה;</w:t>
      </w:r>
    </w:p>
    <w:p w14:paraId="4BEE670D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וגר קו</w:t>
      </w:r>
      <w:r>
        <w:rPr>
          <w:rStyle w:val="default"/>
          <w:rFonts w:cs="FrankRuehl"/>
          <w:rtl/>
        </w:rPr>
        <w:t>רס</w:t>
      </w:r>
      <w:r>
        <w:rPr>
          <w:rStyle w:val="default"/>
          <w:rFonts w:cs="FrankRuehl" w:hint="cs"/>
          <w:rtl/>
        </w:rPr>
        <w:t>-סמלים של המשטרה;</w:t>
      </w:r>
    </w:p>
    <w:p w14:paraId="13F43C49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וגר קורס-חוקרים של המשטרה;</w:t>
      </w:r>
    </w:p>
    <w:p w14:paraId="1BB978D7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מד בבחינת-חוקרים במ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טרה;</w:t>
      </w:r>
    </w:p>
    <w:p w14:paraId="355D8C0D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וגר קורס-טירונים של המשטרה אשר מילא 3 שנים לפחות תפקיד בחקירת עבירות ומפקדו המליץ עליו שהוא ראוי להיות תובע;</w:t>
      </w:r>
    </w:p>
    <w:p w14:paraId="60D28E2F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ימש תובע משטרתי שנה אחת לפחות תכוף לפני תחילתן של תקנות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לה.</w:t>
      </w:r>
    </w:p>
    <w:p w14:paraId="08A59B83" w14:textId="77777777" w:rsidR="00F554F8" w:rsidRPr="00005BF8" w:rsidRDefault="00F554F8" w:rsidP="00F554F8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1"/>
      <w:r w:rsidRPr="00005BF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5.5.1977</w:t>
      </w:r>
    </w:p>
    <w:p w14:paraId="544B9C6C" w14:textId="77777777" w:rsidR="00F554F8" w:rsidRPr="00005BF8" w:rsidRDefault="00F554F8" w:rsidP="00F554F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5BF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14:paraId="73BCBF09" w14:textId="77777777" w:rsidR="00F554F8" w:rsidRPr="00005BF8" w:rsidRDefault="00F554F8" w:rsidP="00F554F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005BF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3705</w:t>
        </w:r>
      </w:hyperlink>
      <w:r w:rsidRPr="00005BF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5.5.1977 עמ' 1548</w:t>
      </w:r>
    </w:p>
    <w:p w14:paraId="2AF9BA60" w14:textId="77777777" w:rsidR="00F554F8" w:rsidRPr="00005BF8" w:rsidRDefault="00F554F8" w:rsidP="00F554F8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וגר הפקולטה למשפטים של האוניברסיטה העברית </w:t>
      </w:r>
      <w:r w:rsidRPr="00005BF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של אוניברסיטת תל-אביב או אוניברסיטת בר-אילן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496FC353" w14:textId="77777777" w:rsidR="00F554F8" w:rsidRPr="00005BF8" w:rsidRDefault="00F554F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5FA527CF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05BF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22.7.2007</w:t>
      </w:r>
    </w:p>
    <w:p w14:paraId="5DF5162D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5BF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14:paraId="1E609E5B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005BF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6604</w:t>
        </w:r>
      </w:hyperlink>
      <w:r w:rsidRPr="00005BF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22.7.2007 עמ' 1056</w:t>
      </w:r>
    </w:p>
    <w:p w14:paraId="7BA7D302" w14:textId="77777777" w:rsidR="00124348" w:rsidRPr="00F554F8" w:rsidRDefault="00124348" w:rsidP="00F554F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05BF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005BF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שו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טר שהוא אחד המנויים להלן יהיה כשיר להתמנות תובע </w:t>
      </w:r>
      <w:r w:rsidRPr="00005BF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לפי </w:t>
      </w:r>
      <w:r w:rsidRPr="00005BF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סע</w:t>
      </w:r>
      <w:r w:rsidRPr="00005BF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יף 10(א)(2) לחוק סדר הדין הפלילי, תשכ"ה-</w:t>
      </w:r>
      <w:r w:rsidRPr="00005BF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1965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05BF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סעיף 12(א)(2) לחוק</w:t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–</w:t>
      </w:r>
      <w:bookmarkEnd w:id="3"/>
    </w:p>
    <w:p w14:paraId="7056FEA4" w14:textId="77777777" w:rsidR="00124348" w:rsidRDefault="001243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lang w:val="he-IL"/>
        </w:rPr>
        <w:pict w14:anchorId="5DFC4BB7">
          <v:rect id="_x0000_s1028" style="position:absolute;left:0;text-align:left;margin-left:464.5pt;margin-top:8.05pt;width:75.05pt;height:19pt;z-index:251655680" o:allowincell="f" filled="f" stroked="f" strokecolor="lime" strokeweight=".25pt">
            <v:textbox style="mso-next-textbox:#_x0000_s1028" inset="0,0,0,0">
              <w:txbxContent>
                <w:p w14:paraId="798FFC37" w14:textId="77777777" w:rsidR="00124348" w:rsidRDefault="0012434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תובע משטרתי</w:t>
                  </w:r>
                </w:p>
                <w:p w14:paraId="23CBCD08" w14:textId="77777777" w:rsidR="00124348" w:rsidRDefault="001243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בע לפי סעיף 12(א)(2) לחוק מוסמך לשמש תובע בכל הליך בבתי-משפט השלום ובבתי-המשפט העירוניים; תובע כאמור שהוא חבר לשכת עורכי-הדין, או שהוא קצין-משטרה, מוסמך לשמש תובע בבית-המשפט המחוזי בסוגי הליכים אלה:</w:t>
      </w:r>
    </w:p>
    <w:p w14:paraId="5473D0CA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קשות ועררים בענין מעצר, חיפושים ושחרור ב</w:t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ובה;</w:t>
      </w:r>
    </w:p>
    <w:p w14:paraId="7A1DAEEB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יון חוזר על החלטות בית-משפט שלום או שופט-</w:t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בורה לפי סעיף 49 לפקודת התעבורה (נוסח חדש), או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רעור לפי סעיף 60 לאותה פקודה;</w:t>
      </w:r>
    </w:p>
    <w:p w14:paraId="5FCC6FE5" w14:textId="77777777" w:rsidR="00124348" w:rsidRDefault="0012434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32F19E7F">
          <v:shape id="_x0000_s1034" type="#_x0000_t202" style="position:absolute;left:0;text-align:left;margin-left:470.25pt;margin-top:7.1pt;width:1in;height:11.2pt;z-index:251659776" filled="f" stroked="f">
            <v:textbox inset="1mm,0,1mm,0">
              <w:txbxContent>
                <w:p w14:paraId="47FD5D39" w14:textId="77777777" w:rsidR="00124348" w:rsidRDefault="001243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ערר על החלטת בית משפט שלום לפי סעיף 74(ה) לחוק, בהתייחס לחומר חקירה הנוגע לכתב אישום המוגש בידי תובע משטרתי.</w:t>
      </w:r>
    </w:p>
    <w:p w14:paraId="40ED8E37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9"/>
      <w:r w:rsidRPr="00005BF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22.7.2007</w:t>
      </w:r>
    </w:p>
    <w:p w14:paraId="7475AEA4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5BF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14:paraId="61B9C189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005BF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6604</w:t>
        </w:r>
      </w:hyperlink>
      <w:r w:rsidRPr="00005BF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22.7.2007 עמ' 1056</w:t>
      </w:r>
    </w:p>
    <w:p w14:paraId="2E429DA1" w14:textId="77777777" w:rsidR="00124348" w:rsidRPr="00005BF8" w:rsidRDefault="0012434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05BF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005BF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 </w:t>
      </w:r>
      <w:r w:rsidRPr="00005BF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סעיף 10(א)(2) לחוק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05BF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סעיף 12(א)(2) לחוק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מוסמך לשמש תובע בכל הליך בבתי-משפט השלום ובבתי-המשפט העירוניים; תובע כאמור שהוא חבר לשכת עורכי-הדין, או שהוא קצין-משטרה, מוסמך לשמש תובע בבית-המשפט המחוזי בסוגי הליכים אלה:</w:t>
      </w:r>
    </w:p>
    <w:p w14:paraId="4CA602CD" w14:textId="77777777" w:rsidR="00124348" w:rsidRPr="00005BF8" w:rsidRDefault="0012434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קשות ועררים בענין מעצר, חיפושים ושחרור ב</w:t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ער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ובה;</w:t>
      </w:r>
    </w:p>
    <w:p w14:paraId="17C66018" w14:textId="77777777" w:rsidR="00124348" w:rsidRPr="00005BF8" w:rsidRDefault="00124348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חוזר על החלטות בית-משפט שלום או שופט-</w:t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תע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בורה לפי סעיף 49 לפקודת התעבורה (נוסח חדש), או</w:t>
      </w:r>
      <w:r w:rsidRPr="00005BF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005BF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רעור לפי סעיף 60 לאותה פקודה;</w:t>
      </w:r>
    </w:p>
    <w:p w14:paraId="30614898" w14:textId="77777777" w:rsidR="00124348" w:rsidRDefault="00124348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005BF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(3)</w:t>
      </w:r>
      <w:r w:rsidRPr="00005BF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005BF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ערר על החלטת בית משפט שלום לפי סעיף 74(ה) לחוק, בהתייחס לחומר חקירה הנוגע לכתב אישום המוגש בידי תובע משטרתי.</w:t>
      </w:r>
      <w:bookmarkEnd w:id="5"/>
    </w:p>
    <w:p w14:paraId="1F2ABAD3" w14:textId="77777777" w:rsidR="00124348" w:rsidRDefault="00124348" w:rsidP="00005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2"/>
      <w:bookmarkEnd w:id="6"/>
      <w:r>
        <w:rPr>
          <w:lang w:val="he-IL"/>
        </w:rPr>
        <w:pict w14:anchorId="7A5A4101">
          <v:rect id="_x0000_s1029" style="position:absolute;left:0;text-align:left;margin-left:464.5pt;margin-top:8.05pt;width:75.05pt;height:15.4pt;z-index:251656704" o:allowincell="f" filled="f" stroked="f" strokecolor="lime" strokeweight=".25pt">
            <v:textbox style="mso-next-textbox:#_x0000_s1029" inset="0,0,0,0">
              <w:txbxContent>
                <w:p w14:paraId="07A2967F" w14:textId="77777777" w:rsidR="00124348" w:rsidRDefault="00005BF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005BF8">
        <w:rPr>
          <w:rStyle w:val="default"/>
          <w:rFonts w:cs="FrankRuehl" w:hint="cs"/>
          <w:rtl/>
        </w:rPr>
        <w:t>(בוטלה)</w:t>
      </w:r>
      <w:r>
        <w:rPr>
          <w:rStyle w:val="default"/>
          <w:rFonts w:cs="FrankRuehl"/>
          <w:rtl/>
        </w:rPr>
        <w:t>.</w:t>
      </w:r>
    </w:p>
    <w:p w14:paraId="454DEEB1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0"/>
      <w:r w:rsidRPr="00005BF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22.7.2007</w:t>
      </w:r>
    </w:p>
    <w:p w14:paraId="59CAE56D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5BF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14:paraId="57D05A5E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005BF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6604</w:t>
        </w:r>
      </w:hyperlink>
      <w:r w:rsidRPr="00005BF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22.7.2007 עמ' 1056</w:t>
      </w:r>
    </w:p>
    <w:p w14:paraId="6F27A4D5" w14:textId="77777777" w:rsidR="00124348" w:rsidRPr="00005BF8" w:rsidRDefault="001243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5BF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3</w:t>
      </w:r>
    </w:p>
    <w:p w14:paraId="5EEB73AB" w14:textId="77777777" w:rsidR="00124348" w:rsidRPr="00005BF8" w:rsidRDefault="00124348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5BF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9C13D5E" w14:textId="77777777" w:rsidR="00124348" w:rsidRPr="00005BF8" w:rsidRDefault="00124348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005BF8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השם</w:t>
      </w:r>
    </w:p>
    <w:p w14:paraId="555BF53F" w14:textId="77777777" w:rsidR="00124348" w:rsidRDefault="0012434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05BF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005BF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05BF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לת</w:t>
      </w:r>
      <w:r w:rsidRPr="00005BF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קנות אלה ייקרא "תקנות סדר הדין הפלילי (כשירות שוטר-תובע וסמכויותיו), תשכ"ו-</w:t>
      </w:r>
      <w:r w:rsidRPr="00005BF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1966".</w:t>
      </w:r>
      <w:bookmarkEnd w:id="7"/>
    </w:p>
    <w:p w14:paraId="43DC5145" w14:textId="77777777" w:rsidR="00124348" w:rsidRDefault="001243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26A6AB" w14:textId="77777777" w:rsidR="00124348" w:rsidRDefault="001243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D4EFD2" w14:textId="77777777" w:rsidR="00124348" w:rsidRDefault="0012434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בטבת תשכ"ו (4 בינואר 1966)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ב יוסף</w:t>
      </w:r>
    </w:p>
    <w:p w14:paraId="5B013550" w14:textId="77777777" w:rsidR="00124348" w:rsidRDefault="0012434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586718B9" w14:textId="77777777" w:rsidR="00005BF8" w:rsidRPr="00005BF8" w:rsidRDefault="00005BF8" w:rsidP="00005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2C692C" w14:textId="77777777" w:rsidR="00005BF8" w:rsidRPr="00005BF8" w:rsidRDefault="00005BF8" w:rsidP="00005B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CB690A" w14:textId="77777777" w:rsidR="00124348" w:rsidRPr="00005BF8" w:rsidRDefault="00124348" w:rsidP="00005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46899D58" w14:textId="77777777" w:rsidR="00124348" w:rsidRPr="00005BF8" w:rsidRDefault="00124348" w:rsidP="00005B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24348" w:rsidRPr="00005BF8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9B3E" w14:textId="77777777" w:rsidR="00866B36" w:rsidRDefault="00866B36">
      <w:r>
        <w:separator/>
      </w:r>
    </w:p>
  </w:endnote>
  <w:endnote w:type="continuationSeparator" w:id="0">
    <w:p w14:paraId="50E3837D" w14:textId="77777777" w:rsidR="00866B36" w:rsidRDefault="0086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E19A" w14:textId="77777777" w:rsidR="00124348" w:rsidRDefault="001243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088B8A" w14:textId="77777777" w:rsidR="00124348" w:rsidRDefault="001243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DE089E" w14:textId="77777777" w:rsidR="00124348" w:rsidRDefault="001243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1411">
      <w:rPr>
        <w:rFonts w:cs="TopType Jerushalmi"/>
        <w:noProof/>
        <w:color w:val="000000"/>
        <w:sz w:val="14"/>
        <w:szCs w:val="14"/>
      </w:rPr>
      <w:t>C:\Yael\hakika\Revadim\073_032.doc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F4FA" w14:textId="77777777" w:rsidR="00124348" w:rsidRDefault="001243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664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7BFCAED" w14:textId="77777777" w:rsidR="00124348" w:rsidRDefault="001243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D8B11A" w14:textId="77777777" w:rsidR="00124348" w:rsidRDefault="001243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1411">
      <w:rPr>
        <w:rFonts w:cs="TopType Jerushalmi"/>
        <w:noProof/>
        <w:color w:val="000000"/>
        <w:sz w:val="14"/>
        <w:szCs w:val="14"/>
      </w:rPr>
      <w:t>C:\Yael\hakika\Revadim\073_032.doc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BF84" w14:textId="77777777" w:rsidR="00866B36" w:rsidRDefault="00866B3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83B093" w14:textId="77777777" w:rsidR="00866B36" w:rsidRDefault="00866B36">
      <w:pPr>
        <w:spacing w:before="60" w:line="240" w:lineRule="auto"/>
        <w:ind w:right="1134"/>
      </w:pPr>
      <w:r>
        <w:separator/>
      </w:r>
    </w:p>
  </w:footnote>
  <w:footnote w:id="1">
    <w:p w14:paraId="45267324" w14:textId="77777777" w:rsidR="00124348" w:rsidRDefault="001243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554F8">
          <w:rPr>
            <w:rStyle w:val="Hyperlink"/>
            <w:rFonts w:cs="FrankRuehl" w:hint="cs"/>
            <w:rtl/>
          </w:rPr>
          <w:t>ק"ת תשכ"ו</w:t>
        </w:r>
        <w:r w:rsidRPr="00F554F8">
          <w:rPr>
            <w:rStyle w:val="Hyperlink"/>
            <w:rFonts w:cs="FrankRuehl" w:hint="cs"/>
            <w:rtl/>
          </w:rPr>
          <w:t xml:space="preserve"> מס' 1819</w:t>
        </w:r>
      </w:hyperlink>
      <w:r>
        <w:rPr>
          <w:rFonts w:cs="FrankRuehl" w:hint="cs"/>
          <w:rtl/>
        </w:rPr>
        <w:t xml:space="preserve"> מיום 6.1.1966 עמ' 638.</w:t>
      </w:r>
    </w:p>
    <w:p w14:paraId="6F1BFE92" w14:textId="77777777" w:rsidR="00124348" w:rsidRDefault="001243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F554F8">
          <w:rPr>
            <w:rStyle w:val="Hyperlink"/>
            <w:rFonts w:cs="FrankRuehl" w:hint="cs"/>
            <w:rtl/>
          </w:rPr>
          <w:t xml:space="preserve">ק"ת </w:t>
        </w:r>
        <w:r w:rsidRPr="00F554F8">
          <w:rPr>
            <w:rStyle w:val="Hyperlink"/>
            <w:rFonts w:cs="FrankRuehl" w:hint="cs"/>
            <w:rtl/>
          </w:rPr>
          <w:t>תשל"ז מס' 3705</w:t>
        </w:r>
      </w:hyperlink>
      <w:r>
        <w:rPr>
          <w:rFonts w:cs="FrankRuehl" w:hint="cs"/>
          <w:rtl/>
        </w:rPr>
        <w:t xml:space="preserve"> מיום 5.5.1977 עמ' 1548</w:t>
      </w:r>
      <w:r w:rsidR="00005BF8">
        <w:rPr>
          <w:rFonts w:cs="FrankRuehl" w:hint="cs"/>
          <w:rtl/>
        </w:rPr>
        <w:t xml:space="preserve"> </w:t>
      </w:r>
      <w:r w:rsidR="00005BF8">
        <w:rPr>
          <w:rFonts w:cs="FrankRuehl"/>
          <w:rtl/>
        </w:rPr>
        <w:t>–</w:t>
      </w:r>
      <w:r w:rsidR="00005BF8">
        <w:rPr>
          <w:rFonts w:cs="FrankRuehl" w:hint="cs"/>
          <w:rtl/>
        </w:rPr>
        <w:t xml:space="preserve"> תק' תשל"ז-1977</w:t>
      </w:r>
      <w:r>
        <w:rPr>
          <w:rFonts w:cs="FrankRuehl" w:hint="cs"/>
          <w:rtl/>
        </w:rPr>
        <w:t>.</w:t>
      </w:r>
    </w:p>
    <w:p w14:paraId="200226B8" w14:textId="77777777" w:rsidR="00124348" w:rsidRDefault="001243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ק"ת תשס"ז מס' 6604</w:t>
        </w:r>
      </w:hyperlink>
      <w:r>
        <w:rPr>
          <w:rFonts w:cs="FrankRuehl" w:hint="cs"/>
          <w:rtl/>
        </w:rPr>
        <w:t xml:space="preserve"> מיום 22.7.2007 עמ' 1056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תשס"ז-2007.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E264" w14:textId="77777777" w:rsidR="00124348" w:rsidRDefault="001243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 הדין הפלילי (כשירות שוטר-תובע וסמכויותיו), תשכ"ו–1966</w:t>
    </w:r>
  </w:p>
  <w:p w14:paraId="5CCAFBEE" w14:textId="77777777" w:rsidR="00124348" w:rsidRDefault="001243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2FBEFC" w14:textId="77777777" w:rsidR="00124348" w:rsidRDefault="001243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B46D" w14:textId="77777777" w:rsidR="00124348" w:rsidRDefault="001243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 הדין הפלילי (כשירות שוטר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תובע וסמכויותיו), תשכ"ו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1966</w:t>
    </w:r>
  </w:p>
  <w:p w14:paraId="3C2D837A" w14:textId="77777777" w:rsidR="00124348" w:rsidRDefault="001243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19BCE8" w14:textId="77777777" w:rsidR="00124348" w:rsidRDefault="001243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54F8"/>
    <w:rsid w:val="00005BF8"/>
    <w:rsid w:val="00124348"/>
    <w:rsid w:val="002D5EB3"/>
    <w:rsid w:val="00371411"/>
    <w:rsid w:val="00805300"/>
    <w:rsid w:val="00866B36"/>
    <w:rsid w:val="008B7122"/>
    <w:rsid w:val="009664A8"/>
    <w:rsid w:val="00B37BB1"/>
    <w:rsid w:val="00F5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89B2982"/>
  <w15:chartTrackingRefBased/>
  <w15:docId w15:val="{E8440480-E353-4D6E-AEDE-2A171A55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F554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705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604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604.pdf" TargetMode="External"/><Relationship Id="rId11" Type="http://schemas.openxmlformats.org/officeDocument/2006/relationships/hyperlink" Target="http://www.nevo.co.il/Law_word/law06/TAK-6604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660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604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604.pdf" TargetMode="External"/><Relationship Id="rId2" Type="http://schemas.openxmlformats.org/officeDocument/2006/relationships/hyperlink" Target="http://www.nevo.co.il/Law_word/law06/TAK-3705.pdf" TargetMode="External"/><Relationship Id="rId1" Type="http://schemas.openxmlformats.org/officeDocument/2006/relationships/hyperlink" Target="http://www.nevo.co.il/Law_word/law06/TAK-18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3632</CharactersWithSpaces>
  <SharedDoc>false</SharedDoc>
  <HLinks>
    <vt:vector size="72" baseType="variant">
      <vt:variant>
        <vt:i4>8323082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http://www.nevo.co.il/Law_word/law06/TAK-6604.pdf</vt:lpwstr>
      </vt:variant>
      <vt:variant>
        <vt:lpwstr/>
      </vt:variant>
      <vt:variant>
        <vt:i4>8323082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http://www.nevo.co.il/Law_word/law06/TAK-6604.pdf</vt:lpwstr>
      </vt:variant>
      <vt:variant>
        <vt:lpwstr/>
      </vt:variant>
      <vt:variant>
        <vt:i4>8323082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http://www.nevo.co.il/Law_word/law06/TAK-6604.pdf</vt:lpwstr>
      </vt:variant>
      <vt:variant>
        <vt:lpwstr/>
      </vt:variant>
      <vt:variant>
        <vt:i4>7995402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http://www.nevo.co.il/Law_word/law06/TAK-3705.pdf</vt:lpwstr>
      </vt:variant>
      <vt:variant>
        <vt:lpwstr/>
      </vt:variant>
      <vt:variant>
        <vt:i4>8323082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http://www.nevo.co.il/Law_word/law06/TAK-6604.pdf</vt:lpwstr>
      </vt:variant>
      <vt:variant>
        <vt:lpwstr/>
      </vt:variant>
      <vt:variant>
        <vt:i4>8323082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http://www.nevo.co.il/Law_word/law06/TAK-6604.pdf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http://www.nevo.co.il/Law_word/law06/tak-6604.pdf</vt:lpwstr>
      </vt:variant>
      <vt:variant>
        <vt:lpwstr/>
      </vt:variant>
      <vt:variant>
        <vt:i4>7995402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http://www.nevo.co.il/Law_word/law06/TAK-3705.pdf</vt:lpwstr>
      </vt:variant>
      <vt:variant>
        <vt:lpwstr/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home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סדר הדין הפלילי (כשירות שוטר תובע וסמכויותיו), תשכ"ו-1966 - רבדים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http://www.nevo.co.il/Law_word/law06/tak-6604.pdf;רשומות - תקנות כלליות#ק"ת תשס"ז מס' 6604 #מיום 22.7.2007 עמ' 1056 – תק' תשס"ז-2007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ניהול ההליך הפלילי</vt:lpwstr>
  </property>
  <property fmtid="{D5CDD505-2E9C-101B-9397-08002B2CF9AE}" pid="25" name="NOSE41">
    <vt:lpwstr/>
  </property>
  <property fmtid="{D5CDD505-2E9C-101B-9397-08002B2CF9AE}" pid="26" name="NOSE12">
    <vt:lpwstr>בטחון</vt:lpwstr>
  </property>
  <property fmtid="{D5CDD505-2E9C-101B-9397-08002B2CF9AE}" pid="27" name="NOSE22">
    <vt:lpwstr>משטרה</vt:lpwstr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>עונשין ומשפט פלילי</vt:lpwstr>
  </property>
  <property fmtid="{D5CDD505-2E9C-101B-9397-08002B2CF9AE}" pid="31" name="NOSE23">
    <vt:lpwstr>סדר דין פלילי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