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344" w:rsidRDefault="00D41344">
      <w:pPr>
        <w:pStyle w:val="big-header"/>
        <w:ind w:left="0" w:right="1134"/>
        <w:rPr>
          <w:rFonts w:cs="FrankRuehl" w:hint="cs"/>
          <w:sz w:val="32"/>
          <w:rtl/>
        </w:rPr>
      </w:pPr>
      <w:r>
        <w:rPr>
          <w:rFonts w:cs="FrankRuehl"/>
          <w:sz w:val="32"/>
          <w:rtl/>
        </w:rPr>
        <w:t>תקנות סדרי דין (עתירות אסירים), תש"ם</w:t>
      </w:r>
      <w:r>
        <w:rPr>
          <w:rFonts w:cs="FrankRuehl" w:hint="cs"/>
          <w:sz w:val="32"/>
          <w:rtl/>
        </w:rPr>
        <w:t>-</w:t>
      </w:r>
      <w:r>
        <w:rPr>
          <w:rFonts w:cs="FrankRuehl"/>
          <w:sz w:val="32"/>
          <w:rtl/>
        </w:rPr>
        <w:t>1980</w:t>
      </w:r>
    </w:p>
    <w:p w:rsidR="00D35CFA" w:rsidRDefault="00D35CFA" w:rsidP="00D35CFA">
      <w:pPr>
        <w:spacing w:line="320" w:lineRule="auto"/>
        <w:jc w:val="left"/>
        <w:rPr>
          <w:rFonts w:hint="cs"/>
          <w:rtl/>
        </w:rPr>
      </w:pPr>
    </w:p>
    <w:p w:rsidR="001852E6" w:rsidRDefault="001852E6" w:rsidP="00D35CFA">
      <w:pPr>
        <w:spacing w:line="320" w:lineRule="auto"/>
        <w:jc w:val="left"/>
        <w:rPr>
          <w:rFonts w:hint="cs"/>
          <w:rtl/>
        </w:rPr>
      </w:pPr>
    </w:p>
    <w:p w:rsidR="00D35CFA" w:rsidRDefault="00D35CFA" w:rsidP="00D35CFA">
      <w:pPr>
        <w:spacing w:line="320" w:lineRule="auto"/>
        <w:jc w:val="left"/>
        <w:rPr>
          <w:rFonts w:cs="FrankRuehl"/>
          <w:szCs w:val="26"/>
          <w:rtl/>
        </w:rPr>
      </w:pPr>
      <w:r w:rsidRPr="00D35CFA">
        <w:rPr>
          <w:rFonts w:cs="Miriam"/>
          <w:szCs w:val="22"/>
          <w:rtl/>
        </w:rPr>
        <w:t>בתי משפט וסדרי דין</w:t>
      </w:r>
      <w:r w:rsidRPr="00D35CFA">
        <w:rPr>
          <w:rFonts w:cs="FrankRuehl"/>
          <w:szCs w:val="26"/>
          <w:rtl/>
        </w:rPr>
        <w:t xml:space="preserve"> – סדר דין פלילי</w:t>
      </w:r>
    </w:p>
    <w:p w:rsidR="00D35CFA" w:rsidRDefault="00D35CFA" w:rsidP="00D35CFA">
      <w:pPr>
        <w:spacing w:line="320" w:lineRule="auto"/>
        <w:jc w:val="left"/>
        <w:rPr>
          <w:rFonts w:cs="FrankRuehl"/>
          <w:szCs w:val="26"/>
          <w:rtl/>
        </w:rPr>
      </w:pPr>
      <w:r w:rsidRPr="00D35CFA">
        <w:rPr>
          <w:rFonts w:cs="Miriam"/>
          <w:szCs w:val="22"/>
          <w:rtl/>
        </w:rPr>
        <w:t>עונשין ומשפט פלילי</w:t>
      </w:r>
      <w:r w:rsidRPr="00D35CFA">
        <w:rPr>
          <w:rFonts w:cs="FrankRuehl"/>
          <w:szCs w:val="26"/>
          <w:rtl/>
        </w:rPr>
        <w:t xml:space="preserve"> – ענישה, מאסר ומעצר – עתירות אסירים</w:t>
      </w:r>
    </w:p>
    <w:p w:rsidR="00D35CFA" w:rsidRDefault="00D35CFA" w:rsidP="00D35CFA">
      <w:pPr>
        <w:spacing w:line="320" w:lineRule="auto"/>
        <w:jc w:val="left"/>
        <w:rPr>
          <w:rFonts w:cs="FrankRuehl"/>
          <w:szCs w:val="26"/>
          <w:rtl/>
        </w:rPr>
      </w:pPr>
      <w:r w:rsidRPr="00D35CFA">
        <w:rPr>
          <w:rFonts w:cs="Miriam"/>
          <w:szCs w:val="22"/>
          <w:rtl/>
        </w:rPr>
        <w:t>רשויות ומשפט מנהלי</w:t>
      </w:r>
      <w:r w:rsidRPr="00D35CFA">
        <w:rPr>
          <w:rFonts w:cs="FrankRuehl"/>
          <w:szCs w:val="26"/>
          <w:rtl/>
        </w:rPr>
        <w:t xml:space="preserve"> – בתי סוהר – כליאה ואסירים – עתירות אסירים</w:t>
      </w:r>
    </w:p>
    <w:p w:rsidR="00793F41" w:rsidRPr="00D35CFA" w:rsidRDefault="00D35CFA" w:rsidP="00D35CFA">
      <w:pPr>
        <w:spacing w:line="320" w:lineRule="auto"/>
        <w:jc w:val="left"/>
        <w:rPr>
          <w:rFonts w:cs="Miriam"/>
          <w:szCs w:val="22"/>
          <w:rtl/>
        </w:rPr>
      </w:pPr>
      <w:r w:rsidRPr="00D35CFA">
        <w:rPr>
          <w:rFonts w:cs="Miriam"/>
          <w:szCs w:val="22"/>
          <w:rtl/>
        </w:rPr>
        <w:t>בטחון</w:t>
      </w:r>
      <w:r w:rsidRPr="00D35CFA">
        <w:rPr>
          <w:rFonts w:cs="FrankRuehl"/>
          <w:szCs w:val="26"/>
          <w:rtl/>
        </w:rPr>
        <w:t xml:space="preserve"> – בתי סוהר – כליאה ואסירים</w:t>
      </w:r>
    </w:p>
    <w:p w:rsidR="00D41344" w:rsidRDefault="00D4134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41344">
        <w:tblPrEx>
          <w:tblCellMar>
            <w:top w:w="0" w:type="dxa"/>
            <w:bottom w:w="0" w:type="dxa"/>
          </w:tblCellMar>
        </w:tblPrEx>
        <w:tc>
          <w:tcPr>
            <w:tcW w:w="850" w:type="dxa"/>
          </w:tcPr>
          <w:p w:rsidR="00D41344" w:rsidRDefault="00D4134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1344" w:rsidRDefault="00D41344">
            <w:pPr>
              <w:spacing w:line="240" w:lineRule="auto"/>
              <w:rPr>
                <w:sz w:val="24"/>
              </w:rPr>
            </w:pPr>
            <w:hyperlink w:anchor="Seif0" w:tooltip="הגדרות" w:history="1">
              <w:r>
                <w:rPr>
                  <w:rStyle w:val="Hyperlink"/>
                </w:rPr>
                <w:t>Go</w:t>
              </w:r>
            </w:hyperlink>
          </w:p>
        </w:tc>
        <w:tc>
          <w:tcPr>
            <w:tcW w:w="5669" w:type="dxa"/>
          </w:tcPr>
          <w:p w:rsidR="00D41344" w:rsidRDefault="00D41344">
            <w:pPr>
              <w:spacing w:line="240" w:lineRule="auto"/>
              <w:rPr>
                <w:sz w:val="24"/>
                <w:rtl/>
              </w:rPr>
            </w:pPr>
            <w:r>
              <w:rPr>
                <w:sz w:val="24"/>
                <w:rtl/>
              </w:rPr>
              <w:t>הגדרות</w:t>
            </w:r>
          </w:p>
        </w:tc>
        <w:tc>
          <w:tcPr>
            <w:tcW w:w="1247" w:type="dxa"/>
          </w:tcPr>
          <w:p w:rsidR="00D41344" w:rsidRDefault="00D41344">
            <w:pPr>
              <w:spacing w:line="240" w:lineRule="auto"/>
              <w:rPr>
                <w:sz w:val="24"/>
              </w:rPr>
            </w:pPr>
            <w:r>
              <w:rPr>
                <w:sz w:val="24"/>
                <w:rtl/>
              </w:rPr>
              <w:t xml:space="preserve">סעיף 1 </w:t>
            </w:r>
          </w:p>
        </w:tc>
      </w:tr>
      <w:tr w:rsidR="00D41344">
        <w:tblPrEx>
          <w:tblCellMar>
            <w:top w:w="0" w:type="dxa"/>
            <w:bottom w:w="0" w:type="dxa"/>
          </w:tblCellMar>
        </w:tblPrEx>
        <w:tc>
          <w:tcPr>
            <w:tcW w:w="850" w:type="dxa"/>
          </w:tcPr>
          <w:p w:rsidR="00D41344" w:rsidRDefault="00D4134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1344" w:rsidRDefault="00D41344">
            <w:pPr>
              <w:spacing w:line="240" w:lineRule="auto"/>
              <w:rPr>
                <w:sz w:val="24"/>
              </w:rPr>
            </w:pPr>
            <w:hyperlink w:anchor="Seif1" w:tooltip="הגשת עתירה" w:history="1">
              <w:r>
                <w:rPr>
                  <w:rStyle w:val="Hyperlink"/>
                </w:rPr>
                <w:t>Go</w:t>
              </w:r>
            </w:hyperlink>
          </w:p>
        </w:tc>
        <w:tc>
          <w:tcPr>
            <w:tcW w:w="5669" w:type="dxa"/>
          </w:tcPr>
          <w:p w:rsidR="00D41344" w:rsidRDefault="00D41344">
            <w:pPr>
              <w:spacing w:line="240" w:lineRule="auto"/>
              <w:rPr>
                <w:sz w:val="24"/>
                <w:rtl/>
              </w:rPr>
            </w:pPr>
            <w:r>
              <w:rPr>
                <w:sz w:val="24"/>
                <w:rtl/>
              </w:rPr>
              <w:t>הגשת עתירה</w:t>
            </w:r>
          </w:p>
        </w:tc>
        <w:tc>
          <w:tcPr>
            <w:tcW w:w="1247" w:type="dxa"/>
          </w:tcPr>
          <w:p w:rsidR="00D41344" w:rsidRDefault="00D41344">
            <w:pPr>
              <w:spacing w:line="240" w:lineRule="auto"/>
              <w:rPr>
                <w:sz w:val="24"/>
              </w:rPr>
            </w:pPr>
            <w:r>
              <w:rPr>
                <w:sz w:val="24"/>
                <w:rtl/>
              </w:rPr>
              <w:t xml:space="preserve">סעיף 2 </w:t>
            </w:r>
          </w:p>
        </w:tc>
      </w:tr>
      <w:tr w:rsidR="00D41344">
        <w:tblPrEx>
          <w:tblCellMar>
            <w:top w:w="0" w:type="dxa"/>
            <w:bottom w:w="0" w:type="dxa"/>
          </w:tblCellMar>
        </w:tblPrEx>
        <w:tc>
          <w:tcPr>
            <w:tcW w:w="850" w:type="dxa"/>
          </w:tcPr>
          <w:p w:rsidR="00D41344" w:rsidRDefault="00D4134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1344" w:rsidRDefault="00D41344">
            <w:pPr>
              <w:spacing w:line="240" w:lineRule="auto"/>
              <w:rPr>
                <w:sz w:val="24"/>
              </w:rPr>
            </w:pPr>
            <w:hyperlink w:anchor="Seif2" w:tooltip="ישיבות בית המשפט" w:history="1">
              <w:r>
                <w:rPr>
                  <w:rStyle w:val="Hyperlink"/>
                </w:rPr>
                <w:t>Go</w:t>
              </w:r>
            </w:hyperlink>
          </w:p>
        </w:tc>
        <w:tc>
          <w:tcPr>
            <w:tcW w:w="5669" w:type="dxa"/>
          </w:tcPr>
          <w:p w:rsidR="00D41344" w:rsidRDefault="00D41344">
            <w:pPr>
              <w:spacing w:line="240" w:lineRule="auto"/>
              <w:rPr>
                <w:sz w:val="24"/>
                <w:rtl/>
              </w:rPr>
            </w:pPr>
            <w:r>
              <w:rPr>
                <w:sz w:val="24"/>
                <w:rtl/>
              </w:rPr>
              <w:t>ישיבות בית המשפט</w:t>
            </w:r>
          </w:p>
        </w:tc>
        <w:tc>
          <w:tcPr>
            <w:tcW w:w="1247" w:type="dxa"/>
          </w:tcPr>
          <w:p w:rsidR="00D41344" w:rsidRDefault="00D41344">
            <w:pPr>
              <w:spacing w:line="240" w:lineRule="auto"/>
              <w:rPr>
                <w:sz w:val="24"/>
              </w:rPr>
            </w:pPr>
            <w:r>
              <w:rPr>
                <w:sz w:val="24"/>
                <w:rtl/>
              </w:rPr>
              <w:t xml:space="preserve">סעיף 3 </w:t>
            </w:r>
          </w:p>
        </w:tc>
      </w:tr>
      <w:tr w:rsidR="00D41344">
        <w:tblPrEx>
          <w:tblCellMar>
            <w:top w:w="0" w:type="dxa"/>
            <w:bottom w:w="0" w:type="dxa"/>
          </w:tblCellMar>
        </w:tblPrEx>
        <w:tc>
          <w:tcPr>
            <w:tcW w:w="850" w:type="dxa"/>
          </w:tcPr>
          <w:p w:rsidR="00D41344" w:rsidRDefault="00D4134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1344" w:rsidRDefault="00D41344">
            <w:pPr>
              <w:spacing w:line="240" w:lineRule="auto"/>
              <w:rPr>
                <w:sz w:val="24"/>
              </w:rPr>
            </w:pPr>
            <w:hyperlink w:anchor="Seif3" w:tooltip="דיון בעתירה" w:history="1">
              <w:r>
                <w:rPr>
                  <w:rStyle w:val="Hyperlink"/>
                </w:rPr>
                <w:t>Go</w:t>
              </w:r>
            </w:hyperlink>
          </w:p>
        </w:tc>
        <w:tc>
          <w:tcPr>
            <w:tcW w:w="5669" w:type="dxa"/>
          </w:tcPr>
          <w:p w:rsidR="00D41344" w:rsidRDefault="00D41344">
            <w:pPr>
              <w:spacing w:line="240" w:lineRule="auto"/>
              <w:rPr>
                <w:sz w:val="24"/>
                <w:rtl/>
              </w:rPr>
            </w:pPr>
            <w:r>
              <w:rPr>
                <w:sz w:val="24"/>
                <w:rtl/>
              </w:rPr>
              <w:t>דיון בעתירה</w:t>
            </w:r>
          </w:p>
        </w:tc>
        <w:tc>
          <w:tcPr>
            <w:tcW w:w="1247" w:type="dxa"/>
          </w:tcPr>
          <w:p w:rsidR="00D41344" w:rsidRDefault="00D41344">
            <w:pPr>
              <w:spacing w:line="240" w:lineRule="auto"/>
              <w:rPr>
                <w:sz w:val="24"/>
              </w:rPr>
            </w:pPr>
            <w:r>
              <w:rPr>
                <w:sz w:val="24"/>
                <w:rtl/>
              </w:rPr>
              <w:t xml:space="preserve">סעיף 4 </w:t>
            </w:r>
          </w:p>
        </w:tc>
      </w:tr>
      <w:tr w:rsidR="00D41344">
        <w:tblPrEx>
          <w:tblCellMar>
            <w:top w:w="0" w:type="dxa"/>
            <w:bottom w:w="0" w:type="dxa"/>
          </w:tblCellMar>
        </w:tblPrEx>
        <w:tc>
          <w:tcPr>
            <w:tcW w:w="850" w:type="dxa"/>
          </w:tcPr>
          <w:p w:rsidR="00D41344" w:rsidRDefault="00D4134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1344" w:rsidRDefault="00D41344">
            <w:pPr>
              <w:spacing w:line="240" w:lineRule="auto"/>
              <w:rPr>
                <w:sz w:val="24"/>
              </w:rPr>
            </w:pPr>
            <w:hyperlink w:anchor="Seif4" w:tooltip="צווי ביניים" w:history="1">
              <w:r>
                <w:rPr>
                  <w:rStyle w:val="Hyperlink"/>
                </w:rPr>
                <w:t>Go</w:t>
              </w:r>
            </w:hyperlink>
          </w:p>
        </w:tc>
        <w:tc>
          <w:tcPr>
            <w:tcW w:w="5669" w:type="dxa"/>
          </w:tcPr>
          <w:p w:rsidR="00D41344" w:rsidRDefault="00D41344">
            <w:pPr>
              <w:spacing w:line="240" w:lineRule="auto"/>
              <w:rPr>
                <w:sz w:val="24"/>
                <w:rtl/>
              </w:rPr>
            </w:pPr>
            <w:r>
              <w:rPr>
                <w:sz w:val="24"/>
                <w:rtl/>
              </w:rPr>
              <w:t>צווי ביניים</w:t>
            </w:r>
          </w:p>
        </w:tc>
        <w:tc>
          <w:tcPr>
            <w:tcW w:w="1247" w:type="dxa"/>
          </w:tcPr>
          <w:p w:rsidR="00D41344" w:rsidRDefault="00D41344">
            <w:pPr>
              <w:spacing w:line="240" w:lineRule="auto"/>
              <w:rPr>
                <w:sz w:val="24"/>
              </w:rPr>
            </w:pPr>
            <w:r>
              <w:rPr>
                <w:sz w:val="24"/>
                <w:rtl/>
              </w:rPr>
              <w:t xml:space="preserve">סעיף 5 </w:t>
            </w:r>
          </w:p>
        </w:tc>
      </w:tr>
      <w:tr w:rsidR="00D41344">
        <w:tblPrEx>
          <w:tblCellMar>
            <w:top w:w="0" w:type="dxa"/>
            <w:bottom w:w="0" w:type="dxa"/>
          </w:tblCellMar>
        </w:tblPrEx>
        <w:tc>
          <w:tcPr>
            <w:tcW w:w="850" w:type="dxa"/>
          </w:tcPr>
          <w:p w:rsidR="00D41344" w:rsidRDefault="00D4134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1344" w:rsidRDefault="00D41344">
            <w:pPr>
              <w:spacing w:line="240" w:lineRule="auto"/>
              <w:rPr>
                <w:sz w:val="24"/>
              </w:rPr>
            </w:pPr>
            <w:hyperlink w:anchor="Seif5" w:tooltip="סדר דין באין הוראות" w:history="1">
              <w:r>
                <w:rPr>
                  <w:rStyle w:val="Hyperlink"/>
                </w:rPr>
                <w:t>Go</w:t>
              </w:r>
            </w:hyperlink>
          </w:p>
        </w:tc>
        <w:tc>
          <w:tcPr>
            <w:tcW w:w="5669" w:type="dxa"/>
          </w:tcPr>
          <w:p w:rsidR="00D41344" w:rsidRDefault="00D41344">
            <w:pPr>
              <w:spacing w:line="240" w:lineRule="auto"/>
              <w:rPr>
                <w:sz w:val="24"/>
                <w:rtl/>
              </w:rPr>
            </w:pPr>
            <w:r>
              <w:rPr>
                <w:sz w:val="24"/>
                <w:rtl/>
              </w:rPr>
              <w:t>סדר דין באין הוראות</w:t>
            </w:r>
          </w:p>
        </w:tc>
        <w:tc>
          <w:tcPr>
            <w:tcW w:w="1247" w:type="dxa"/>
          </w:tcPr>
          <w:p w:rsidR="00D41344" w:rsidRDefault="00D41344">
            <w:pPr>
              <w:spacing w:line="240" w:lineRule="auto"/>
              <w:rPr>
                <w:sz w:val="24"/>
              </w:rPr>
            </w:pPr>
            <w:r>
              <w:rPr>
                <w:sz w:val="24"/>
                <w:rtl/>
              </w:rPr>
              <w:t xml:space="preserve">סעיף 6 </w:t>
            </w:r>
          </w:p>
        </w:tc>
      </w:tr>
      <w:tr w:rsidR="00D41344">
        <w:tblPrEx>
          <w:tblCellMar>
            <w:top w:w="0" w:type="dxa"/>
            <w:bottom w:w="0" w:type="dxa"/>
          </w:tblCellMar>
        </w:tblPrEx>
        <w:tc>
          <w:tcPr>
            <w:tcW w:w="850" w:type="dxa"/>
          </w:tcPr>
          <w:p w:rsidR="00D41344" w:rsidRDefault="00D4134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1344" w:rsidRDefault="00D41344">
            <w:pPr>
              <w:spacing w:line="240" w:lineRule="auto"/>
              <w:rPr>
                <w:sz w:val="24"/>
              </w:rPr>
            </w:pPr>
            <w:hyperlink w:anchor="Seif6" w:tooltip="רשות ערעור וערעור" w:history="1">
              <w:r>
                <w:rPr>
                  <w:rStyle w:val="Hyperlink"/>
                </w:rPr>
                <w:t>Go</w:t>
              </w:r>
            </w:hyperlink>
          </w:p>
        </w:tc>
        <w:tc>
          <w:tcPr>
            <w:tcW w:w="5669" w:type="dxa"/>
          </w:tcPr>
          <w:p w:rsidR="00D41344" w:rsidRDefault="00D41344">
            <w:pPr>
              <w:spacing w:line="240" w:lineRule="auto"/>
              <w:rPr>
                <w:sz w:val="24"/>
                <w:rtl/>
              </w:rPr>
            </w:pPr>
            <w:r>
              <w:rPr>
                <w:sz w:val="24"/>
                <w:rtl/>
              </w:rPr>
              <w:t>רשות ערעור וערעור</w:t>
            </w:r>
          </w:p>
        </w:tc>
        <w:tc>
          <w:tcPr>
            <w:tcW w:w="1247" w:type="dxa"/>
          </w:tcPr>
          <w:p w:rsidR="00D41344" w:rsidRDefault="00D41344">
            <w:pPr>
              <w:spacing w:line="240" w:lineRule="auto"/>
              <w:rPr>
                <w:sz w:val="24"/>
              </w:rPr>
            </w:pPr>
            <w:r>
              <w:rPr>
                <w:sz w:val="24"/>
                <w:rtl/>
              </w:rPr>
              <w:t xml:space="preserve">סעיף 7 </w:t>
            </w:r>
          </w:p>
        </w:tc>
      </w:tr>
      <w:tr w:rsidR="00D41344">
        <w:tblPrEx>
          <w:tblCellMar>
            <w:top w:w="0" w:type="dxa"/>
            <w:bottom w:w="0" w:type="dxa"/>
          </w:tblCellMar>
        </w:tblPrEx>
        <w:tc>
          <w:tcPr>
            <w:tcW w:w="850" w:type="dxa"/>
          </w:tcPr>
          <w:p w:rsidR="00D41344" w:rsidRDefault="00D4134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1344" w:rsidRDefault="00D41344">
            <w:pPr>
              <w:spacing w:line="240" w:lineRule="auto"/>
              <w:rPr>
                <w:sz w:val="24"/>
              </w:rPr>
            </w:pPr>
            <w:hyperlink w:anchor="Seif7" w:tooltip="תקופת פגרה לא תובא במנין" w:history="1">
              <w:r>
                <w:rPr>
                  <w:rStyle w:val="Hyperlink"/>
                </w:rPr>
                <w:t>Go</w:t>
              </w:r>
            </w:hyperlink>
          </w:p>
        </w:tc>
        <w:tc>
          <w:tcPr>
            <w:tcW w:w="5669" w:type="dxa"/>
          </w:tcPr>
          <w:p w:rsidR="00D41344" w:rsidRDefault="00D41344">
            <w:pPr>
              <w:spacing w:line="240" w:lineRule="auto"/>
              <w:rPr>
                <w:sz w:val="24"/>
                <w:rtl/>
              </w:rPr>
            </w:pPr>
            <w:r>
              <w:rPr>
                <w:sz w:val="24"/>
                <w:rtl/>
              </w:rPr>
              <w:t>תקופת פגרה לא תובא במנין</w:t>
            </w:r>
          </w:p>
        </w:tc>
        <w:tc>
          <w:tcPr>
            <w:tcW w:w="1247" w:type="dxa"/>
          </w:tcPr>
          <w:p w:rsidR="00D41344" w:rsidRDefault="00D41344">
            <w:pPr>
              <w:spacing w:line="240" w:lineRule="auto"/>
              <w:rPr>
                <w:sz w:val="24"/>
              </w:rPr>
            </w:pPr>
            <w:r>
              <w:rPr>
                <w:sz w:val="24"/>
                <w:rtl/>
              </w:rPr>
              <w:t xml:space="preserve">סעיף 7א </w:t>
            </w:r>
          </w:p>
        </w:tc>
      </w:tr>
      <w:tr w:rsidR="00D41344">
        <w:tblPrEx>
          <w:tblCellMar>
            <w:top w:w="0" w:type="dxa"/>
            <w:bottom w:w="0" w:type="dxa"/>
          </w:tblCellMar>
        </w:tblPrEx>
        <w:tc>
          <w:tcPr>
            <w:tcW w:w="850" w:type="dxa"/>
          </w:tcPr>
          <w:p w:rsidR="00D41344" w:rsidRDefault="00D4134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D41344" w:rsidRDefault="00D41344">
            <w:pPr>
              <w:spacing w:line="240" w:lineRule="auto"/>
              <w:rPr>
                <w:sz w:val="24"/>
              </w:rPr>
            </w:pPr>
            <w:hyperlink w:anchor="Seif8" w:tooltip="תחילה" w:history="1">
              <w:r>
                <w:rPr>
                  <w:rStyle w:val="Hyperlink"/>
                </w:rPr>
                <w:t>Go</w:t>
              </w:r>
            </w:hyperlink>
          </w:p>
        </w:tc>
        <w:tc>
          <w:tcPr>
            <w:tcW w:w="5669" w:type="dxa"/>
          </w:tcPr>
          <w:p w:rsidR="00D41344" w:rsidRDefault="00D41344">
            <w:pPr>
              <w:spacing w:line="240" w:lineRule="auto"/>
              <w:rPr>
                <w:sz w:val="24"/>
                <w:rtl/>
              </w:rPr>
            </w:pPr>
            <w:r>
              <w:rPr>
                <w:sz w:val="24"/>
                <w:rtl/>
              </w:rPr>
              <w:t>תחילה</w:t>
            </w:r>
          </w:p>
        </w:tc>
        <w:tc>
          <w:tcPr>
            <w:tcW w:w="1247" w:type="dxa"/>
          </w:tcPr>
          <w:p w:rsidR="00D41344" w:rsidRDefault="00D41344">
            <w:pPr>
              <w:spacing w:line="240" w:lineRule="auto"/>
              <w:rPr>
                <w:sz w:val="24"/>
              </w:rPr>
            </w:pPr>
            <w:r>
              <w:rPr>
                <w:sz w:val="24"/>
                <w:rtl/>
              </w:rPr>
              <w:t xml:space="preserve">סעיף 8 </w:t>
            </w:r>
          </w:p>
        </w:tc>
      </w:tr>
    </w:tbl>
    <w:p w:rsidR="00D41344" w:rsidRDefault="00D41344">
      <w:pPr>
        <w:pStyle w:val="big-header"/>
        <w:ind w:left="0" w:right="1134"/>
        <w:rPr>
          <w:rFonts w:cs="FrankRuehl"/>
          <w:sz w:val="32"/>
          <w:rtl/>
        </w:rPr>
      </w:pPr>
    </w:p>
    <w:p w:rsidR="00D41344" w:rsidRDefault="00D41344" w:rsidP="008803F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סדרי דין (עתירות אסירים), תש"ם-</w:t>
      </w:r>
      <w:r>
        <w:rPr>
          <w:rFonts w:cs="FrankRuehl"/>
          <w:sz w:val="32"/>
          <w:rtl/>
        </w:rPr>
        <w:t>1980</w:t>
      </w:r>
      <w:r>
        <w:rPr>
          <w:rStyle w:val="default"/>
          <w:rtl/>
        </w:rPr>
        <w:footnoteReference w:customMarkFollows="1" w:id="1"/>
        <w:t>*</w:t>
      </w:r>
    </w:p>
    <w:p w:rsidR="00D41344" w:rsidRDefault="00D41344" w:rsidP="008C09E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46 לחוק בתי המשפט, תשי"ז</w:t>
      </w:r>
      <w:r w:rsidR="008C09E2">
        <w:rPr>
          <w:rStyle w:val="default"/>
          <w:rFonts w:cs="FrankRuehl" w:hint="cs"/>
          <w:rtl/>
        </w:rPr>
        <w:t>-</w:t>
      </w:r>
      <w:r>
        <w:rPr>
          <w:rStyle w:val="default"/>
          <w:rFonts w:cs="FrankRuehl"/>
          <w:rtl/>
        </w:rPr>
        <w:t xml:space="preserve">1957, </w:t>
      </w:r>
      <w:r>
        <w:rPr>
          <w:rStyle w:val="default"/>
          <w:rFonts w:cs="FrankRuehl" w:hint="cs"/>
          <w:rtl/>
        </w:rPr>
        <w:t>ושאר הסמכויות הנתונות לי לפי כל דין, אני מתקין תקנות אלה:</w:t>
      </w:r>
    </w:p>
    <w:p w:rsidR="00D41344" w:rsidRDefault="00D41344">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5.4pt;z-index:251653120" o:allowincell="f" filled="f" stroked="f" strokecolor="lime" strokeweight=".25pt">
            <v:textbox inset="0,0,0,0">
              <w:txbxContent>
                <w:p w:rsidR="00D41344" w:rsidRDefault="00D4134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C09E2">
        <w:rPr>
          <w:rStyle w:val="default"/>
          <w:rFonts w:cs="FrankRuehl"/>
          <w:rtl/>
        </w:rPr>
        <w:t>–</w:t>
      </w:r>
    </w:p>
    <w:p w:rsidR="00D41344" w:rsidRDefault="00D41344" w:rsidP="008C09E2">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תירה" </w:t>
      </w:r>
      <w:r w:rsidR="001852E6">
        <w:rPr>
          <w:rStyle w:val="default"/>
          <w:rFonts w:cs="FrankRuehl"/>
          <w:rtl/>
        </w:rPr>
        <w:t>–</w:t>
      </w:r>
      <w:r>
        <w:rPr>
          <w:rStyle w:val="default"/>
          <w:rFonts w:cs="FrankRuehl"/>
          <w:rtl/>
        </w:rPr>
        <w:t xml:space="preserve"> </w:t>
      </w:r>
      <w:r>
        <w:rPr>
          <w:rStyle w:val="default"/>
          <w:rFonts w:cs="FrankRuehl" w:hint="cs"/>
          <w:rtl/>
        </w:rPr>
        <w:t>עתירת אסיר לפי סעיף 62א לפקודת בתי הסוהר [נוסח משולב],</w:t>
      </w:r>
      <w:r>
        <w:rPr>
          <w:rStyle w:val="default"/>
          <w:rFonts w:cs="FrankRuehl"/>
          <w:rtl/>
        </w:rPr>
        <w:t xml:space="preserve"> ת</w:t>
      </w:r>
      <w:r>
        <w:rPr>
          <w:rStyle w:val="default"/>
          <w:rFonts w:cs="FrankRuehl" w:hint="cs"/>
          <w:rtl/>
        </w:rPr>
        <w:t>של"ב</w:t>
      </w:r>
      <w:r w:rsidR="008C09E2">
        <w:rPr>
          <w:rStyle w:val="default"/>
          <w:rFonts w:cs="FrankRuehl" w:hint="cs"/>
          <w:rtl/>
        </w:rPr>
        <w:t>-</w:t>
      </w:r>
      <w:r>
        <w:rPr>
          <w:rStyle w:val="default"/>
          <w:rFonts w:cs="FrankRuehl"/>
          <w:rtl/>
        </w:rPr>
        <w:t>1971;</w:t>
      </w:r>
    </w:p>
    <w:p w:rsidR="00D41344" w:rsidRDefault="00D41344" w:rsidP="008C09E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המשפט" </w:t>
      </w:r>
      <w:r w:rsidR="001852E6">
        <w:rPr>
          <w:rStyle w:val="default"/>
          <w:rFonts w:cs="FrankRuehl"/>
          <w:rtl/>
        </w:rPr>
        <w:t>–</w:t>
      </w:r>
      <w:r>
        <w:rPr>
          <w:rStyle w:val="default"/>
          <w:rFonts w:cs="FrankRuehl"/>
          <w:rtl/>
        </w:rPr>
        <w:t xml:space="preserve"> </w:t>
      </w:r>
      <w:r>
        <w:rPr>
          <w:rStyle w:val="default"/>
          <w:rFonts w:cs="FrankRuehl" w:hint="cs"/>
          <w:rtl/>
        </w:rPr>
        <w:t>בית המשפט המחוזי שבאזור שיפוטו נמצא בית הסוהר שבו מוחזק העותר.</w:t>
      </w:r>
    </w:p>
    <w:p w:rsidR="00D41344" w:rsidRDefault="00D41344">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2pt;z-index:251654144" o:allowincell="f" filled="f" stroked="f" strokecolor="lime" strokeweight=".25pt">
            <v:textbox inset="0,0,0,0">
              <w:txbxContent>
                <w:p w:rsidR="00D41344" w:rsidRDefault="00D41344">
                  <w:pPr>
                    <w:spacing w:line="160" w:lineRule="exact"/>
                    <w:jc w:val="left"/>
                    <w:rPr>
                      <w:rFonts w:cs="Miriam"/>
                      <w:noProof/>
                      <w:sz w:val="18"/>
                      <w:szCs w:val="18"/>
                      <w:rtl/>
                    </w:rPr>
                  </w:pPr>
                  <w:r>
                    <w:rPr>
                      <w:rFonts w:cs="Miriam"/>
                      <w:sz w:val="18"/>
                      <w:szCs w:val="18"/>
                      <w:rtl/>
                    </w:rPr>
                    <w:t>הג</w:t>
                  </w:r>
                  <w:r>
                    <w:rPr>
                      <w:rFonts w:cs="Miriam" w:hint="cs"/>
                      <w:sz w:val="18"/>
                      <w:szCs w:val="18"/>
                      <w:rtl/>
                    </w:rPr>
                    <w:t>שת עתירה</w:t>
                  </w:r>
                </w:p>
                <w:p w:rsidR="00D41344" w:rsidRDefault="00D41344" w:rsidP="008C09E2">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sidR="008C09E2">
                    <w:rPr>
                      <w:rFonts w:cs="Miriam" w:hint="cs"/>
                      <w:sz w:val="18"/>
                      <w:szCs w:val="18"/>
                      <w:rtl/>
                    </w:rPr>
                    <w:t>-</w:t>
                  </w:r>
                  <w:r>
                    <w:rPr>
                      <w:rFonts w:cs="Miriam"/>
                      <w:sz w:val="18"/>
                      <w:szCs w:val="18"/>
                      <w:rtl/>
                    </w:rPr>
                    <w:t>1985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תירה תוגש לבית המשפט בכתב, במספר עותקים מספיק בשביל בית המשפט וכל המשיבים, ויפורטו בה מספר זהותו של העותר והנימוקים שעליהם היא מתבססת.</w:t>
      </w:r>
    </w:p>
    <w:p w:rsidR="00D41344" w:rsidRDefault="00D4134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עתירה יצורף תצה</w:t>
      </w:r>
      <w:r>
        <w:rPr>
          <w:rStyle w:val="default"/>
          <w:rFonts w:cs="FrankRuehl"/>
          <w:rtl/>
        </w:rPr>
        <w:t>יר</w:t>
      </w:r>
      <w:r>
        <w:rPr>
          <w:rStyle w:val="default"/>
          <w:rFonts w:cs="FrankRuehl" w:hint="cs"/>
          <w:rtl/>
        </w:rPr>
        <w:t xml:space="preserve"> לאימות העובדות</w:t>
      </w:r>
      <w:r>
        <w:rPr>
          <w:rStyle w:val="default"/>
          <w:rFonts w:cs="FrankRuehl"/>
          <w:rtl/>
        </w:rPr>
        <w:t xml:space="preserve"> </w:t>
      </w:r>
      <w:r>
        <w:rPr>
          <w:rStyle w:val="default"/>
          <w:rFonts w:cs="FrankRuehl" w:hint="cs"/>
          <w:rtl/>
        </w:rPr>
        <w:t>המשמשות לה יסוד.</w:t>
      </w:r>
    </w:p>
    <w:p w:rsidR="00262D5F" w:rsidRPr="0042222C" w:rsidRDefault="00262D5F" w:rsidP="00262D5F">
      <w:pPr>
        <w:pStyle w:val="P00"/>
        <w:tabs>
          <w:tab w:val="clear" w:pos="6259"/>
        </w:tabs>
        <w:spacing w:before="0"/>
        <w:ind w:left="0" w:right="1134"/>
        <w:rPr>
          <w:rFonts w:cs="FrankRuehl" w:hint="cs"/>
          <w:vanish/>
          <w:szCs w:val="20"/>
          <w:shd w:val="clear" w:color="auto" w:fill="FFFF99"/>
          <w:rtl/>
        </w:rPr>
      </w:pPr>
      <w:bookmarkStart w:id="2" w:name="Rov15"/>
      <w:r w:rsidRPr="0042222C">
        <w:rPr>
          <w:rFonts w:cs="FrankRuehl" w:hint="cs"/>
          <w:vanish/>
          <w:color w:val="FF0000"/>
          <w:szCs w:val="20"/>
          <w:shd w:val="clear" w:color="auto" w:fill="FFFF99"/>
          <w:rtl/>
        </w:rPr>
        <w:t>מיום 31.12.1985</w:t>
      </w:r>
    </w:p>
    <w:p w:rsidR="00262D5F" w:rsidRPr="0042222C" w:rsidRDefault="00262D5F" w:rsidP="00262D5F">
      <w:pPr>
        <w:pStyle w:val="P00"/>
        <w:spacing w:before="0"/>
        <w:ind w:left="0" w:right="1134"/>
        <w:rPr>
          <w:rFonts w:cs="FrankRuehl" w:hint="cs"/>
          <w:b/>
          <w:bCs/>
          <w:vanish/>
          <w:szCs w:val="20"/>
          <w:shd w:val="clear" w:color="auto" w:fill="FFFF99"/>
          <w:rtl/>
        </w:rPr>
      </w:pPr>
      <w:r w:rsidRPr="0042222C">
        <w:rPr>
          <w:rFonts w:cs="FrankRuehl" w:hint="cs"/>
          <w:b/>
          <w:bCs/>
          <w:vanish/>
          <w:szCs w:val="20"/>
          <w:shd w:val="clear" w:color="auto" w:fill="FFFF99"/>
          <w:rtl/>
        </w:rPr>
        <w:t>תק' תשמ"ו-1985</w:t>
      </w:r>
    </w:p>
    <w:p w:rsidR="00262D5F" w:rsidRPr="0042222C" w:rsidRDefault="00262D5F" w:rsidP="00262D5F">
      <w:pPr>
        <w:pStyle w:val="P00"/>
        <w:spacing w:before="0"/>
        <w:ind w:left="0" w:right="1134"/>
        <w:rPr>
          <w:rFonts w:cs="FrankRuehl" w:hint="cs"/>
          <w:vanish/>
          <w:szCs w:val="20"/>
          <w:shd w:val="clear" w:color="auto" w:fill="FFFF99"/>
          <w:rtl/>
        </w:rPr>
      </w:pPr>
      <w:hyperlink r:id="rId6" w:history="1">
        <w:r w:rsidRPr="0042222C">
          <w:rPr>
            <w:rStyle w:val="Hyperlink"/>
            <w:rFonts w:cs="FrankRuehl" w:hint="cs"/>
            <w:vanish/>
            <w:szCs w:val="20"/>
            <w:shd w:val="clear" w:color="auto" w:fill="FFFF99"/>
            <w:rtl/>
          </w:rPr>
          <w:t>ק"ת תשמ"ו מס' 4889</w:t>
        </w:r>
      </w:hyperlink>
      <w:r w:rsidRPr="0042222C">
        <w:rPr>
          <w:rFonts w:cs="FrankRuehl" w:hint="cs"/>
          <w:vanish/>
          <w:szCs w:val="20"/>
          <w:shd w:val="clear" w:color="auto" w:fill="FFFF99"/>
          <w:rtl/>
        </w:rPr>
        <w:t xml:space="preserve"> מיום 31.12.1985 עמ' 346</w:t>
      </w:r>
    </w:p>
    <w:p w:rsidR="00262D5F" w:rsidRPr="00262D5F" w:rsidRDefault="00262D5F" w:rsidP="00262D5F">
      <w:pPr>
        <w:pStyle w:val="P00"/>
        <w:ind w:left="0" w:right="1134"/>
        <w:rPr>
          <w:rStyle w:val="default"/>
          <w:rFonts w:cs="FrankRuehl"/>
          <w:sz w:val="2"/>
          <w:szCs w:val="2"/>
          <w:rtl/>
        </w:rPr>
      </w:pPr>
      <w:r w:rsidRPr="0042222C">
        <w:rPr>
          <w:rStyle w:val="big-number"/>
          <w:rFonts w:cs="FrankRuehl"/>
          <w:vanish/>
          <w:sz w:val="22"/>
          <w:szCs w:val="22"/>
          <w:shd w:val="clear" w:color="auto" w:fill="FFFF99"/>
          <w:rtl/>
        </w:rPr>
        <w:tab/>
      </w:r>
      <w:r w:rsidRPr="0042222C">
        <w:rPr>
          <w:rStyle w:val="default"/>
          <w:rFonts w:cs="FrankRuehl"/>
          <w:vanish/>
          <w:sz w:val="22"/>
          <w:szCs w:val="22"/>
          <w:shd w:val="clear" w:color="auto" w:fill="FFFF99"/>
          <w:rtl/>
        </w:rPr>
        <w:t>(א</w:t>
      </w:r>
      <w:r w:rsidRPr="0042222C">
        <w:rPr>
          <w:rStyle w:val="default"/>
          <w:rFonts w:cs="FrankRuehl" w:hint="cs"/>
          <w:vanish/>
          <w:sz w:val="22"/>
          <w:szCs w:val="22"/>
          <w:shd w:val="clear" w:color="auto" w:fill="FFFF99"/>
          <w:rtl/>
        </w:rPr>
        <w:t>)</w:t>
      </w:r>
      <w:r w:rsidRPr="0042222C">
        <w:rPr>
          <w:rStyle w:val="default"/>
          <w:rFonts w:cs="FrankRuehl"/>
          <w:vanish/>
          <w:sz w:val="22"/>
          <w:szCs w:val="22"/>
          <w:shd w:val="clear" w:color="auto" w:fill="FFFF99"/>
          <w:rtl/>
        </w:rPr>
        <w:tab/>
        <w:t>ע</w:t>
      </w:r>
      <w:r w:rsidRPr="0042222C">
        <w:rPr>
          <w:rStyle w:val="default"/>
          <w:rFonts w:cs="FrankRuehl" w:hint="cs"/>
          <w:vanish/>
          <w:sz w:val="22"/>
          <w:szCs w:val="22"/>
          <w:shd w:val="clear" w:color="auto" w:fill="FFFF99"/>
          <w:rtl/>
        </w:rPr>
        <w:t xml:space="preserve">תירה תוגש לבית המשפט בכתב, במספר עותקים מספיק בשביל בית המשפט וכל המשיבים, ויפורטו בה </w:t>
      </w:r>
      <w:r w:rsidRPr="0042222C">
        <w:rPr>
          <w:rStyle w:val="default"/>
          <w:rFonts w:cs="FrankRuehl" w:hint="cs"/>
          <w:strike/>
          <w:vanish/>
          <w:sz w:val="22"/>
          <w:szCs w:val="22"/>
          <w:shd w:val="clear" w:color="auto" w:fill="FFFF99"/>
          <w:rtl/>
        </w:rPr>
        <w:t>הנימוקים</w:t>
      </w:r>
      <w:r w:rsidRPr="0042222C">
        <w:rPr>
          <w:rStyle w:val="default"/>
          <w:rFonts w:cs="FrankRuehl" w:hint="cs"/>
          <w:vanish/>
          <w:sz w:val="22"/>
          <w:szCs w:val="22"/>
          <w:shd w:val="clear" w:color="auto" w:fill="FFFF99"/>
          <w:rtl/>
        </w:rPr>
        <w:t xml:space="preserve"> </w:t>
      </w:r>
      <w:r w:rsidRPr="0042222C">
        <w:rPr>
          <w:rStyle w:val="default"/>
          <w:rFonts w:cs="FrankRuehl" w:hint="cs"/>
          <w:vanish/>
          <w:sz w:val="22"/>
          <w:szCs w:val="22"/>
          <w:u w:val="single"/>
          <w:shd w:val="clear" w:color="auto" w:fill="FFFF99"/>
          <w:rtl/>
        </w:rPr>
        <w:t>מספר זהותו של העותר והנימוקים</w:t>
      </w:r>
      <w:r w:rsidRPr="0042222C">
        <w:rPr>
          <w:rStyle w:val="default"/>
          <w:rFonts w:cs="FrankRuehl" w:hint="cs"/>
          <w:vanish/>
          <w:sz w:val="22"/>
          <w:szCs w:val="22"/>
          <w:shd w:val="clear" w:color="auto" w:fill="FFFF99"/>
          <w:rtl/>
        </w:rPr>
        <w:t xml:space="preserve"> שעליהם היא מתבססת.</w:t>
      </w:r>
      <w:bookmarkEnd w:id="2"/>
    </w:p>
    <w:p w:rsidR="00D41344" w:rsidRDefault="00D41344">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8.05pt;width:75.05pt;height:23.9pt;z-index:251655168" o:allowincell="f" filled="f" stroked="f" strokecolor="lime" strokeweight=".25pt">
            <v:textbox inset="0,0,0,0">
              <w:txbxContent>
                <w:p w:rsidR="00D41344" w:rsidRDefault="00D41344">
                  <w:pPr>
                    <w:spacing w:line="160" w:lineRule="exact"/>
                    <w:jc w:val="left"/>
                    <w:rPr>
                      <w:rFonts w:cs="Miriam" w:hint="cs"/>
                      <w:sz w:val="18"/>
                      <w:szCs w:val="18"/>
                      <w:rtl/>
                    </w:rPr>
                  </w:pPr>
                  <w:r>
                    <w:rPr>
                      <w:rFonts w:cs="Miriam"/>
                      <w:sz w:val="18"/>
                      <w:szCs w:val="18"/>
                      <w:rtl/>
                    </w:rPr>
                    <w:t>יש</w:t>
                  </w:r>
                  <w:r>
                    <w:rPr>
                      <w:rFonts w:cs="Miriam" w:hint="cs"/>
                      <w:sz w:val="18"/>
                      <w:szCs w:val="18"/>
                      <w:rtl/>
                    </w:rPr>
                    <w:t xml:space="preserve">יבות </w:t>
                  </w:r>
                  <w:r>
                    <w:rPr>
                      <w:rFonts w:cs="Miriam"/>
                      <w:sz w:val="18"/>
                      <w:szCs w:val="18"/>
                      <w:rtl/>
                    </w:rPr>
                    <w:t>בי</w:t>
                  </w:r>
                  <w:r>
                    <w:rPr>
                      <w:rFonts w:cs="Miriam" w:hint="cs"/>
                      <w:sz w:val="18"/>
                      <w:szCs w:val="18"/>
                      <w:rtl/>
                    </w:rPr>
                    <w:t>ת המשפט</w:t>
                  </w:r>
                </w:p>
                <w:p w:rsidR="00D41344" w:rsidRDefault="00D41344">
                  <w:pPr>
                    <w:spacing w:line="160" w:lineRule="exact"/>
                    <w:jc w:val="lef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3.</w:t>
      </w:r>
      <w:r>
        <w:rPr>
          <w:rStyle w:val="big-number"/>
          <w:rFonts w:cs="Miriam"/>
          <w:rtl/>
        </w:rPr>
        <w:tab/>
      </w:r>
      <w:r>
        <w:rPr>
          <w:rStyle w:val="default"/>
          <w:rFonts w:cs="FrankRuehl"/>
          <w:rtl/>
        </w:rPr>
        <w:t>בי</w:t>
      </w:r>
      <w:r>
        <w:rPr>
          <w:rStyle w:val="default"/>
          <w:rFonts w:cs="FrankRuehl" w:hint="cs"/>
          <w:rtl/>
        </w:rPr>
        <w:t>ת המשפט רשאי לשבת לדין בענין העתירה, כולה או מקצתה, בבית סוהר המצוי באזור שיפוטו של בית המשפט או במיתקן אחר השייך לשירות בתי הסוהר, ואשר מצוי סמוך לבית הסוהר כאמור, אם ראה לעשות כן למען הצדק או למען יעילות הדיון.</w:t>
      </w:r>
    </w:p>
    <w:p w:rsidR="00D41344" w:rsidRPr="0042222C" w:rsidRDefault="00D41344">
      <w:pPr>
        <w:pStyle w:val="P00"/>
        <w:spacing w:before="0"/>
        <w:ind w:left="0" w:right="1134"/>
        <w:rPr>
          <w:rStyle w:val="default"/>
          <w:rFonts w:cs="FrankRuehl" w:hint="cs"/>
          <w:vanish/>
          <w:color w:val="FF0000"/>
          <w:sz w:val="20"/>
          <w:szCs w:val="20"/>
          <w:shd w:val="clear" w:color="auto" w:fill="FFFF99"/>
          <w:rtl/>
        </w:rPr>
      </w:pPr>
      <w:bookmarkStart w:id="4" w:name="Rov12"/>
      <w:r w:rsidRPr="0042222C">
        <w:rPr>
          <w:rStyle w:val="default"/>
          <w:rFonts w:cs="FrankRuehl" w:hint="cs"/>
          <w:vanish/>
          <w:color w:val="FF0000"/>
          <w:sz w:val="20"/>
          <w:szCs w:val="20"/>
          <w:shd w:val="clear" w:color="auto" w:fill="FFFF99"/>
          <w:rtl/>
        </w:rPr>
        <w:t>מיום 26.12.2007</w:t>
      </w:r>
    </w:p>
    <w:p w:rsidR="00D41344" w:rsidRPr="0042222C" w:rsidRDefault="00D41344">
      <w:pPr>
        <w:pStyle w:val="P00"/>
        <w:spacing w:before="0"/>
        <w:ind w:left="0" w:right="1134"/>
        <w:rPr>
          <w:rStyle w:val="default"/>
          <w:rFonts w:cs="FrankRuehl" w:hint="cs"/>
          <w:vanish/>
          <w:sz w:val="20"/>
          <w:szCs w:val="20"/>
          <w:shd w:val="clear" w:color="auto" w:fill="FFFF99"/>
          <w:rtl/>
        </w:rPr>
      </w:pPr>
      <w:r w:rsidRPr="0042222C">
        <w:rPr>
          <w:rStyle w:val="default"/>
          <w:rFonts w:cs="FrankRuehl" w:hint="cs"/>
          <w:b/>
          <w:bCs/>
          <w:vanish/>
          <w:sz w:val="20"/>
          <w:szCs w:val="20"/>
          <w:shd w:val="clear" w:color="auto" w:fill="FFFF99"/>
          <w:rtl/>
        </w:rPr>
        <w:t>תק' תשס"ח-2007</w:t>
      </w:r>
    </w:p>
    <w:p w:rsidR="00D41344" w:rsidRPr="0042222C" w:rsidRDefault="00D41344">
      <w:pPr>
        <w:pStyle w:val="P00"/>
        <w:spacing w:before="0"/>
        <w:ind w:left="0" w:right="1134"/>
        <w:rPr>
          <w:rStyle w:val="default"/>
          <w:rFonts w:cs="FrankRuehl" w:hint="cs"/>
          <w:vanish/>
          <w:sz w:val="20"/>
          <w:szCs w:val="20"/>
          <w:shd w:val="clear" w:color="auto" w:fill="FFFF99"/>
          <w:rtl/>
        </w:rPr>
      </w:pPr>
      <w:hyperlink r:id="rId7" w:history="1">
        <w:r w:rsidRPr="0042222C">
          <w:rPr>
            <w:rStyle w:val="Hyperlink"/>
            <w:rFonts w:cs="FrankRuehl" w:hint="cs"/>
            <w:vanish/>
            <w:szCs w:val="20"/>
            <w:shd w:val="clear" w:color="auto" w:fill="FFFF99"/>
            <w:rtl/>
          </w:rPr>
          <w:t>ק"ת תשס"ח מס' 6632</w:t>
        </w:r>
      </w:hyperlink>
      <w:r w:rsidRPr="0042222C">
        <w:rPr>
          <w:rStyle w:val="default"/>
          <w:rFonts w:cs="FrankRuehl" w:hint="cs"/>
          <w:vanish/>
          <w:sz w:val="20"/>
          <w:szCs w:val="20"/>
          <w:shd w:val="clear" w:color="auto" w:fill="FFFF99"/>
          <w:rtl/>
        </w:rPr>
        <w:t xml:space="preserve"> מיום 26.12.2007 עמ' 254</w:t>
      </w:r>
    </w:p>
    <w:p w:rsidR="00D41344" w:rsidRDefault="00D41344">
      <w:pPr>
        <w:pStyle w:val="P00"/>
        <w:ind w:left="0" w:right="1134"/>
        <w:rPr>
          <w:rStyle w:val="default"/>
          <w:rFonts w:cs="FrankRuehl" w:hint="cs"/>
          <w:sz w:val="2"/>
          <w:szCs w:val="2"/>
          <w:rtl/>
        </w:rPr>
      </w:pPr>
      <w:r w:rsidRPr="0042222C">
        <w:rPr>
          <w:rStyle w:val="big-number"/>
          <w:rFonts w:cs="FrankRuehl"/>
          <w:vanish/>
          <w:sz w:val="22"/>
          <w:szCs w:val="22"/>
          <w:shd w:val="clear" w:color="auto" w:fill="FFFF99"/>
          <w:rtl/>
        </w:rPr>
        <w:t>3.</w:t>
      </w:r>
      <w:r w:rsidRPr="0042222C">
        <w:rPr>
          <w:rStyle w:val="big-number"/>
          <w:rFonts w:cs="FrankRuehl"/>
          <w:vanish/>
          <w:sz w:val="22"/>
          <w:szCs w:val="22"/>
          <w:shd w:val="clear" w:color="auto" w:fill="FFFF99"/>
          <w:rtl/>
        </w:rPr>
        <w:tab/>
      </w:r>
      <w:r w:rsidRPr="0042222C">
        <w:rPr>
          <w:rStyle w:val="default"/>
          <w:rFonts w:cs="FrankRuehl"/>
          <w:vanish/>
          <w:sz w:val="22"/>
          <w:szCs w:val="22"/>
          <w:shd w:val="clear" w:color="auto" w:fill="FFFF99"/>
          <w:rtl/>
        </w:rPr>
        <w:t>בי</w:t>
      </w:r>
      <w:r w:rsidRPr="0042222C">
        <w:rPr>
          <w:rStyle w:val="default"/>
          <w:rFonts w:cs="FrankRuehl" w:hint="cs"/>
          <w:vanish/>
          <w:sz w:val="22"/>
          <w:szCs w:val="22"/>
          <w:shd w:val="clear" w:color="auto" w:fill="FFFF99"/>
          <w:rtl/>
        </w:rPr>
        <w:t xml:space="preserve">ת המשפט רשאי לשבת לדין בענין העתירה, כולה או מקצתה, </w:t>
      </w:r>
      <w:r w:rsidRPr="0042222C">
        <w:rPr>
          <w:rStyle w:val="default"/>
          <w:rFonts w:cs="FrankRuehl" w:hint="cs"/>
          <w:strike/>
          <w:vanish/>
          <w:sz w:val="22"/>
          <w:szCs w:val="22"/>
          <w:shd w:val="clear" w:color="auto" w:fill="FFFF99"/>
          <w:rtl/>
        </w:rPr>
        <w:t>בבית הסוהר שבו מוחזק העותר</w:t>
      </w:r>
      <w:r w:rsidRPr="0042222C">
        <w:rPr>
          <w:rStyle w:val="default"/>
          <w:rFonts w:cs="FrankRuehl" w:hint="cs"/>
          <w:vanish/>
          <w:sz w:val="22"/>
          <w:szCs w:val="22"/>
          <w:shd w:val="clear" w:color="auto" w:fill="FFFF99"/>
          <w:rtl/>
        </w:rPr>
        <w:t xml:space="preserve"> </w:t>
      </w:r>
      <w:r w:rsidRPr="0042222C">
        <w:rPr>
          <w:rStyle w:val="default"/>
          <w:rFonts w:cs="FrankRuehl" w:hint="cs"/>
          <w:vanish/>
          <w:sz w:val="22"/>
          <w:szCs w:val="22"/>
          <w:u w:val="single"/>
          <w:shd w:val="clear" w:color="auto" w:fill="FFFF99"/>
          <w:rtl/>
        </w:rPr>
        <w:t>בבית סוהר המצוי באזור שיפוטו של בית המשפט או במיתקן אחר השייך לשירות בתי הסוהר, ואשר מצוי סמוך לבית הסוהר כאמור</w:t>
      </w:r>
      <w:r w:rsidRPr="0042222C">
        <w:rPr>
          <w:rStyle w:val="default"/>
          <w:rFonts w:cs="FrankRuehl" w:hint="cs"/>
          <w:vanish/>
          <w:sz w:val="22"/>
          <w:szCs w:val="22"/>
          <w:shd w:val="clear" w:color="auto" w:fill="FFFF99"/>
          <w:rtl/>
        </w:rPr>
        <w:t>, אם ראה לעשות כן למען הצדק או למען יעילות הדיון.</w:t>
      </w:r>
      <w:bookmarkEnd w:id="4"/>
    </w:p>
    <w:p w:rsidR="00D41344" w:rsidRDefault="00D41344">
      <w:pPr>
        <w:pStyle w:val="P00"/>
        <w:spacing w:before="72"/>
        <w:ind w:left="0" w:right="1134"/>
        <w:rPr>
          <w:rStyle w:val="default"/>
          <w:rFonts w:cs="FrankRuehl"/>
          <w:rtl/>
        </w:rPr>
      </w:pPr>
      <w:bookmarkStart w:id="5" w:name="Seif3"/>
      <w:bookmarkEnd w:id="5"/>
      <w:r>
        <w:rPr>
          <w:lang w:val="he-IL"/>
        </w:rPr>
        <w:pict>
          <v:rect id="_x0000_s1029" style="position:absolute;left:0;text-align:left;margin-left:464.5pt;margin-top:8.05pt;width:75.05pt;height:12.75pt;z-index:251656192" o:allowincell="f" filled="f" stroked="f" strokecolor="lime" strokeweight=".25pt">
            <v:textbox inset="0,0,0,0">
              <w:txbxContent>
                <w:p w:rsidR="00D41344" w:rsidRDefault="00D41344">
                  <w:pPr>
                    <w:spacing w:line="160" w:lineRule="exact"/>
                    <w:jc w:val="left"/>
                    <w:rPr>
                      <w:rFonts w:cs="Miriam"/>
                      <w:noProof/>
                      <w:sz w:val="18"/>
                      <w:szCs w:val="18"/>
                      <w:rtl/>
                    </w:rPr>
                  </w:pPr>
                  <w:r>
                    <w:rPr>
                      <w:rFonts w:cs="Miriam"/>
                      <w:sz w:val="18"/>
                      <w:szCs w:val="18"/>
                      <w:rtl/>
                    </w:rPr>
                    <w:t>די</w:t>
                  </w:r>
                  <w:r>
                    <w:rPr>
                      <w:rFonts w:cs="Miriam" w:hint="cs"/>
                      <w:sz w:val="18"/>
                      <w:szCs w:val="18"/>
                      <w:rtl/>
                    </w:rPr>
                    <w:t>ון בעתירה</w:t>
                  </w:r>
                </w:p>
              </w:txbxContent>
            </v:textbox>
            <w10:anchorlock/>
          </v:rect>
        </w:pict>
      </w:r>
      <w:r>
        <w:rPr>
          <w:rStyle w:val="big-number"/>
          <w:rFonts w:cs="Miriam"/>
          <w:rtl/>
        </w:rPr>
        <w:t>4</w:t>
      </w:r>
      <w:r w:rsidRPr="00820178">
        <w:rPr>
          <w:rStyle w:val="default"/>
          <w:rFonts w:cs="FrankRuehl"/>
          <w:rtl/>
        </w:rPr>
        <w:t>.</w:t>
      </w:r>
      <w:r w:rsidRPr="00820178">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עתירה תישמע במעמד העותר והמשיב או באי כוחם, במועד שקבע בית המשפט, ורשאי בית המ</w:t>
      </w:r>
      <w:r>
        <w:rPr>
          <w:rStyle w:val="default"/>
          <w:rFonts w:cs="FrankRuehl"/>
          <w:rtl/>
        </w:rPr>
        <w:t>שפ</w:t>
      </w:r>
      <w:r>
        <w:rPr>
          <w:rStyle w:val="default"/>
          <w:rFonts w:cs="FrankRuehl" w:hint="cs"/>
          <w:rtl/>
        </w:rPr>
        <w:t>ט לצוות על המשיב להשיב תשובה בכתב, בלווית תצהיר או בלעדיו תוך זמן שיורה בית המשפט.</w:t>
      </w:r>
    </w:p>
    <w:p w:rsidR="00D41344" w:rsidRDefault="00D41344" w:rsidP="008C09E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שובה בכתב תהיה במספר עותקים מספיק בשביל בית</w:t>
      </w:r>
      <w:r>
        <w:rPr>
          <w:rStyle w:val="default"/>
          <w:rFonts w:cs="FrankRuehl"/>
          <w:rtl/>
        </w:rPr>
        <w:t xml:space="preserve"> ה</w:t>
      </w:r>
      <w:r>
        <w:rPr>
          <w:rStyle w:val="default"/>
          <w:rFonts w:cs="FrankRuehl" w:hint="cs"/>
          <w:rtl/>
        </w:rPr>
        <w:t>משפט וכל העותרים.</w:t>
      </w:r>
    </w:p>
    <w:p w:rsidR="00820178" w:rsidRDefault="003D3A07" w:rsidP="003A70E8">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040" type="#_x0000_t202" style="position:absolute;left:0;text-align:left;margin-left:470.35pt;margin-top:7.1pt;width:1in;height:12.8pt;z-index:251662336" filled="f" stroked="f">
            <v:textbox inset="1mm,0,1mm,0">
              <w:txbxContent>
                <w:p w:rsidR="003D3A07" w:rsidRDefault="003D3A07" w:rsidP="003D3A07">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3A70E8">
        <w:rPr>
          <w:rStyle w:val="default"/>
          <w:rFonts w:cs="FrankRuehl" w:hint="cs"/>
          <w:rtl/>
        </w:rPr>
        <w:tab/>
        <w:t>(ג)</w:t>
      </w:r>
      <w:r w:rsidR="003A70E8">
        <w:rPr>
          <w:rStyle w:val="default"/>
          <w:rFonts w:cs="FrankRuehl" w:hint="cs"/>
          <w:rtl/>
        </w:rPr>
        <w:tab/>
        <w:t>על אף האמור בתקנת משנה (א), רשאי בית המשפט למחוק עתירה על הסף, כולה או מקצתה, לאחר עיון בכתב העתירה בלבד או לאחר שקיבל תגובה מקדמית מהמשיב, אם מצא כי התקיים אחד מאלה:</w:t>
      </w:r>
    </w:p>
    <w:p w:rsidR="003A70E8" w:rsidRDefault="003A70E8" w:rsidP="003D3A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3D3A07">
        <w:rPr>
          <w:rStyle w:val="default"/>
          <w:rFonts w:cs="FrankRuehl" w:hint="cs"/>
          <w:rtl/>
        </w:rPr>
        <w:t>העותר לא מיצה את כל אפשרויות הפנייה בעניין זה לשירות בתי הסוהר לפי פקודת השירות כהגדרתן בפקודת בתי הסוהר [נוסח חדש], התשל"ב-1971, בטרם הגשת העתירה;</w:t>
      </w:r>
    </w:p>
    <w:p w:rsidR="003D3A07" w:rsidRDefault="003D3A07" w:rsidP="003D3A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העתירה על פניה היא קנטרנית או טורדנית;</w:t>
      </w:r>
    </w:p>
    <w:p w:rsidR="003D3A07" w:rsidRDefault="003D3A07" w:rsidP="003D3A0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העתירה לא גובתה בתצהיר כנדרש בתקנה 2(ב);</w:t>
      </w:r>
    </w:p>
    <w:p w:rsidR="003D3A07" w:rsidRDefault="003D3A07" w:rsidP="003D3A0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התקיימו שני אלה, ובלבד שלא חל שינוי בנסיבות:</w:t>
      </w:r>
    </w:p>
    <w:p w:rsidR="003D3A07" w:rsidRDefault="003D3A07" w:rsidP="003D3A0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עתירה קודמת של העותר בעניין זהה בעיקרו נדחתה בהחלטה שיפוטית;</w:t>
      </w:r>
    </w:p>
    <w:p w:rsidR="003D3A07" w:rsidRDefault="003D3A07" w:rsidP="003D3A0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טרם חלף פרק זמן משמעותי ממועד מתן ההחלטה השיפוטית האחרונה כאמור בפסקת משנה (א) ובלבד שלא יעלה על שישה חודשים.</w:t>
      </w:r>
    </w:p>
    <w:p w:rsidR="00820178" w:rsidRPr="0042222C" w:rsidRDefault="00820178" w:rsidP="00820178">
      <w:pPr>
        <w:pStyle w:val="P00"/>
        <w:spacing w:before="0"/>
        <w:ind w:left="0" w:right="1134"/>
        <w:rPr>
          <w:rStyle w:val="default"/>
          <w:rFonts w:cs="FrankRuehl" w:hint="cs"/>
          <w:vanish/>
          <w:color w:val="FF0000"/>
          <w:sz w:val="20"/>
          <w:szCs w:val="20"/>
          <w:shd w:val="clear" w:color="auto" w:fill="FFFF99"/>
          <w:rtl/>
        </w:rPr>
      </w:pPr>
      <w:bookmarkStart w:id="6" w:name="Rov16"/>
      <w:r w:rsidRPr="0042222C">
        <w:rPr>
          <w:rStyle w:val="default"/>
          <w:rFonts w:cs="FrankRuehl" w:hint="cs"/>
          <w:vanish/>
          <w:color w:val="FF0000"/>
          <w:sz w:val="20"/>
          <w:szCs w:val="20"/>
          <w:shd w:val="clear" w:color="auto" w:fill="FFFF99"/>
          <w:rtl/>
        </w:rPr>
        <w:t>מיום 29.9.2016</w:t>
      </w:r>
    </w:p>
    <w:p w:rsidR="00820178" w:rsidRPr="0042222C" w:rsidRDefault="00820178" w:rsidP="00820178">
      <w:pPr>
        <w:pStyle w:val="P00"/>
        <w:spacing w:before="0"/>
        <w:ind w:left="0" w:right="1134"/>
        <w:rPr>
          <w:rStyle w:val="default"/>
          <w:rFonts w:cs="FrankRuehl" w:hint="cs"/>
          <w:vanish/>
          <w:sz w:val="20"/>
          <w:szCs w:val="20"/>
          <w:shd w:val="clear" w:color="auto" w:fill="FFFF99"/>
          <w:rtl/>
        </w:rPr>
      </w:pPr>
      <w:r w:rsidRPr="0042222C">
        <w:rPr>
          <w:rStyle w:val="default"/>
          <w:rFonts w:cs="FrankRuehl" w:hint="cs"/>
          <w:b/>
          <w:bCs/>
          <w:vanish/>
          <w:sz w:val="20"/>
          <w:szCs w:val="20"/>
          <w:shd w:val="clear" w:color="auto" w:fill="FFFF99"/>
          <w:rtl/>
        </w:rPr>
        <w:t>תק' תשע"ו-2016</w:t>
      </w:r>
    </w:p>
    <w:p w:rsidR="00820178" w:rsidRPr="0042222C" w:rsidRDefault="00820178" w:rsidP="00820178">
      <w:pPr>
        <w:pStyle w:val="P00"/>
        <w:spacing w:before="0"/>
        <w:ind w:left="0" w:right="1134"/>
        <w:rPr>
          <w:rStyle w:val="default"/>
          <w:rFonts w:cs="FrankRuehl" w:hint="cs"/>
          <w:vanish/>
          <w:sz w:val="20"/>
          <w:szCs w:val="20"/>
          <w:shd w:val="clear" w:color="auto" w:fill="FFFF99"/>
          <w:rtl/>
        </w:rPr>
      </w:pPr>
      <w:hyperlink r:id="rId8" w:history="1">
        <w:r w:rsidRPr="0042222C">
          <w:rPr>
            <w:rStyle w:val="Hyperlink"/>
            <w:rFonts w:cs="FrankRuehl" w:hint="cs"/>
            <w:vanish/>
            <w:szCs w:val="20"/>
            <w:shd w:val="clear" w:color="auto" w:fill="FFFF99"/>
            <w:rtl/>
          </w:rPr>
          <w:t>ק"ת תשע"ו מס' 7717</w:t>
        </w:r>
      </w:hyperlink>
      <w:r w:rsidRPr="0042222C">
        <w:rPr>
          <w:rStyle w:val="default"/>
          <w:rFonts w:cs="FrankRuehl" w:hint="cs"/>
          <w:vanish/>
          <w:sz w:val="20"/>
          <w:szCs w:val="20"/>
          <w:shd w:val="clear" w:color="auto" w:fill="FFFF99"/>
          <w:rtl/>
        </w:rPr>
        <w:t xml:space="preserve"> מיום 29.9.2016 עמ' 2306</w:t>
      </w:r>
    </w:p>
    <w:p w:rsidR="00820178" w:rsidRPr="003D3A07" w:rsidRDefault="00820178" w:rsidP="003D3A07">
      <w:pPr>
        <w:pStyle w:val="P00"/>
        <w:spacing w:before="0"/>
        <w:ind w:left="0" w:right="1134"/>
        <w:rPr>
          <w:rStyle w:val="default"/>
          <w:rFonts w:cs="FrankRuehl" w:hint="cs"/>
          <w:sz w:val="2"/>
          <w:szCs w:val="2"/>
          <w:rtl/>
        </w:rPr>
      </w:pPr>
      <w:r w:rsidRPr="0042222C">
        <w:rPr>
          <w:rStyle w:val="default"/>
          <w:rFonts w:cs="FrankRuehl" w:hint="cs"/>
          <w:b/>
          <w:bCs/>
          <w:vanish/>
          <w:sz w:val="20"/>
          <w:szCs w:val="20"/>
          <w:shd w:val="clear" w:color="auto" w:fill="FFFF99"/>
          <w:rtl/>
        </w:rPr>
        <w:t>הוספת תקנת משנה 4(ג)</w:t>
      </w:r>
      <w:bookmarkEnd w:id="6"/>
    </w:p>
    <w:p w:rsidR="00D41344" w:rsidRDefault="00D41344" w:rsidP="008C09E2">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11.85pt;z-index:251657216" o:allowincell="f" filled="f" stroked="f" strokecolor="lime" strokeweight=".25pt">
            <v:textbox inset="0,0,0,0">
              <w:txbxContent>
                <w:p w:rsidR="00D41344" w:rsidRDefault="00D41344">
                  <w:pPr>
                    <w:spacing w:line="160" w:lineRule="exact"/>
                    <w:jc w:val="left"/>
                    <w:rPr>
                      <w:rFonts w:cs="Miriam"/>
                      <w:noProof/>
                      <w:sz w:val="18"/>
                      <w:szCs w:val="18"/>
                      <w:rtl/>
                    </w:rPr>
                  </w:pPr>
                  <w:r>
                    <w:rPr>
                      <w:rFonts w:cs="Miriam"/>
                      <w:sz w:val="18"/>
                      <w:szCs w:val="18"/>
                      <w:rtl/>
                    </w:rPr>
                    <w:t>צו</w:t>
                  </w:r>
                  <w:r>
                    <w:rPr>
                      <w:rFonts w:cs="Miriam" w:hint="cs"/>
                      <w:sz w:val="18"/>
                      <w:szCs w:val="18"/>
                      <w:rtl/>
                    </w:rPr>
                    <w:t>וי ביניים</w:t>
                  </w:r>
                </w:p>
              </w:txbxContent>
            </v:textbox>
            <w10:anchorlock/>
          </v:rect>
        </w:pict>
      </w:r>
      <w:r>
        <w:rPr>
          <w:rStyle w:val="big-number"/>
          <w:rFonts w:cs="Miriam"/>
          <w:rtl/>
        </w:rPr>
        <w:t>5.</w:t>
      </w:r>
      <w:r>
        <w:rPr>
          <w:rStyle w:val="big-number"/>
          <w:rFonts w:cs="Miriam"/>
          <w:rtl/>
        </w:rPr>
        <w:tab/>
      </w:r>
      <w:r>
        <w:rPr>
          <w:rStyle w:val="default"/>
          <w:rFonts w:cs="FrankRuehl"/>
          <w:rtl/>
        </w:rPr>
        <w:t>הש</w:t>
      </w:r>
      <w:r>
        <w:rPr>
          <w:rStyle w:val="default"/>
          <w:rFonts w:cs="FrankRuehl" w:hint="cs"/>
          <w:rtl/>
        </w:rPr>
        <w:t xml:space="preserve">ופט או </w:t>
      </w:r>
      <w:r w:rsidR="003D3A07">
        <w:rPr>
          <w:rStyle w:val="default"/>
          <w:rFonts w:cs="FrankRuehl"/>
          <w:rtl/>
        </w:rPr>
        <w:t>–</w:t>
      </w:r>
      <w:r>
        <w:rPr>
          <w:rStyle w:val="default"/>
          <w:rFonts w:cs="FrankRuehl"/>
          <w:rtl/>
        </w:rPr>
        <w:t xml:space="preserve"> </w:t>
      </w:r>
      <w:r>
        <w:rPr>
          <w:rStyle w:val="default"/>
          <w:rFonts w:cs="FrankRuehl" w:hint="cs"/>
          <w:rtl/>
        </w:rPr>
        <w:t xml:space="preserve">כאשר בית המשפט דן בשלושה </w:t>
      </w:r>
      <w:r w:rsidR="003D3A07">
        <w:rPr>
          <w:rStyle w:val="default"/>
          <w:rFonts w:cs="FrankRuehl"/>
          <w:rtl/>
        </w:rPr>
        <w:t>–</w:t>
      </w:r>
      <w:r>
        <w:rPr>
          <w:rStyle w:val="default"/>
          <w:rFonts w:cs="FrankRuehl"/>
          <w:rtl/>
        </w:rPr>
        <w:t xml:space="preserve"> </w:t>
      </w:r>
      <w:r>
        <w:rPr>
          <w:rStyle w:val="default"/>
          <w:rFonts w:cs="FrankRuehl" w:hint="cs"/>
          <w:rtl/>
        </w:rPr>
        <w:t>אב בית הדין, רשאי לתת צווי בי</w:t>
      </w:r>
      <w:r>
        <w:rPr>
          <w:rStyle w:val="default"/>
          <w:rFonts w:cs="FrankRuehl"/>
          <w:rtl/>
        </w:rPr>
        <w:t>נ</w:t>
      </w:r>
      <w:r>
        <w:rPr>
          <w:rStyle w:val="default"/>
          <w:rFonts w:cs="FrankRuehl" w:hint="cs"/>
          <w:rtl/>
        </w:rPr>
        <w:t>יים, לבטלם או לשנותם, כפי שיי</w:t>
      </w:r>
      <w:r>
        <w:rPr>
          <w:rStyle w:val="default"/>
          <w:rFonts w:cs="FrankRuehl"/>
          <w:rtl/>
        </w:rPr>
        <w:t>רא</w:t>
      </w:r>
      <w:r>
        <w:rPr>
          <w:rStyle w:val="default"/>
          <w:rFonts w:cs="FrankRuehl" w:hint="cs"/>
          <w:rtl/>
        </w:rPr>
        <w:t>ה לו בנסיבות הענין.</w:t>
      </w:r>
    </w:p>
    <w:p w:rsidR="00D41344" w:rsidRDefault="00D41344">
      <w:pPr>
        <w:pStyle w:val="P00"/>
        <w:spacing w:before="72"/>
        <w:ind w:left="0" w:right="1134"/>
        <w:rPr>
          <w:rStyle w:val="default"/>
          <w:rFonts w:cs="FrankRuehl"/>
          <w:rtl/>
        </w:rPr>
      </w:pPr>
      <w:bookmarkStart w:id="8" w:name="Seif5"/>
      <w:bookmarkEnd w:id="8"/>
      <w:r>
        <w:rPr>
          <w:lang w:val="he-IL"/>
        </w:rPr>
        <w:pict>
          <v:rect id="_x0000_s1031" style="position:absolute;left:0;text-align:left;margin-left:464.5pt;margin-top:8.05pt;width:75.05pt;height:16pt;z-index:251658240" o:allowincell="f" filled="f" stroked="f" strokecolor="lime" strokeweight=".25pt">
            <v:textbox style="mso-next-textbox:#_x0000_s1031" inset="0,0,0,0">
              <w:txbxContent>
                <w:p w:rsidR="00D41344" w:rsidRDefault="00D41344" w:rsidP="008C09E2">
                  <w:pPr>
                    <w:spacing w:line="160" w:lineRule="exact"/>
                    <w:jc w:val="left"/>
                    <w:rPr>
                      <w:rFonts w:cs="Miriam"/>
                      <w:noProof/>
                      <w:sz w:val="18"/>
                      <w:szCs w:val="18"/>
                      <w:rtl/>
                    </w:rPr>
                  </w:pPr>
                  <w:r>
                    <w:rPr>
                      <w:rFonts w:cs="Miriam"/>
                      <w:sz w:val="18"/>
                      <w:szCs w:val="18"/>
                      <w:rtl/>
                    </w:rPr>
                    <w:t>סד</w:t>
                  </w:r>
                  <w:r>
                    <w:rPr>
                      <w:rFonts w:cs="Miriam" w:hint="cs"/>
                      <w:sz w:val="18"/>
                      <w:szCs w:val="18"/>
                      <w:rtl/>
                    </w:rPr>
                    <w:t>ר דין</w:t>
                  </w:r>
                  <w:r w:rsidR="008C09E2">
                    <w:rPr>
                      <w:rFonts w:cs="Miriam" w:hint="cs"/>
                      <w:sz w:val="18"/>
                      <w:szCs w:val="18"/>
                      <w:rtl/>
                    </w:rPr>
                    <w:t xml:space="preserve"> </w:t>
                  </w:r>
                  <w:r>
                    <w:rPr>
                      <w:rFonts w:cs="Miriam"/>
                      <w:sz w:val="18"/>
                      <w:szCs w:val="18"/>
                      <w:rtl/>
                    </w:rPr>
                    <w:t>בא</w:t>
                  </w:r>
                  <w:r>
                    <w:rPr>
                      <w:rFonts w:cs="Miriam" w:hint="cs"/>
                      <w:sz w:val="18"/>
                      <w:szCs w:val="18"/>
                      <w:rtl/>
                    </w:rPr>
                    <w:t>ין הוראות</w:t>
                  </w:r>
                </w:p>
              </w:txbxContent>
            </v:textbox>
            <w10:anchorlock/>
          </v:rect>
        </w:pict>
      </w:r>
      <w:r>
        <w:rPr>
          <w:rStyle w:val="big-number"/>
          <w:rFonts w:cs="Miriam"/>
          <w:rtl/>
        </w:rPr>
        <w:t>6.</w:t>
      </w:r>
      <w:r>
        <w:rPr>
          <w:rStyle w:val="big-number"/>
          <w:rFonts w:cs="Miriam"/>
          <w:rtl/>
        </w:rPr>
        <w:tab/>
      </w:r>
      <w:r>
        <w:rPr>
          <w:rStyle w:val="default"/>
          <w:rFonts w:cs="FrankRuehl"/>
          <w:rtl/>
        </w:rPr>
        <w:t>בכ</w:t>
      </w:r>
      <w:r>
        <w:rPr>
          <w:rStyle w:val="default"/>
          <w:rFonts w:cs="FrankRuehl" w:hint="cs"/>
          <w:rtl/>
        </w:rPr>
        <w:t>ל ענין של סדר דין שלא נקבע בתקנות אלה, ידון בית המשפט בדרך הנראית לו מועילה ביותר להכרעה צודקת ומהירה.</w:t>
      </w:r>
    </w:p>
    <w:p w:rsidR="00D41344" w:rsidRDefault="00D41344" w:rsidP="0042222C">
      <w:pPr>
        <w:pStyle w:val="P00"/>
        <w:spacing w:before="72"/>
        <w:ind w:left="0" w:right="1134"/>
        <w:rPr>
          <w:rStyle w:val="default"/>
          <w:rFonts w:cs="FrankRuehl"/>
          <w:rtl/>
        </w:rPr>
      </w:pPr>
      <w:bookmarkStart w:id="9" w:name="Seif6"/>
      <w:bookmarkEnd w:id="9"/>
      <w:r>
        <w:rPr>
          <w:lang w:val="he-IL"/>
        </w:rPr>
        <w:pict>
          <v:rect id="_x0000_s1032" style="position:absolute;left:0;text-align:left;margin-left:464.5pt;margin-top:8.05pt;width:75.05pt;height:24.4pt;z-index:251659264" o:allowincell="f" filled="f" stroked="f" strokecolor="lime" strokeweight=".25pt">
            <v:textbox inset="0,0,0,0">
              <w:txbxContent>
                <w:p w:rsidR="00D41344" w:rsidRDefault="00D41344">
                  <w:pPr>
                    <w:spacing w:line="160" w:lineRule="exact"/>
                    <w:jc w:val="left"/>
                    <w:rPr>
                      <w:rFonts w:cs="Miriam"/>
                      <w:noProof/>
                      <w:sz w:val="18"/>
                      <w:szCs w:val="18"/>
                      <w:rtl/>
                    </w:rPr>
                  </w:pPr>
                  <w:r>
                    <w:rPr>
                      <w:rFonts w:cs="Miriam"/>
                      <w:sz w:val="18"/>
                      <w:szCs w:val="18"/>
                      <w:rtl/>
                    </w:rPr>
                    <w:t>רש</w:t>
                  </w:r>
                  <w:r>
                    <w:rPr>
                      <w:rFonts w:cs="Miriam" w:hint="cs"/>
                      <w:sz w:val="18"/>
                      <w:szCs w:val="18"/>
                      <w:rtl/>
                    </w:rPr>
                    <w:t>ות ערעור וערעור</w:t>
                  </w:r>
                </w:p>
                <w:p w:rsidR="00D41344" w:rsidRDefault="00D41344" w:rsidP="008C09E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תשנ"ז</w:t>
                  </w:r>
                  <w:r w:rsidR="008C09E2">
                    <w:rPr>
                      <w:rFonts w:cs="Miriam" w:hint="cs"/>
                      <w:sz w:val="18"/>
                      <w:szCs w:val="18"/>
                      <w:rtl/>
                    </w:rPr>
                    <w:t>-</w:t>
                  </w:r>
                  <w:r>
                    <w:rPr>
                      <w:rFonts w:cs="Miriam"/>
                      <w:sz w:val="18"/>
                      <w:szCs w:val="18"/>
                      <w:rtl/>
                    </w:rPr>
                    <w:t>1997</w:t>
                  </w:r>
                </w:p>
                <w:p w:rsidR="0042222C" w:rsidRDefault="0042222C" w:rsidP="008C09E2">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קשת רשות לערער על החלטת בית המשפט תוגש לבית המשפט העליון תוך </w:t>
      </w:r>
      <w:r w:rsidR="0042222C">
        <w:rPr>
          <w:rStyle w:val="default"/>
          <w:rFonts w:cs="FrankRuehl" w:hint="cs"/>
          <w:rtl/>
        </w:rPr>
        <w:lastRenderedPageBreak/>
        <w:t xml:space="preserve">שלושים </w:t>
      </w:r>
      <w:r>
        <w:rPr>
          <w:rStyle w:val="default"/>
          <w:rFonts w:cs="FrankRuehl" w:hint="cs"/>
          <w:rtl/>
        </w:rPr>
        <w:t>ימים מיום ההחלטה אם ניתנה בפני העותר, או מהיום שהומצאה לו ההחלטה אם ניתנה שלא בפניו.</w:t>
      </w:r>
    </w:p>
    <w:p w:rsidR="00D41344" w:rsidRDefault="00D4134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תוגש בכתב, במספר עותק</w:t>
      </w:r>
      <w:r>
        <w:rPr>
          <w:rStyle w:val="default"/>
          <w:rFonts w:cs="FrankRuehl"/>
          <w:rtl/>
        </w:rPr>
        <w:t>ים</w:t>
      </w:r>
      <w:r>
        <w:rPr>
          <w:rStyle w:val="default"/>
          <w:rFonts w:cs="FrankRuehl" w:hint="cs"/>
          <w:rtl/>
        </w:rPr>
        <w:t xml:space="preserve"> כאמור בתקנה 2(א) ויפורטו בה הנימוקים שעליהם היא מתבססת.</w:t>
      </w:r>
    </w:p>
    <w:p w:rsidR="00D41344" w:rsidRDefault="00D4134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הבקשה לבית המשפט העליון, רשאי הוא לדון בה כאילו ניתנה הרשות והוגש הערעור.</w:t>
      </w:r>
    </w:p>
    <w:p w:rsidR="00D41344" w:rsidRDefault="00D4134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ית המשפט העליון רשא</w:t>
      </w:r>
      <w:r>
        <w:rPr>
          <w:rStyle w:val="default"/>
          <w:rFonts w:cs="FrankRuehl"/>
          <w:rtl/>
        </w:rPr>
        <w:t>י</w:t>
      </w:r>
      <w:r>
        <w:rPr>
          <w:rStyle w:val="default"/>
          <w:rFonts w:cs="FrankRuehl" w:hint="cs"/>
          <w:rtl/>
        </w:rPr>
        <w:t xml:space="preserve"> להחליט בערעור על פי סיכומים בכתב גם בלא טענות שבעל פה.</w:t>
      </w:r>
    </w:p>
    <w:p w:rsidR="00262D5F" w:rsidRPr="0042222C" w:rsidRDefault="00262D5F" w:rsidP="00262D5F">
      <w:pPr>
        <w:pStyle w:val="P00"/>
        <w:tabs>
          <w:tab w:val="clear" w:pos="6259"/>
        </w:tabs>
        <w:spacing w:before="0"/>
        <w:ind w:left="0" w:right="1134"/>
        <w:rPr>
          <w:rFonts w:cs="FrankRuehl" w:hint="cs"/>
          <w:vanish/>
          <w:szCs w:val="20"/>
          <w:shd w:val="clear" w:color="auto" w:fill="FFFF99"/>
          <w:rtl/>
        </w:rPr>
      </w:pPr>
      <w:bookmarkStart w:id="10" w:name="Rov13"/>
      <w:r w:rsidRPr="0042222C">
        <w:rPr>
          <w:rFonts w:cs="FrankRuehl" w:hint="cs"/>
          <w:vanish/>
          <w:color w:val="FF0000"/>
          <w:szCs w:val="20"/>
          <w:shd w:val="clear" w:color="auto" w:fill="FFFF99"/>
          <w:rtl/>
        </w:rPr>
        <w:t>מיום 1.7.1997</w:t>
      </w:r>
    </w:p>
    <w:p w:rsidR="00262D5F" w:rsidRPr="0042222C" w:rsidRDefault="00262D5F" w:rsidP="00262D5F">
      <w:pPr>
        <w:pStyle w:val="P00"/>
        <w:spacing w:before="0"/>
        <w:ind w:left="0" w:right="1134"/>
        <w:rPr>
          <w:rFonts w:cs="FrankRuehl" w:hint="cs"/>
          <w:b/>
          <w:bCs/>
          <w:vanish/>
          <w:szCs w:val="20"/>
          <w:shd w:val="clear" w:color="auto" w:fill="FFFF99"/>
          <w:rtl/>
        </w:rPr>
      </w:pPr>
      <w:r w:rsidRPr="0042222C">
        <w:rPr>
          <w:rFonts w:cs="FrankRuehl" w:hint="cs"/>
          <w:b/>
          <w:bCs/>
          <w:vanish/>
          <w:szCs w:val="20"/>
          <w:shd w:val="clear" w:color="auto" w:fill="FFFF99"/>
          <w:rtl/>
        </w:rPr>
        <w:t>תק' תשנ"ז-1997</w:t>
      </w:r>
    </w:p>
    <w:p w:rsidR="00262D5F" w:rsidRPr="0042222C" w:rsidRDefault="00262D5F" w:rsidP="00262D5F">
      <w:pPr>
        <w:pStyle w:val="P00"/>
        <w:spacing w:before="0"/>
        <w:ind w:left="0" w:right="1134"/>
        <w:rPr>
          <w:rFonts w:cs="FrankRuehl" w:hint="cs"/>
          <w:vanish/>
          <w:szCs w:val="20"/>
          <w:shd w:val="clear" w:color="auto" w:fill="FFFF99"/>
          <w:rtl/>
        </w:rPr>
      </w:pPr>
      <w:hyperlink r:id="rId9" w:history="1">
        <w:r w:rsidRPr="0042222C">
          <w:rPr>
            <w:rStyle w:val="Hyperlink"/>
            <w:rFonts w:cs="FrankRuehl" w:hint="cs"/>
            <w:vanish/>
            <w:szCs w:val="20"/>
            <w:shd w:val="clear" w:color="auto" w:fill="FFFF99"/>
            <w:rtl/>
          </w:rPr>
          <w:t>ק"ת תשנ"ז מס' 5838</w:t>
        </w:r>
      </w:hyperlink>
      <w:r w:rsidRPr="0042222C">
        <w:rPr>
          <w:rFonts w:cs="FrankRuehl" w:hint="cs"/>
          <w:vanish/>
          <w:szCs w:val="20"/>
          <w:shd w:val="clear" w:color="auto" w:fill="FFFF99"/>
          <w:rtl/>
        </w:rPr>
        <w:t xml:space="preserve"> מיום 1.7.1997 עמ' 894</w:t>
      </w:r>
    </w:p>
    <w:p w:rsidR="0042222C" w:rsidRPr="0042222C" w:rsidRDefault="0042222C" w:rsidP="0042222C">
      <w:pPr>
        <w:pStyle w:val="P00"/>
        <w:ind w:left="0" w:right="1134"/>
        <w:rPr>
          <w:rStyle w:val="default"/>
          <w:rFonts w:cs="FrankRuehl" w:hint="cs"/>
          <w:vanish/>
          <w:sz w:val="22"/>
          <w:szCs w:val="22"/>
          <w:shd w:val="clear" w:color="auto" w:fill="FFFF99"/>
          <w:rtl/>
        </w:rPr>
      </w:pPr>
      <w:r w:rsidRPr="0042222C">
        <w:rPr>
          <w:rStyle w:val="big-number"/>
          <w:rFonts w:cs="FrankRuehl"/>
          <w:vanish/>
          <w:sz w:val="22"/>
          <w:szCs w:val="22"/>
          <w:shd w:val="clear" w:color="auto" w:fill="FFFF99"/>
          <w:rtl/>
        </w:rPr>
        <w:tab/>
      </w:r>
      <w:r w:rsidRPr="0042222C">
        <w:rPr>
          <w:rStyle w:val="default"/>
          <w:rFonts w:cs="FrankRuehl"/>
          <w:vanish/>
          <w:sz w:val="22"/>
          <w:szCs w:val="22"/>
          <w:shd w:val="clear" w:color="auto" w:fill="FFFF99"/>
          <w:rtl/>
        </w:rPr>
        <w:t>(א</w:t>
      </w:r>
      <w:r w:rsidRPr="0042222C">
        <w:rPr>
          <w:rStyle w:val="default"/>
          <w:rFonts w:cs="FrankRuehl" w:hint="cs"/>
          <w:vanish/>
          <w:sz w:val="22"/>
          <w:szCs w:val="22"/>
          <w:shd w:val="clear" w:color="auto" w:fill="FFFF99"/>
          <w:rtl/>
        </w:rPr>
        <w:t>)</w:t>
      </w:r>
      <w:r w:rsidRPr="0042222C">
        <w:rPr>
          <w:rStyle w:val="default"/>
          <w:rFonts w:cs="FrankRuehl"/>
          <w:vanish/>
          <w:sz w:val="22"/>
          <w:szCs w:val="22"/>
          <w:shd w:val="clear" w:color="auto" w:fill="FFFF99"/>
          <w:rtl/>
        </w:rPr>
        <w:tab/>
        <w:t>ב</w:t>
      </w:r>
      <w:r w:rsidRPr="0042222C">
        <w:rPr>
          <w:rStyle w:val="default"/>
          <w:rFonts w:cs="FrankRuehl" w:hint="cs"/>
          <w:vanish/>
          <w:sz w:val="22"/>
          <w:szCs w:val="22"/>
          <w:shd w:val="clear" w:color="auto" w:fill="FFFF99"/>
          <w:rtl/>
        </w:rPr>
        <w:t xml:space="preserve">קשת רשות לערער על החלטת בית המשפט תוגש לבית המשפט העליון תוך </w:t>
      </w:r>
      <w:r w:rsidRPr="0042222C">
        <w:rPr>
          <w:rStyle w:val="default"/>
          <w:rFonts w:cs="FrankRuehl" w:hint="cs"/>
          <w:strike/>
          <w:vanish/>
          <w:sz w:val="22"/>
          <w:szCs w:val="22"/>
          <w:shd w:val="clear" w:color="auto" w:fill="FFFF99"/>
          <w:rtl/>
        </w:rPr>
        <w:t>עשרה ימים</w:t>
      </w:r>
      <w:r w:rsidRPr="0042222C">
        <w:rPr>
          <w:rStyle w:val="default"/>
          <w:rFonts w:cs="FrankRuehl" w:hint="cs"/>
          <w:vanish/>
          <w:sz w:val="22"/>
          <w:szCs w:val="22"/>
          <w:shd w:val="clear" w:color="auto" w:fill="FFFF99"/>
          <w:rtl/>
        </w:rPr>
        <w:t xml:space="preserve"> </w:t>
      </w:r>
      <w:r w:rsidRPr="0042222C">
        <w:rPr>
          <w:rStyle w:val="default"/>
          <w:rFonts w:cs="FrankRuehl" w:hint="cs"/>
          <w:vanish/>
          <w:sz w:val="22"/>
          <w:szCs w:val="22"/>
          <w:u w:val="single"/>
          <w:shd w:val="clear" w:color="auto" w:fill="FFFF99"/>
          <w:rtl/>
        </w:rPr>
        <w:t>חמישה עשר ימים</w:t>
      </w:r>
      <w:r w:rsidRPr="0042222C">
        <w:rPr>
          <w:rStyle w:val="default"/>
          <w:rFonts w:cs="FrankRuehl" w:hint="cs"/>
          <w:vanish/>
          <w:sz w:val="22"/>
          <w:szCs w:val="22"/>
          <w:shd w:val="clear" w:color="auto" w:fill="FFFF99"/>
          <w:rtl/>
        </w:rPr>
        <w:t xml:space="preserve"> מיום ההחלטה אם ניתנה בפני העותר, או מהיום שהומצאה לו ההחלטה אם ניתנה שלא בפניו.</w:t>
      </w:r>
    </w:p>
    <w:p w:rsidR="0042222C" w:rsidRPr="0042222C" w:rsidRDefault="0042222C" w:rsidP="00262D5F">
      <w:pPr>
        <w:pStyle w:val="P00"/>
        <w:spacing w:before="0"/>
        <w:ind w:left="0" w:right="1134"/>
        <w:rPr>
          <w:rFonts w:cs="FrankRuehl" w:hint="cs"/>
          <w:vanish/>
          <w:szCs w:val="20"/>
          <w:shd w:val="clear" w:color="auto" w:fill="FFFF99"/>
          <w:rtl/>
        </w:rPr>
      </w:pPr>
    </w:p>
    <w:p w:rsidR="0042222C" w:rsidRPr="0042222C" w:rsidRDefault="0042222C" w:rsidP="00262D5F">
      <w:pPr>
        <w:pStyle w:val="P00"/>
        <w:spacing w:before="0"/>
        <w:ind w:left="0" w:right="1134"/>
        <w:rPr>
          <w:rFonts w:cs="FrankRuehl" w:hint="cs"/>
          <w:vanish/>
          <w:color w:val="FF0000"/>
          <w:szCs w:val="20"/>
          <w:shd w:val="clear" w:color="auto" w:fill="FFFF99"/>
          <w:rtl/>
        </w:rPr>
      </w:pPr>
      <w:r w:rsidRPr="0042222C">
        <w:rPr>
          <w:rFonts w:cs="FrankRuehl" w:hint="cs"/>
          <w:vanish/>
          <w:color w:val="FF0000"/>
          <w:szCs w:val="20"/>
          <w:shd w:val="clear" w:color="auto" w:fill="FFFF99"/>
          <w:rtl/>
        </w:rPr>
        <w:t>מיום 5.5.2017</w:t>
      </w:r>
    </w:p>
    <w:p w:rsidR="0042222C" w:rsidRPr="0042222C" w:rsidRDefault="0042222C" w:rsidP="00262D5F">
      <w:pPr>
        <w:pStyle w:val="P00"/>
        <w:spacing w:before="0"/>
        <w:ind w:left="0" w:right="1134"/>
        <w:rPr>
          <w:rFonts w:cs="FrankRuehl" w:hint="cs"/>
          <w:vanish/>
          <w:szCs w:val="20"/>
          <w:shd w:val="clear" w:color="auto" w:fill="FFFF99"/>
          <w:rtl/>
        </w:rPr>
      </w:pPr>
      <w:r w:rsidRPr="0042222C">
        <w:rPr>
          <w:rFonts w:cs="FrankRuehl" w:hint="cs"/>
          <w:b/>
          <w:bCs/>
          <w:vanish/>
          <w:szCs w:val="20"/>
          <w:shd w:val="clear" w:color="auto" w:fill="FFFF99"/>
          <w:rtl/>
        </w:rPr>
        <w:t>תק' תשע"ז-2017</w:t>
      </w:r>
    </w:p>
    <w:p w:rsidR="0042222C" w:rsidRPr="0042222C" w:rsidRDefault="0042222C" w:rsidP="00262D5F">
      <w:pPr>
        <w:pStyle w:val="P00"/>
        <w:spacing w:before="0"/>
        <w:ind w:left="0" w:right="1134"/>
        <w:rPr>
          <w:rFonts w:cs="FrankRuehl" w:hint="cs"/>
          <w:vanish/>
          <w:szCs w:val="20"/>
          <w:shd w:val="clear" w:color="auto" w:fill="FFFF99"/>
          <w:rtl/>
        </w:rPr>
      </w:pPr>
      <w:hyperlink r:id="rId10" w:history="1">
        <w:r w:rsidRPr="0042222C">
          <w:rPr>
            <w:rStyle w:val="Hyperlink"/>
            <w:rFonts w:cs="FrankRuehl" w:hint="cs"/>
            <w:vanish/>
            <w:szCs w:val="20"/>
            <w:shd w:val="clear" w:color="auto" w:fill="FFFF99"/>
            <w:rtl/>
          </w:rPr>
          <w:t>ק"ת תשע"ז מס' 7798</w:t>
        </w:r>
      </w:hyperlink>
      <w:r w:rsidRPr="0042222C">
        <w:rPr>
          <w:rFonts w:cs="FrankRuehl" w:hint="cs"/>
          <w:vanish/>
          <w:szCs w:val="20"/>
          <w:shd w:val="clear" w:color="auto" w:fill="FFFF99"/>
          <w:rtl/>
        </w:rPr>
        <w:t xml:space="preserve"> מיום 5.4.2017 עמ' 948</w:t>
      </w:r>
    </w:p>
    <w:p w:rsidR="00262D5F" w:rsidRPr="00262D5F" w:rsidRDefault="00262D5F" w:rsidP="0042222C">
      <w:pPr>
        <w:pStyle w:val="P00"/>
        <w:ind w:left="0" w:right="1134"/>
        <w:rPr>
          <w:rStyle w:val="default"/>
          <w:rFonts w:cs="FrankRuehl"/>
          <w:sz w:val="2"/>
          <w:szCs w:val="2"/>
          <w:rtl/>
        </w:rPr>
      </w:pPr>
      <w:r w:rsidRPr="0042222C">
        <w:rPr>
          <w:rStyle w:val="big-number"/>
          <w:rFonts w:cs="FrankRuehl"/>
          <w:vanish/>
          <w:sz w:val="22"/>
          <w:szCs w:val="22"/>
          <w:shd w:val="clear" w:color="auto" w:fill="FFFF99"/>
          <w:rtl/>
        </w:rPr>
        <w:tab/>
      </w:r>
      <w:r w:rsidRPr="0042222C">
        <w:rPr>
          <w:rStyle w:val="default"/>
          <w:rFonts w:cs="FrankRuehl"/>
          <w:vanish/>
          <w:sz w:val="22"/>
          <w:szCs w:val="22"/>
          <w:shd w:val="clear" w:color="auto" w:fill="FFFF99"/>
          <w:rtl/>
        </w:rPr>
        <w:t>(א</w:t>
      </w:r>
      <w:r w:rsidRPr="0042222C">
        <w:rPr>
          <w:rStyle w:val="default"/>
          <w:rFonts w:cs="FrankRuehl" w:hint="cs"/>
          <w:vanish/>
          <w:sz w:val="22"/>
          <w:szCs w:val="22"/>
          <w:shd w:val="clear" w:color="auto" w:fill="FFFF99"/>
          <w:rtl/>
        </w:rPr>
        <w:t>)</w:t>
      </w:r>
      <w:r w:rsidRPr="0042222C">
        <w:rPr>
          <w:rStyle w:val="default"/>
          <w:rFonts w:cs="FrankRuehl"/>
          <w:vanish/>
          <w:sz w:val="22"/>
          <w:szCs w:val="22"/>
          <w:shd w:val="clear" w:color="auto" w:fill="FFFF99"/>
          <w:rtl/>
        </w:rPr>
        <w:tab/>
        <w:t>ב</w:t>
      </w:r>
      <w:r w:rsidRPr="0042222C">
        <w:rPr>
          <w:rStyle w:val="default"/>
          <w:rFonts w:cs="FrankRuehl" w:hint="cs"/>
          <w:vanish/>
          <w:sz w:val="22"/>
          <w:szCs w:val="22"/>
          <w:shd w:val="clear" w:color="auto" w:fill="FFFF99"/>
          <w:rtl/>
        </w:rPr>
        <w:t xml:space="preserve">קשת רשות לערער על החלטת בית המשפט תוגש לבית המשפט העליון תוך </w:t>
      </w:r>
      <w:r w:rsidR="0042222C" w:rsidRPr="0042222C">
        <w:rPr>
          <w:rStyle w:val="default"/>
          <w:rFonts w:cs="FrankRuehl" w:hint="cs"/>
          <w:strike/>
          <w:vanish/>
          <w:sz w:val="22"/>
          <w:szCs w:val="22"/>
          <w:shd w:val="clear" w:color="auto" w:fill="FFFF99"/>
          <w:rtl/>
        </w:rPr>
        <w:t>חמישה עשר</w:t>
      </w:r>
      <w:r w:rsidR="0042222C" w:rsidRPr="0042222C">
        <w:rPr>
          <w:rStyle w:val="default"/>
          <w:rFonts w:cs="FrankRuehl" w:hint="cs"/>
          <w:vanish/>
          <w:sz w:val="22"/>
          <w:szCs w:val="22"/>
          <w:shd w:val="clear" w:color="auto" w:fill="FFFF99"/>
          <w:rtl/>
        </w:rPr>
        <w:t xml:space="preserve"> </w:t>
      </w:r>
      <w:r w:rsidR="0042222C" w:rsidRPr="0042222C">
        <w:rPr>
          <w:rStyle w:val="default"/>
          <w:rFonts w:cs="FrankRuehl" w:hint="cs"/>
          <w:vanish/>
          <w:sz w:val="22"/>
          <w:szCs w:val="22"/>
          <w:u w:val="single"/>
          <w:shd w:val="clear" w:color="auto" w:fill="FFFF99"/>
          <w:rtl/>
        </w:rPr>
        <w:t>שלושים</w:t>
      </w:r>
      <w:r w:rsidRPr="0042222C">
        <w:rPr>
          <w:rStyle w:val="default"/>
          <w:rFonts w:cs="FrankRuehl" w:hint="cs"/>
          <w:vanish/>
          <w:sz w:val="22"/>
          <w:szCs w:val="22"/>
          <w:shd w:val="clear" w:color="auto" w:fill="FFFF99"/>
          <w:rtl/>
        </w:rPr>
        <w:t xml:space="preserve"> ימים מיום ההחלטה אם ניתנה בפני העותר, או מהיום שהומצאה לו ההחלטה אם ניתנה שלא בפניו.</w:t>
      </w:r>
      <w:bookmarkEnd w:id="10"/>
    </w:p>
    <w:p w:rsidR="00D41344" w:rsidRDefault="00D41344">
      <w:pPr>
        <w:pStyle w:val="P00"/>
        <w:spacing w:before="72"/>
        <w:ind w:left="0" w:right="1134"/>
        <w:rPr>
          <w:rStyle w:val="default"/>
          <w:rFonts w:cs="FrankRuehl" w:hint="cs"/>
          <w:rtl/>
        </w:rPr>
      </w:pPr>
      <w:bookmarkStart w:id="11" w:name="Seif7"/>
      <w:bookmarkEnd w:id="11"/>
      <w:r>
        <w:rPr>
          <w:lang w:val="he-IL"/>
        </w:rPr>
        <w:pict>
          <v:rect id="_x0000_s1033" style="position:absolute;left:0;text-align:left;margin-left:464.5pt;margin-top:8.05pt;width:75.05pt;height:27.6pt;z-index:251660288" o:allowincell="f" filled="f" stroked="f" strokecolor="lime" strokeweight=".25pt">
            <v:textbox inset="0,0,0,0">
              <w:txbxContent>
                <w:p w:rsidR="00D41344" w:rsidRDefault="00D41344" w:rsidP="008C09E2">
                  <w:pPr>
                    <w:spacing w:line="160" w:lineRule="exact"/>
                    <w:jc w:val="left"/>
                    <w:rPr>
                      <w:rFonts w:cs="Miriam"/>
                      <w:noProof/>
                      <w:sz w:val="18"/>
                      <w:szCs w:val="18"/>
                      <w:rtl/>
                    </w:rPr>
                  </w:pPr>
                  <w:r>
                    <w:rPr>
                      <w:rFonts w:cs="Miriam"/>
                      <w:sz w:val="18"/>
                      <w:szCs w:val="18"/>
                      <w:rtl/>
                    </w:rPr>
                    <w:t>תק</w:t>
                  </w:r>
                  <w:r>
                    <w:rPr>
                      <w:rFonts w:cs="Miriam" w:hint="cs"/>
                      <w:sz w:val="18"/>
                      <w:szCs w:val="18"/>
                      <w:rtl/>
                    </w:rPr>
                    <w:t>ופת פגרה</w:t>
                  </w:r>
                  <w:r w:rsidR="008C09E2">
                    <w:rPr>
                      <w:rFonts w:cs="Miriam" w:hint="cs"/>
                      <w:sz w:val="18"/>
                      <w:szCs w:val="18"/>
                      <w:rtl/>
                    </w:rPr>
                    <w:t xml:space="preserve"> </w:t>
                  </w:r>
                  <w:r>
                    <w:rPr>
                      <w:rFonts w:cs="Miriam"/>
                      <w:sz w:val="18"/>
                      <w:szCs w:val="18"/>
                      <w:rtl/>
                    </w:rPr>
                    <w:t>לא</w:t>
                  </w:r>
                  <w:r>
                    <w:rPr>
                      <w:rFonts w:cs="Miriam" w:hint="cs"/>
                      <w:sz w:val="18"/>
                      <w:szCs w:val="18"/>
                      <w:rtl/>
                    </w:rPr>
                    <w:t xml:space="preserve"> תובא במנ</w:t>
                  </w:r>
                  <w:r>
                    <w:rPr>
                      <w:rFonts w:cs="Miriam"/>
                      <w:sz w:val="18"/>
                      <w:szCs w:val="18"/>
                      <w:rtl/>
                    </w:rPr>
                    <w:t>ין</w:t>
                  </w:r>
                </w:p>
                <w:p w:rsidR="00D41344" w:rsidRDefault="00D41344">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sidR="008C09E2">
                    <w:rPr>
                      <w:rFonts w:cs="Miriam" w:hint="cs"/>
                      <w:sz w:val="18"/>
                      <w:szCs w:val="18"/>
                      <w:rtl/>
                    </w:rPr>
                    <w:t>-</w:t>
                  </w:r>
                  <w:r>
                    <w:rPr>
                      <w:rFonts w:cs="Miriam"/>
                      <w:sz w:val="18"/>
                      <w:szCs w:val="18"/>
                      <w:rtl/>
                    </w:rPr>
                    <w:t>1997</w:t>
                  </w:r>
                </w:p>
              </w:txbxContent>
            </v:textbox>
            <w10:anchorlock/>
          </v:rect>
        </w:pict>
      </w:r>
      <w:r>
        <w:rPr>
          <w:rStyle w:val="big-number"/>
          <w:rFonts w:cs="Miriam"/>
          <w:rtl/>
        </w:rPr>
        <w:t>7</w:t>
      </w:r>
      <w:r>
        <w:rPr>
          <w:rStyle w:val="default"/>
          <w:rFonts w:cs="FrankRuehl"/>
          <w:rtl/>
        </w:rPr>
        <w:t>א.</w:t>
      </w:r>
      <w:r>
        <w:rPr>
          <w:rStyle w:val="default"/>
          <w:rFonts w:cs="FrankRuehl"/>
          <w:rtl/>
        </w:rPr>
        <w:tab/>
        <w:t>ת</w:t>
      </w:r>
      <w:r>
        <w:rPr>
          <w:rStyle w:val="default"/>
          <w:rFonts w:cs="FrankRuehl" w:hint="cs"/>
          <w:rtl/>
        </w:rPr>
        <w:t>קופת פגרה של בית המשפט ל</w:t>
      </w:r>
      <w:r>
        <w:rPr>
          <w:rStyle w:val="default"/>
          <w:rFonts w:cs="FrankRuehl"/>
          <w:rtl/>
        </w:rPr>
        <w:t xml:space="preserve">א </w:t>
      </w:r>
      <w:r>
        <w:rPr>
          <w:rStyle w:val="default"/>
          <w:rFonts w:cs="FrankRuehl" w:hint="cs"/>
          <w:rtl/>
        </w:rPr>
        <w:t>תובא במנין הימים שנקבעו בתקנות אלה, או שנקבעו בידי בית המשפט או הרשם, אלא אם כן הורה בית המשפט או הרשם, לפי הענין, הוראה אחרת.</w:t>
      </w:r>
    </w:p>
    <w:p w:rsidR="00262D5F" w:rsidRPr="0042222C" w:rsidRDefault="00262D5F" w:rsidP="00262D5F">
      <w:pPr>
        <w:pStyle w:val="P00"/>
        <w:tabs>
          <w:tab w:val="clear" w:pos="6259"/>
        </w:tabs>
        <w:spacing w:before="0"/>
        <w:ind w:left="0" w:right="1134"/>
        <w:rPr>
          <w:rFonts w:cs="FrankRuehl" w:hint="cs"/>
          <w:vanish/>
          <w:szCs w:val="20"/>
          <w:shd w:val="clear" w:color="auto" w:fill="FFFF99"/>
          <w:rtl/>
        </w:rPr>
      </w:pPr>
      <w:bookmarkStart w:id="12" w:name="Rov14"/>
      <w:r w:rsidRPr="0042222C">
        <w:rPr>
          <w:rFonts w:cs="FrankRuehl" w:hint="cs"/>
          <w:vanish/>
          <w:color w:val="FF0000"/>
          <w:szCs w:val="20"/>
          <w:shd w:val="clear" w:color="auto" w:fill="FFFF99"/>
          <w:rtl/>
        </w:rPr>
        <w:t>מיום 1.7.1997</w:t>
      </w:r>
    </w:p>
    <w:p w:rsidR="00262D5F" w:rsidRPr="0042222C" w:rsidRDefault="00262D5F" w:rsidP="00262D5F">
      <w:pPr>
        <w:pStyle w:val="P00"/>
        <w:spacing w:before="0"/>
        <w:ind w:left="0" w:right="1134"/>
        <w:rPr>
          <w:rFonts w:cs="FrankRuehl" w:hint="cs"/>
          <w:b/>
          <w:bCs/>
          <w:vanish/>
          <w:szCs w:val="20"/>
          <w:shd w:val="clear" w:color="auto" w:fill="FFFF99"/>
          <w:rtl/>
        </w:rPr>
      </w:pPr>
      <w:r w:rsidRPr="0042222C">
        <w:rPr>
          <w:rFonts w:cs="FrankRuehl" w:hint="cs"/>
          <w:b/>
          <w:bCs/>
          <w:vanish/>
          <w:szCs w:val="20"/>
          <w:shd w:val="clear" w:color="auto" w:fill="FFFF99"/>
          <w:rtl/>
        </w:rPr>
        <w:t>תק' תשנ"ז-1997</w:t>
      </w:r>
    </w:p>
    <w:p w:rsidR="00262D5F" w:rsidRPr="0042222C" w:rsidRDefault="00262D5F" w:rsidP="00262D5F">
      <w:pPr>
        <w:pStyle w:val="P00"/>
        <w:spacing w:before="0"/>
        <w:ind w:left="0" w:right="1134"/>
        <w:rPr>
          <w:rFonts w:cs="FrankRuehl" w:hint="cs"/>
          <w:vanish/>
          <w:szCs w:val="20"/>
          <w:shd w:val="clear" w:color="auto" w:fill="FFFF99"/>
          <w:rtl/>
        </w:rPr>
      </w:pPr>
      <w:hyperlink r:id="rId11" w:history="1">
        <w:r w:rsidRPr="0042222C">
          <w:rPr>
            <w:rStyle w:val="Hyperlink"/>
            <w:rFonts w:cs="FrankRuehl" w:hint="cs"/>
            <w:vanish/>
            <w:szCs w:val="20"/>
            <w:shd w:val="clear" w:color="auto" w:fill="FFFF99"/>
            <w:rtl/>
          </w:rPr>
          <w:t>ק"ת תשנ"ז מס' 5838</w:t>
        </w:r>
      </w:hyperlink>
      <w:r w:rsidRPr="0042222C">
        <w:rPr>
          <w:rFonts w:cs="FrankRuehl" w:hint="cs"/>
          <w:vanish/>
          <w:szCs w:val="20"/>
          <w:shd w:val="clear" w:color="auto" w:fill="FFFF99"/>
          <w:rtl/>
        </w:rPr>
        <w:t xml:space="preserve"> מיום 1.7.1997 עמ' 894</w:t>
      </w:r>
    </w:p>
    <w:p w:rsidR="00262D5F" w:rsidRPr="00262D5F" w:rsidRDefault="00262D5F" w:rsidP="00262D5F">
      <w:pPr>
        <w:pStyle w:val="P00"/>
        <w:spacing w:before="0"/>
        <w:ind w:left="0" w:right="1134"/>
        <w:rPr>
          <w:rFonts w:cs="FrankRuehl" w:hint="cs"/>
          <w:b/>
          <w:bCs/>
          <w:sz w:val="2"/>
          <w:szCs w:val="2"/>
          <w:rtl/>
        </w:rPr>
      </w:pPr>
      <w:r w:rsidRPr="0042222C">
        <w:rPr>
          <w:rFonts w:cs="FrankRuehl" w:hint="cs"/>
          <w:b/>
          <w:bCs/>
          <w:vanish/>
          <w:szCs w:val="20"/>
          <w:shd w:val="clear" w:color="auto" w:fill="FFFF99"/>
          <w:rtl/>
        </w:rPr>
        <w:t>הוספת תקנה 7א</w:t>
      </w:r>
      <w:bookmarkEnd w:id="12"/>
    </w:p>
    <w:p w:rsidR="00D41344" w:rsidRDefault="00D41344">
      <w:pPr>
        <w:pStyle w:val="P00"/>
        <w:spacing w:before="72"/>
        <w:ind w:left="0" w:right="1134"/>
        <w:rPr>
          <w:rStyle w:val="default"/>
          <w:rFonts w:cs="FrankRuehl"/>
          <w:rtl/>
        </w:rPr>
      </w:pPr>
      <w:bookmarkStart w:id="13" w:name="Seif8"/>
      <w:bookmarkEnd w:id="13"/>
      <w:r>
        <w:rPr>
          <w:lang w:val="he-IL"/>
        </w:rPr>
        <w:pict>
          <v:rect id="_x0000_s1034" style="position:absolute;left:0;text-align:left;margin-left:464.5pt;margin-top:8.05pt;width:75.05pt;height:16.3pt;z-index:251661312" o:allowincell="f" filled="f" stroked="f" strokecolor="lime" strokeweight=".25pt">
            <v:textbox inset="0,0,0,0">
              <w:txbxContent>
                <w:p w:rsidR="00D41344" w:rsidRDefault="00D41344">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8.</w:t>
      </w:r>
      <w:r>
        <w:rPr>
          <w:rStyle w:val="big-number"/>
          <w:rFonts w:cs="Miriam"/>
          <w:rtl/>
        </w:rPr>
        <w:tab/>
      </w:r>
      <w:r>
        <w:rPr>
          <w:rStyle w:val="default"/>
          <w:rFonts w:cs="FrankRuehl"/>
          <w:rtl/>
        </w:rPr>
        <w:t>תח</w:t>
      </w:r>
      <w:r>
        <w:rPr>
          <w:rStyle w:val="default"/>
          <w:rFonts w:cs="FrankRuehl" w:hint="cs"/>
          <w:rtl/>
        </w:rPr>
        <w:t>ילתן של תקנות אלה ביום כ"ד באלול תש"ם (5 בספטמבר 1980).</w:t>
      </w:r>
    </w:p>
    <w:p w:rsidR="00D41344" w:rsidRDefault="00D41344">
      <w:pPr>
        <w:pStyle w:val="P00"/>
        <w:spacing w:before="72"/>
        <w:ind w:left="0" w:right="1134"/>
        <w:rPr>
          <w:rStyle w:val="default"/>
          <w:rFonts w:cs="FrankRuehl" w:hint="cs"/>
          <w:rtl/>
        </w:rPr>
      </w:pPr>
    </w:p>
    <w:p w:rsidR="008C09E2" w:rsidRDefault="008C09E2">
      <w:pPr>
        <w:pStyle w:val="P00"/>
        <w:spacing w:before="72"/>
        <w:ind w:left="0" w:right="1134"/>
        <w:rPr>
          <w:rStyle w:val="default"/>
          <w:rFonts w:cs="FrankRuehl" w:hint="cs"/>
          <w:rtl/>
        </w:rPr>
      </w:pPr>
    </w:p>
    <w:p w:rsidR="00D41344" w:rsidRDefault="00D41344" w:rsidP="008C09E2">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rtl/>
        </w:rPr>
      </w:pPr>
      <w:r>
        <w:rPr>
          <w:rStyle w:val="default"/>
          <w:rFonts w:cs="FrankRuehl" w:hint="cs"/>
          <w:rtl/>
        </w:rPr>
        <w:t>ו</w:t>
      </w:r>
      <w:r>
        <w:rPr>
          <w:rStyle w:val="default"/>
          <w:rFonts w:cs="FrankRuehl"/>
          <w:rtl/>
        </w:rPr>
        <w:t xml:space="preserve">' </w:t>
      </w:r>
      <w:r>
        <w:rPr>
          <w:rStyle w:val="default"/>
          <w:rFonts w:cs="FrankRuehl" w:hint="cs"/>
          <w:rtl/>
        </w:rPr>
        <w:t>באלול תש"ם (18 באוגוסט 1980)</w:t>
      </w:r>
      <w:r>
        <w:rPr>
          <w:rStyle w:val="default"/>
          <w:rFonts w:cs="FrankRuehl"/>
          <w:rtl/>
        </w:rPr>
        <w:tab/>
        <w:t>מ</w:t>
      </w:r>
      <w:r>
        <w:rPr>
          <w:rStyle w:val="default"/>
          <w:rFonts w:cs="FrankRuehl" w:hint="cs"/>
          <w:rtl/>
        </w:rPr>
        <w:t>שה נסים</w:t>
      </w:r>
    </w:p>
    <w:p w:rsidR="00D41344" w:rsidRDefault="008C09E2" w:rsidP="008C09E2">
      <w:pPr>
        <w:pStyle w:val="sig-1"/>
        <w:widowControl/>
        <w:tabs>
          <w:tab w:val="clear" w:pos="851"/>
          <w:tab w:val="clear" w:pos="2835"/>
          <w:tab w:val="clear" w:pos="4820"/>
          <w:tab w:val="center" w:pos="5103"/>
        </w:tabs>
        <w:ind w:left="0" w:right="1134"/>
        <w:rPr>
          <w:rFonts w:cs="FrankRuehl" w:hint="cs"/>
          <w:sz w:val="22"/>
          <w:rtl/>
        </w:rPr>
      </w:pPr>
      <w:r>
        <w:rPr>
          <w:rFonts w:cs="FrankRuehl"/>
          <w:sz w:val="22"/>
          <w:rtl/>
        </w:rPr>
        <w:tab/>
      </w:r>
      <w:r w:rsidR="00D41344">
        <w:rPr>
          <w:rFonts w:cs="FrankRuehl"/>
          <w:sz w:val="22"/>
          <w:rtl/>
        </w:rPr>
        <w:t>ש</w:t>
      </w:r>
      <w:r w:rsidR="00D41344">
        <w:rPr>
          <w:rFonts w:cs="FrankRuehl" w:hint="cs"/>
          <w:sz w:val="22"/>
          <w:rtl/>
        </w:rPr>
        <w:t>ר המשפטים</w:t>
      </w:r>
    </w:p>
    <w:p w:rsidR="008C09E2" w:rsidRPr="008C09E2" w:rsidRDefault="008C09E2" w:rsidP="008C09E2">
      <w:pPr>
        <w:pStyle w:val="P00"/>
        <w:spacing w:before="72"/>
        <w:ind w:left="0" w:right="1134"/>
        <w:rPr>
          <w:rStyle w:val="default"/>
          <w:rFonts w:cs="FrankRuehl" w:hint="cs"/>
          <w:rtl/>
        </w:rPr>
      </w:pPr>
    </w:p>
    <w:p w:rsidR="008C09E2" w:rsidRPr="008C09E2" w:rsidRDefault="008C09E2" w:rsidP="008C09E2">
      <w:pPr>
        <w:pStyle w:val="P00"/>
        <w:spacing w:before="72"/>
        <w:ind w:left="0" w:right="1134"/>
        <w:rPr>
          <w:rStyle w:val="default"/>
          <w:rFonts w:cs="FrankRuehl"/>
          <w:rtl/>
        </w:rPr>
      </w:pPr>
    </w:p>
    <w:p w:rsidR="00D41344" w:rsidRPr="008C09E2" w:rsidRDefault="00D41344" w:rsidP="008C09E2">
      <w:pPr>
        <w:pStyle w:val="P00"/>
        <w:spacing w:before="72"/>
        <w:ind w:left="0" w:right="1134"/>
        <w:rPr>
          <w:rStyle w:val="default"/>
          <w:rFonts w:cs="FrankRuehl"/>
          <w:rtl/>
        </w:rPr>
      </w:pPr>
      <w:bookmarkStart w:id="14" w:name="LawPartEnd"/>
    </w:p>
    <w:bookmarkEnd w:id="14"/>
    <w:p w:rsidR="00D41344" w:rsidRPr="008C09E2" w:rsidRDefault="00D41344" w:rsidP="008C09E2">
      <w:pPr>
        <w:pStyle w:val="P00"/>
        <w:spacing w:before="72"/>
        <w:ind w:left="0" w:right="1134"/>
        <w:rPr>
          <w:rStyle w:val="default"/>
          <w:rFonts w:cs="FrankRuehl"/>
          <w:rtl/>
        </w:rPr>
      </w:pPr>
    </w:p>
    <w:sectPr w:rsidR="00D41344" w:rsidRPr="008C09E2">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305" w:rsidRDefault="004E1305">
      <w:r>
        <w:separator/>
      </w:r>
    </w:p>
  </w:endnote>
  <w:endnote w:type="continuationSeparator" w:id="0">
    <w:p w:rsidR="004E1305" w:rsidRDefault="004E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344" w:rsidRDefault="00D4134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41344" w:rsidRDefault="00D4134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41344" w:rsidRDefault="00D4134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Z:\000000000000-law\yael\07-12-27\056_009.doc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344" w:rsidRDefault="00D4134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6642">
      <w:rPr>
        <w:rFonts w:hAnsi="FrankRuehl" w:cs="FrankRuehl"/>
        <w:noProof/>
        <w:sz w:val="24"/>
        <w:szCs w:val="24"/>
        <w:rtl/>
      </w:rPr>
      <w:t>3</w:t>
    </w:r>
    <w:r>
      <w:rPr>
        <w:rFonts w:hAnsi="FrankRuehl" w:cs="FrankRuehl"/>
        <w:sz w:val="24"/>
        <w:szCs w:val="24"/>
        <w:rtl/>
      </w:rPr>
      <w:fldChar w:fldCharType="end"/>
    </w:r>
  </w:p>
  <w:p w:rsidR="00D41344" w:rsidRDefault="00D4134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41344" w:rsidRDefault="00D4134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Z:\000000000000-law\yael\07-12-27\056_009.doc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305" w:rsidRDefault="004E1305">
      <w:pPr>
        <w:spacing w:before="60" w:line="240" w:lineRule="auto"/>
        <w:ind w:right="1134"/>
      </w:pPr>
      <w:r>
        <w:separator/>
      </w:r>
    </w:p>
  </w:footnote>
  <w:footnote w:type="continuationSeparator" w:id="0">
    <w:p w:rsidR="004E1305" w:rsidRDefault="004E1305">
      <w:r>
        <w:continuationSeparator/>
      </w:r>
    </w:p>
  </w:footnote>
  <w:footnote w:id="1">
    <w:p w:rsidR="00D41344" w:rsidRDefault="00D413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A32325">
          <w:rPr>
            <w:rStyle w:val="Hyperlink"/>
            <w:rFonts w:cs="FrankRuehl" w:hint="cs"/>
            <w:rtl/>
          </w:rPr>
          <w:t>ק"ת תש"ם מס' 4160</w:t>
        </w:r>
      </w:hyperlink>
      <w:r>
        <w:rPr>
          <w:rFonts w:cs="FrankRuehl" w:hint="cs"/>
          <w:rtl/>
        </w:rPr>
        <w:t xml:space="preserve"> מיום 29.8.1980 עמ' 2322.</w:t>
      </w:r>
    </w:p>
    <w:p w:rsidR="00D41344" w:rsidRDefault="00D413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A32325">
          <w:rPr>
            <w:rStyle w:val="Hyperlink"/>
            <w:rFonts w:cs="FrankRuehl" w:hint="cs"/>
            <w:rtl/>
          </w:rPr>
          <w:t>ק"ת ת</w:t>
        </w:r>
        <w:r w:rsidRPr="00A32325">
          <w:rPr>
            <w:rStyle w:val="Hyperlink"/>
            <w:rFonts w:cs="FrankRuehl" w:hint="cs"/>
            <w:rtl/>
          </w:rPr>
          <w:t>שמ"ו מס' 4889</w:t>
        </w:r>
      </w:hyperlink>
      <w:r>
        <w:rPr>
          <w:rFonts w:cs="FrankRuehl" w:hint="cs"/>
          <w:rtl/>
        </w:rPr>
        <w:t xml:space="preserve"> מיום 31.12.1985 עמ' 346</w:t>
      </w:r>
      <w:r w:rsidR="008C09E2">
        <w:rPr>
          <w:rFonts w:cs="FrankRuehl" w:hint="cs"/>
          <w:rtl/>
        </w:rPr>
        <w:t xml:space="preserve"> </w:t>
      </w:r>
      <w:r w:rsidR="008C09E2">
        <w:rPr>
          <w:rFonts w:cs="FrankRuehl"/>
          <w:rtl/>
        </w:rPr>
        <w:t>–</w:t>
      </w:r>
      <w:r w:rsidR="008C09E2">
        <w:rPr>
          <w:rFonts w:cs="FrankRuehl" w:hint="cs"/>
          <w:rtl/>
        </w:rPr>
        <w:t xml:space="preserve"> תק' תשמ"ו-1985</w:t>
      </w:r>
      <w:r>
        <w:rPr>
          <w:rFonts w:cs="FrankRuehl" w:hint="cs"/>
          <w:rtl/>
        </w:rPr>
        <w:t>.</w:t>
      </w:r>
    </w:p>
    <w:p w:rsidR="00D41344" w:rsidRDefault="00A323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D41344" w:rsidRPr="00A32325">
          <w:rPr>
            <w:rStyle w:val="Hyperlink"/>
            <w:rFonts w:cs="FrankRuehl" w:hint="cs"/>
            <w:rtl/>
          </w:rPr>
          <w:t>ק</w:t>
        </w:r>
        <w:r w:rsidR="00D41344" w:rsidRPr="00A32325">
          <w:rPr>
            <w:rStyle w:val="Hyperlink"/>
            <w:rFonts w:cs="FrankRuehl"/>
            <w:rtl/>
          </w:rPr>
          <w:t>"</w:t>
        </w:r>
        <w:r w:rsidR="00D41344" w:rsidRPr="00A32325">
          <w:rPr>
            <w:rStyle w:val="Hyperlink"/>
            <w:rFonts w:cs="FrankRuehl" w:hint="cs"/>
            <w:rtl/>
          </w:rPr>
          <w:t>ת תשנ"</w:t>
        </w:r>
        <w:r w:rsidR="00D41344" w:rsidRPr="00A32325">
          <w:rPr>
            <w:rStyle w:val="Hyperlink"/>
            <w:rFonts w:cs="FrankRuehl"/>
            <w:rtl/>
          </w:rPr>
          <w:t xml:space="preserve">ז </w:t>
        </w:r>
        <w:r w:rsidR="00D41344" w:rsidRPr="00A32325">
          <w:rPr>
            <w:rStyle w:val="Hyperlink"/>
            <w:rFonts w:cs="FrankRuehl" w:hint="cs"/>
            <w:rtl/>
          </w:rPr>
          <w:t>מ</w:t>
        </w:r>
        <w:r w:rsidR="00D41344" w:rsidRPr="00A32325">
          <w:rPr>
            <w:rStyle w:val="Hyperlink"/>
            <w:rFonts w:cs="FrankRuehl" w:hint="cs"/>
            <w:rtl/>
          </w:rPr>
          <w:t>ס' 5838</w:t>
        </w:r>
      </w:hyperlink>
      <w:r w:rsidR="00D41344">
        <w:rPr>
          <w:rFonts w:cs="FrankRuehl" w:hint="cs"/>
          <w:rtl/>
        </w:rPr>
        <w:t xml:space="preserve"> מיום 1.7.1997 עמ' 894</w:t>
      </w:r>
      <w:r w:rsidR="008C09E2">
        <w:rPr>
          <w:rFonts w:cs="FrankRuehl" w:hint="cs"/>
          <w:rtl/>
        </w:rPr>
        <w:t xml:space="preserve"> </w:t>
      </w:r>
      <w:r w:rsidR="008C09E2">
        <w:rPr>
          <w:rFonts w:cs="FrankRuehl"/>
          <w:rtl/>
        </w:rPr>
        <w:t>–</w:t>
      </w:r>
      <w:r w:rsidR="008C09E2">
        <w:rPr>
          <w:rFonts w:cs="FrankRuehl" w:hint="cs"/>
          <w:rtl/>
        </w:rPr>
        <w:t xml:space="preserve"> תק' תשנ"ז-1997</w:t>
      </w:r>
      <w:r w:rsidR="00D41344">
        <w:rPr>
          <w:rFonts w:cs="FrankRuehl" w:hint="cs"/>
          <w:rtl/>
        </w:rPr>
        <w:t>.</w:t>
      </w:r>
    </w:p>
    <w:p w:rsidR="00D41344" w:rsidRDefault="00D413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תשס"ח מס' 6632</w:t>
        </w:r>
      </w:hyperlink>
      <w:r>
        <w:rPr>
          <w:rFonts w:cs="FrankRuehl" w:hint="cs"/>
          <w:rtl/>
        </w:rPr>
        <w:t xml:space="preserve"> מיום 26.12.2007 עמ' 254 </w:t>
      </w:r>
      <w:r>
        <w:rPr>
          <w:rFonts w:cs="FrankRuehl"/>
          <w:rtl/>
        </w:rPr>
        <w:t>–</w:t>
      </w:r>
      <w:r>
        <w:rPr>
          <w:rFonts w:cs="FrankRuehl" w:hint="cs"/>
          <w:rtl/>
        </w:rPr>
        <w:t xml:space="preserve"> תק' תשס"ח-2007.</w:t>
      </w:r>
    </w:p>
    <w:p w:rsidR="00C96642" w:rsidRDefault="00C96642" w:rsidP="00C966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1852E6" w:rsidRPr="00C96642">
          <w:rPr>
            <w:rStyle w:val="Hyperlink"/>
            <w:rFonts w:cs="FrankRuehl" w:hint="cs"/>
            <w:rtl/>
          </w:rPr>
          <w:t>ק"ת תשע"ו מס' 7717</w:t>
        </w:r>
      </w:hyperlink>
      <w:r w:rsidR="001852E6">
        <w:rPr>
          <w:rFonts w:cs="FrankRuehl" w:hint="cs"/>
          <w:rtl/>
        </w:rPr>
        <w:t xml:space="preserve"> מיום 29.9.2016 עמ' 2306 </w:t>
      </w:r>
      <w:r w:rsidR="001852E6">
        <w:rPr>
          <w:rFonts w:cs="FrankRuehl"/>
          <w:rtl/>
        </w:rPr>
        <w:t>–</w:t>
      </w:r>
      <w:r w:rsidR="001852E6">
        <w:rPr>
          <w:rFonts w:cs="FrankRuehl" w:hint="cs"/>
          <w:rtl/>
        </w:rPr>
        <w:t xml:space="preserve"> תק' תשע"ו-2016.</w:t>
      </w:r>
    </w:p>
    <w:p w:rsidR="00C96642" w:rsidRDefault="00C96642" w:rsidP="00C966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1E5806" w:rsidRPr="00C96642">
          <w:rPr>
            <w:rStyle w:val="Hyperlink"/>
            <w:rFonts w:cs="FrankRuehl" w:hint="cs"/>
            <w:rtl/>
          </w:rPr>
          <w:t>ק"ת תשע"ז מס' 7798</w:t>
        </w:r>
      </w:hyperlink>
      <w:r w:rsidR="001E5806">
        <w:rPr>
          <w:rFonts w:cs="FrankRuehl" w:hint="cs"/>
          <w:rtl/>
        </w:rPr>
        <w:t xml:space="preserve"> מיום 5.4.2017 עמ' 948 </w:t>
      </w:r>
      <w:r w:rsidR="001E5806">
        <w:rPr>
          <w:rFonts w:cs="FrankRuehl"/>
          <w:rtl/>
        </w:rPr>
        <w:t>–</w:t>
      </w:r>
      <w:r w:rsidR="001E5806">
        <w:rPr>
          <w:rFonts w:cs="FrankRuehl" w:hint="cs"/>
          <w:rtl/>
        </w:rPr>
        <w:t xml:space="preserve"> תק' תשע"ז-2017; תחילתן שלושים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344" w:rsidRDefault="00D4134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סדרי דין (עתירות אסירים), תש"ם–1980</w:t>
    </w:r>
  </w:p>
  <w:p w:rsidR="00D41344" w:rsidRDefault="00D4134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1344" w:rsidRDefault="00D4134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1344" w:rsidRDefault="00D4134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סדרי דין (עתירות אסירים), תש"ם</w:t>
    </w:r>
    <w:r>
      <w:rPr>
        <w:rFonts w:hAnsi="FrankRuehl" w:cs="FrankRuehl" w:hint="cs"/>
        <w:color w:val="000000"/>
        <w:sz w:val="28"/>
        <w:szCs w:val="28"/>
        <w:rtl/>
      </w:rPr>
      <w:t>-</w:t>
    </w:r>
    <w:r>
      <w:rPr>
        <w:rFonts w:hAnsi="FrankRuehl" w:cs="FrankRuehl"/>
        <w:color w:val="000000"/>
        <w:sz w:val="28"/>
        <w:szCs w:val="28"/>
        <w:rtl/>
      </w:rPr>
      <w:t>1980</w:t>
    </w:r>
  </w:p>
  <w:p w:rsidR="00D41344" w:rsidRDefault="00D4134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41344" w:rsidRDefault="00D4134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2325"/>
    <w:rsid w:val="001852E6"/>
    <w:rsid w:val="001D40D6"/>
    <w:rsid w:val="001E5806"/>
    <w:rsid w:val="00262D5F"/>
    <w:rsid w:val="003A70E8"/>
    <w:rsid w:val="003D3A07"/>
    <w:rsid w:val="0042222C"/>
    <w:rsid w:val="00452782"/>
    <w:rsid w:val="004E1305"/>
    <w:rsid w:val="007622E5"/>
    <w:rsid w:val="00793F41"/>
    <w:rsid w:val="00820178"/>
    <w:rsid w:val="0085521E"/>
    <w:rsid w:val="008803FB"/>
    <w:rsid w:val="008C09E2"/>
    <w:rsid w:val="00A32325"/>
    <w:rsid w:val="00A61711"/>
    <w:rsid w:val="00A911CA"/>
    <w:rsid w:val="00A914CF"/>
    <w:rsid w:val="00C73206"/>
    <w:rsid w:val="00C96642"/>
    <w:rsid w:val="00D35CFA"/>
    <w:rsid w:val="00D41344"/>
    <w:rsid w:val="00DF6E9E"/>
    <w:rsid w:val="00F05F14"/>
    <w:rsid w:val="00F64BB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ACF1729-FDDE-40F8-BF05-21541467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717.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6632.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889.pdf" TargetMode="External"/><Relationship Id="rId11" Type="http://schemas.openxmlformats.org/officeDocument/2006/relationships/hyperlink" Target="http://www.nevo.co.il/Law_word/law06/TAK-5838.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7798.pdf" TargetMode="External"/><Relationship Id="rId4" Type="http://schemas.openxmlformats.org/officeDocument/2006/relationships/footnotes" Target="footnotes.xml"/><Relationship Id="rId9" Type="http://schemas.openxmlformats.org/officeDocument/2006/relationships/hyperlink" Target="http://www.nevo.co.il/Law_word/law06/TAK-5838.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38.pdf" TargetMode="External"/><Relationship Id="rId2" Type="http://schemas.openxmlformats.org/officeDocument/2006/relationships/hyperlink" Target="http://www.nevo.co.il/Law_word/law06/TAK-4889.pdf" TargetMode="External"/><Relationship Id="rId1" Type="http://schemas.openxmlformats.org/officeDocument/2006/relationships/hyperlink" Target="http://www.nevo.co.il/Law_word/law06/TAK-4160.pdf" TargetMode="External"/><Relationship Id="rId6" Type="http://schemas.openxmlformats.org/officeDocument/2006/relationships/hyperlink" Target="http://www.nevo.co.il/Law_word/law06/tak-7798.pdf" TargetMode="External"/><Relationship Id="rId5" Type="http://schemas.openxmlformats.org/officeDocument/2006/relationships/hyperlink" Target="http://www.nevo.co.il/Law_word/law06/tak-7717.pdf" TargetMode="External"/><Relationship Id="rId4" Type="http://schemas.openxmlformats.org/officeDocument/2006/relationships/hyperlink" Target="http://www.nevo.co.il/Law_word/law06/TAK-66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פרק 56</vt:lpstr>
    </vt:vector>
  </TitlesOfParts>
  <Company/>
  <LinksUpToDate>false</LinksUpToDate>
  <CharactersWithSpaces>5232</CharactersWithSpaces>
  <SharedDoc>false</SharedDoc>
  <HLinks>
    <vt:vector size="126" baseType="variant">
      <vt:variant>
        <vt:i4>8323080</vt:i4>
      </vt:variant>
      <vt:variant>
        <vt:i4>69</vt:i4>
      </vt:variant>
      <vt:variant>
        <vt:i4>0</vt:i4>
      </vt:variant>
      <vt:variant>
        <vt:i4>5</vt:i4>
      </vt:variant>
      <vt:variant>
        <vt:lpwstr>http://www.nevo.co.il/Law_word/law06/TAK-5838.pdf</vt:lpwstr>
      </vt:variant>
      <vt:variant>
        <vt:lpwstr/>
      </vt:variant>
      <vt:variant>
        <vt:i4>7798791</vt:i4>
      </vt:variant>
      <vt:variant>
        <vt:i4>66</vt:i4>
      </vt:variant>
      <vt:variant>
        <vt:i4>0</vt:i4>
      </vt:variant>
      <vt:variant>
        <vt:i4>5</vt:i4>
      </vt:variant>
      <vt:variant>
        <vt:lpwstr>http://www.nevo.co.il/Law_word/law06/tak-7798.pdf</vt:lpwstr>
      </vt:variant>
      <vt:variant>
        <vt:lpwstr/>
      </vt:variant>
      <vt:variant>
        <vt:i4>8323080</vt:i4>
      </vt:variant>
      <vt:variant>
        <vt:i4>63</vt:i4>
      </vt:variant>
      <vt:variant>
        <vt:i4>0</vt:i4>
      </vt:variant>
      <vt:variant>
        <vt:i4>5</vt:i4>
      </vt:variant>
      <vt:variant>
        <vt:lpwstr>http://www.nevo.co.il/Law_word/law06/TAK-5838.pdf</vt:lpwstr>
      </vt:variant>
      <vt:variant>
        <vt:lpwstr/>
      </vt:variant>
      <vt:variant>
        <vt:i4>8323080</vt:i4>
      </vt:variant>
      <vt:variant>
        <vt:i4>60</vt:i4>
      </vt:variant>
      <vt:variant>
        <vt:i4>0</vt:i4>
      </vt:variant>
      <vt:variant>
        <vt:i4>5</vt:i4>
      </vt:variant>
      <vt:variant>
        <vt:lpwstr>http://www.nevo.co.il/Law_word/law06/tak-7717.pdf</vt:lpwstr>
      </vt:variant>
      <vt:variant>
        <vt:lpwstr/>
      </vt:variant>
      <vt:variant>
        <vt:i4>8126476</vt:i4>
      </vt:variant>
      <vt:variant>
        <vt:i4>57</vt:i4>
      </vt:variant>
      <vt:variant>
        <vt:i4>0</vt:i4>
      </vt:variant>
      <vt:variant>
        <vt:i4>5</vt:i4>
      </vt:variant>
      <vt:variant>
        <vt:lpwstr>http://www.nevo.co.il/Law_word/law06/TAK-6632.pdf</vt:lpwstr>
      </vt:variant>
      <vt:variant>
        <vt:lpwstr/>
      </vt:variant>
      <vt:variant>
        <vt:i4>7667721</vt:i4>
      </vt:variant>
      <vt:variant>
        <vt:i4>54</vt:i4>
      </vt:variant>
      <vt:variant>
        <vt:i4>0</vt:i4>
      </vt:variant>
      <vt:variant>
        <vt:i4>5</vt:i4>
      </vt:variant>
      <vt:variant>
        <vt:lpwstr>http://www.nevo.co.il/Law_word/law06/TAK-4889.pdf</vt:lpwstr>
      </vt:variant>
      <vt:variant>
        <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7798791</vt:i4>
      </vt:variant>
      <vt:variant>
        <vt:i4>15</vt:i4>
      </vt:variant>
      <vt:variant>
        <vt:i4>0</vt:i4>
      </vt:variant>
      <vt:variant>
        <vt:i4>5</vt:i4>
      </vt:variant>
      <vt:variant>
        <vt:lpwstr>http://www.nevo.co.il/Law_word/law06/tak-7798.pdf</vt:lpwstr>
      </vt:variant>
      <vt:variant>
        <vt:lpwstr/>
      </vt:variant>
      <vt:variant>
        <vt:i4>8323080</vt:i4>
      </vt:variant>
      <vt:variant>
        <vt:i4>12</vt:i4>
      </vt:variant>
      <vt:variant>
        <vt:i4>0</vt:i4>
      </vt:variant>
      <vt:variant>
        <vt:i4>5</vt:i4>
      </vt:variant>
      <vt:variant>
        <vt:lpwstr>http://www.nevo.co.il/Law_word/law06/tak-7717.pdf</vt:lpwstr>
      </vt:variant>
      <vt:variant>
        <vt:lpwstr/>
      </vt:variant>
      <vt:variant>
        <vt:i4>8126476</vt:i4>
      </vt:variant>
      <vt:variant>
        <vt:i4>9</vt:i4>
      </vt:variant>
      <vt:variant>
        <vt:i4>0</vt:i4>
      </vt:variant>
      <vt:variant>
        <vt:i4>5</vt:i4>
      </vt:variant>
      <vt:variant>
        <vt:lpwstr>http://www.nevo.co.il/Law_word/law06/TAK-6632.pdf</vt:lpwstr>
      </vt:variant>
      <vt:variant>
        <vt:lpwstr/>
      </vt:variant>
      <vt:variant>
        <vt:i4>8323080</vt:i4>
      </vt:variant>
      <vt:variant>
        <vt:i4>6</vt:i4>
      </vt:variant>
      <vt:variant>
        <vt:i4>0</vt:i4>
      </vt:variant>
      <vt:variant>
        <vt:i4>5</vt:i4>
      </vt:variant>
      <vt:variant>
        <vt:lpwstr>http://www.nevo.co.il/Law_word/law06/TAK-5838.pdf</vt:lpwstr>
      </vt:variant>
      <vt:variant>
        <vt:lpwstr/>
      </vt:variant>
      <vt:variant>
        <vt:i4>7667721</vt:i4>
      </vt:variant>
      <vt:variant>
        <vt:i4>3</vt:i4>
      </vt:variant>
      <vt:variant>
        <vt:i4>0</vt:i4>
      </vt:variant>
      <vt:variant>
        <vt:i4>5</vt:i4>
      </vt:variant>
      <vt:variant>
        <vt:lpwstr>http://www.nevo.co.il/Law_word/law06/TAK-4889.pdf</vt:lpwstr>
      </vt:variant>
      <vt:variant>
        <vt:lpwstr/>
      </vt:variant>
      <vt:variant>
        <vt:i4>8060937</vt:i4>
      </vt:variant>
      <vt:variant>
        <vt:i4>0</vt:i4>
      </vt:variant>
      <vt:variant>
        <vt:i4>0</vt:i4>
      </vt:variant>
      <vt:variant>
        <vt:i4>5</vt:i4>
      </vt:variant>
      <vt:variant>
        <vt:lpwstr>http://www.nevo.co.il/Law_word/law06/TAK-4160.pdf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56</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0056</vt:lpwstr>
  </property>
  <property fmtid="{D5CDD505-2E9C-101B-9397-08002B2CF9AE}" pid="3" name="CHNAME">
    <vt:lpwstr>בתי סוהר</vt:lpwstr>
  </property>
  <property fmtid="{D5CDD505-2E9C-101B-9397-08002B2CF9AE}" pid="4" name="LAWNAME">
    <vt:lpwstr>תקנות סדרי דין (עתירות אסירים), תש"ם-1980</vt:lpwstr>
  </property>
  <property fmtid="{D5CDD505-2E9C-101B-9397-08002B2CF9AE}" pid="5" name="LAWNUMBER">
    <vt:lpwstr>0009</vt:lpwstr>
  </property>
  <property fmtid="{D5CDD505-2E9C-101B-9397-08002B2CF9AE}" pid="6" name="TYPE">
    <vt:lpwstr>01</vt:lpwstr>
  </property>
  <property fmtid="{D5CDD505-2E9C-101B-9397-08002B2CF9AE}" pid="7" name="LINKK1">
    <vt:lpwstr>http://www.nevo.co.il/Law_word/law06/TAK-6632.pdf;רשומות – תקנות כלליות#ק"ת תשס"ח מס' 6632#מיום 26.12.2007#עמ' 254#תק' תשס"ח-2007</vt:lpwstr>
  </property>
  <property fmtid="{D5CDD505-2E9C-101B-9397-08002B2CF9AE}" pid="8" name="LINKK2">
    <vt:lpwstr>http://www.nevo.co.il/Law_word/law06/tak-7717.pdf;‎רשומות - תקנות כלליות#ק"ת תשע"ו מס' 7717 ‏‏#מיום 29.9.2016 עמ' 2306 – תק' תשע"ו-2016‏</vt:lpwstr>
  </property>
  <property fmtid="{D5CDD505-2E9C-101B-9397-08002B2CF9AE}" pid="9" name="LINKK3">
    <vt:lpwstr>http://www.nevo.co.il/Law_word/law06/tak-7798.pdf;‎רשומות - תקנות כלליות#ק"ת תשע"ז מס' 7798 ‏‏#מיום 5.4.2017 עמ' 948 – תק' תשע"ז-2017; תחילתן שלושים ימים מיום פרסומן</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בתי המשפט</vt:lpwstr>
  </property>
  <property fmtid="{D5CDD505-2E9C-101B-9397-08002B2CF9AE}" pid="23" name="MEKOR_SAIF1">
    <vt:lpwstr>46X</vt:lpwstr>
  </property>
  <property fmtid="{D5CDD505-2E9C-101B-9397-08002B2CF9AE}" pid="24" name="NOSE11">
    <vt:lpwstr>בתי משפט וסדרי דין</vt:lpwstr>
  </property>
  <property fmtid="{D5CDD505-2E9C-101B-9397-08002B2CF9AE}" pid="25" name="NOSE21">
    <vt:lpwstr>סדר דין פלילי</vt:lpwstr>
  </property>
  <property fmtid="{D5CDD505-2E9C-101B-9397-08002B2CF9AE}" pid="26" name="NOSE31">
    <vt:lpwstr/>
  </property>
  <property fmtid="{D5CDD505-2E9C-101B-9397-08002B2CF9AE}" pid="27" name="NOSE41">
    <vt:lpwstr/>
  </property>
  <property fmtid="{D5CDD505-2E9C-101B-9397-08002B2CF9AE}" pid="28" name="NOSE12">
    <vt:lpwstr>עונשין ומשפט פלילי</vt:lpwstr>
  </property>
  <property fmtid="{D5CDD505-2E9C-101B-9397-08002B2CF9AE}" pid="29" name="NOSE22">
    <vt:lpwstr>ענישה, מאסר ומעצר</vt:lpwstr>
  </property>
  <property fmtid="{D5CDD505-2E9C-101B-9397-08002B2CF9AE}" pid="30" name="NOSE32">
    <vt:lpwstr>עתירות אסירים</vt:lpwstr>
  </property>
  <property fmtid="{D5CDD505-2E9C-101B-9397-08002B2CF9AE}" pid="31" name="NOSE42">
    <vt:lpwstr/>
  </property>
  <property fmtid="{D5CDD505-2E9C-101B-9397-08002B2CF9AE}" pid="32" name="NOSE13">
    <vt:lpwstr>רשויות ומשפט מנהלי</vt:lpwstr>
  </property>
  <property fmtid="{D5CDD505-2E9C-101B-9397-08002B2CF9AE}" pid="33" name="NOSE23">
    <vt:lpwstr>בתי סוהר</vt:lpwstr>
  </property>
  <property fmtid="{D5CDD505-2E9C-101B-9397-08002B2CF9AE}" pid="34" name="NOSE33">
    <vt:lpwstr>כליאה ואסירים</vt:lpwstr>
  </property>
  <property fmtid="{D5CDD505-2E9C-101B-9397-08002B2CF9AE}" pid="35" name="NOSE43">
    <vt:lpwstr>עתירות אסירים</vt:lpwstr>
  </property>
  <property fmtid="{D5CDD505-2E9C-101B-9397-08002B2CF9AE}" pid="36" name="NOSE14">
    <vt:lpwstr>בטחון</vt:lpwstr>
  </property>
  <property fmtid="{D5CDD505-2E9C-101B-9397-08002B2CF9AE}" pid="37" name="NOSE24">
    <vt:lpwstr>בתי סוהר</vt:lpwstr>
  </property>
  <property fmtid="{D5CDD505-2E9C-101B-9397-08002B2CF9AE}" pid="38" name="NOSE34">
    <vt:lpwstr>כליאה ואסירים</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