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457" w:rsidRPr="007C070F" w:rsidRDefault="00BC6457">
      <w:pPr>
        <w:pStyle w:val="big-header"/>
        <w:ind w:left="0" w:right="1134"/>
        <w:rPr>
          <w:rFonts w:hint="cs"/>
          <w:rtl/>
        </w:rPr>
      </w:pPr>
      <w:r w:rsidRPr="007C070F">
        <w:rPr>
          <w:rtl/>
        </w:rPr>
        <w:t>תקנות סדרי הדין (עדות מומחים), תשט"ו</w:t>
      </w:r>
      <w:r w:rsidRPr="007C070F">
        <w:rPr>
          <w:rFonts w:hint="cs"/>
          <w:rtl/>
        </w:rPr>
        <w:t>-</w:t>
      </w:r>
      <w:r w:rsidRPr="007C070F">
        <w:rPr>
          <w:rtl/>
        </w:rPr>
        <w:t>1954</w:t>
      </w:r>
    </w:p>
    <w:p w:rsidR="00667989" w:rsidRDefault="00667989" w:rsidP="00667989">
      <w:pPr>
        <w:keepNext/>
        <w:keepLines/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440" w:after="120" w:line="240" w:lineRule="auto"/>
        <w:ind w:right="1134"/>
        <w:jc w:val="center"/>
        <w:rPr>
          <w:rFonts w:cs="FrankRuehl"/>
          <w:noProof/>
          <w:color w:val="008000"/>
          <w:sz w:val="20"/>
          <w:szCs w:val="32"/>
        </w:rPr>
      </w:pPr>
      <w:r w:rsidRPr="00667989">
        <w:rPr>
          <w:rFonts w:cs="FrankRuehl" w:hint="cs"/>
          <w:noProof/>
          <w:color w:val="008000"/>
          <w:sz w:val="20"/>
          <w:szCs w:val="32"/>
          <w:rtl/>
        </w:rPr>
        <w:t>רבדים בחקיקה</w:t>
      </w:r>
    </w:p>
    <w:p w:rsidR="00034A70" w:rsidRDefault="00034A70" w:rsidP="00034A70">
      <w:pPr>
        <w:spacing w:line="320" w:lineRule="auto"/>
        <w:jc w:val="left"/>
        <w:rPr>
          <w:noProof/>
          <w:rtl/>
        </w:rPr>
      </w:pPr>
    </w:p>
    <w:p w:rsidR="00034A70" w:rsidRDefault="00034A70" w:rsidP="00034A70">
      <w:pPr>
        <w:spacing w:line="320" w:lineRule="auto"/>
        <w:jc w:val="left"/>
        <w:rPr>
          <w:rFonts w:cs="FrankRuehl"/>
          <w:noProof/>
          <w:szCs w:val="26"/>
          <w:rtl/>
        </w:rPr>
      </w:pPr>
      <w:r w:rsidRPr="00034A70">
        <w:rPr>
          <w:rFonts w:cs="Miriam"/>
          <w:noProof/>
          <w:szCs w:val="22"/>
          <w:rtl/>
        </w:rPr>
        <w:t>בתי משפט וסדרי דין</w:t>
      </w:r>
      <w:r w:rsidRPr="00034A70">
        <w:rPr>
          <w:rFonts w:cs="FrankRuehl"/>
          <w:noProof/>
          <w:szCs w:val="26"/>
          <w:rtl/>
        </w:rPr>
        <w:t xml:space="preserve"> – ראיות – עדות – מומחים</w:t>
      </w:r>
    </w:p>
    <w:p w:rsidR="00034A70" w:rsidRDefault="00034A70" w:rsidP="00034A70">
      <w:pPr>
        <w:spacing w:line="320" w:lineRule="auto"/>
        <w:jc w:val="left"/>
        <w:rPr>
          <w:rFonts w:cs="FrankRuehl"/>
          <w:noProof/>
          <w:szCs w:val="26"/>
          <w:rtl/>
        </w:rPr>
      </w:pPr>
      <w:r w:rsidRPr="00034A70">
        <w:rPr>
          <w:rFonts w:cs="Miriam"/>
          <w:noProof/>
          <w:szCs w:val="22"/>
          <w:rtl/>
        </w:rPr>
        <w:t>בתי משפט וסדרי דין</w:t>
      </w:r>
      <w:r w:rsidRPr="00034A70">
        <w:rPr>
          <w:rFonts w:cs="FrankRuehl"/>
          <w:noProof/>
          <w:szCs w:val="26"/>
          <w:rtl/>
        </w:rPr>
        <w:t xml:space="preserve"> – סדר דין פלילי – עדות – מומחים</w:t>
      </w:r>
    </w:p>
    <w:p w:rsidR="002F2620" w:rsidRPr="00034A70" w:rsidRDefault="00034A70" w:rsidP="00034A70">
      <w:pPr>
        <w:spacing w:line="320" w:lineRule="auto"/>
        <w:jc w:val="left"/>
        <w:rPr>
          <w:rFonts w:cs="Miriam"/>
          <w:noProof/>
          <w:szCs w:val="22"/>
          <w:rtl/>
        </w:rPr>
      </w:pPr>
      <w:r w:rsidRPr="00034A70">
        <w:rPr>
          <w:rFonts w:cs="Miriam"/>
          <w:noProof/>
          <w:szCs w:val="22"/>
          <w:rtl/>
        </w:rPr>
        <w:t>בתי משפט וסדרי דין</w:t>
      </w:r>
      <w:r w:rsidRPr="00034A70">
        <w:rPr>
          <w:rFonts w:cs="FrankRuehl"/>
          <w:noProof/>
          <w:szCs w:val="26"/>
          <w:rtl/>
        </w:rPr>
        <w:t xml:space="preserve"> – סדר דין אזרחי – עדות – מומחים</w:t>
      </w:r>
    </w:p>
    <w:p w:rsidR="00BC6457" w:rsidRPr="007C070F" w:rsidRDefault="00BC6457">
      <w:pPr>
        <w:pStyle w:val="big-header"/>
        <w:ind w:left="0" w:right="1134"/>
        <w:rPr>
          <w:rtl/>
        </w:rPr>
      </w:pPr>
      <w:r w:rsidRPr="007C070F"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ללא כותרת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ללא כותרת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ללא כותרת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ללא כותרת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ללא כותרת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ללא כותרת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ללא כותרת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ללא כותרת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דין תביעה בדיון דחוף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דין תביעה בדיון דחוף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חוות דעת במשפטים פליליים שלא על פי כתב אישום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חוות דעת במשפטים פליליים שלא על פי כתב אישום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תעודת רופא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גשת תעודת רופא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A4441" w:rsidRPr="00BA44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BA44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441" w:rsidRPr="00BA4441" w:rsidRDefault="00BA4441" w:rsidP="00BA44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C6457" w:rsidRPr="007C070F" w:rsidRDefault="00BC6457">
      <w:pPr>
        <w:pStyle w:val="big-header"/>
        <w:ind w:left="0" w:right="1134"/>
        <w:rPr>
          <w:rtl/>
        </w:rPr>
      </w:pPr>
    </w:p>
    <w:p w:rsidR="00BC6457" w:rsidRPr="007C070F" w:rsidRDefault="00BC6457" w:rsidP="002F2620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7C070F">
        <w:rPr>
          <w:rtl/>
        </w:rPr>
        <w:br w:type="page"/>
      </w:r>
      <w:r w:rsidRPr="007C070F">
        <w:rPr>
          <w:rtl/>
        </w:rPr>
        <w:lastRenderedPageBreak/>
        <w:t>ת</w:t>
      </w:r>
      <w:r w:rsidRPr="007C070F">
        <w:rPr>
          <w:rFonts w:hint="cs"/>
          <w:rtl/>
        </w:rPr>
        <w:t>קנות סדרי הדין (עדות מומחים), תשט"ו-1954</w:t>
      </w:r>
      <w:r w:rsidR="006C0223">
        <w:rPr>
          <w:rStyle w:val="a6"/>
          <w:rtl/>
        </w:rPr>
        <w:footnoteReference w:customMarkFollows="1" w:id="1"/>
        <w:t>*</w:t>
      </w:r>
    </w:p>
    <w:p w:rsidR="00BC6457" w:rsidRPr="007C070F" w:rsidRDefault="00BC6457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C070F">
        <w:rPr>
          <w:rtl/>
        </w:rPr>
        <w:tab/>
      </w:r>
      <w:r w:rsidRPr="007C070F">
        <w:rPr>
          <w:rStyle w:val="default"/>
          <w:rFonts w:cs="FrankRuehl"/>
          <w:rtl/>
        </w:rPr>
        <w:t>ב</w:t>
      </w:r>
      <w:r w:rsidRPr="007C070F">
        <w:rPr>
          <w:rStyle w:val="default"/>
          <w:rFonts w:cs="FrankRuehl" w:hint="cs"/>
          <w:rtl/>
        </w:rPr>
        <w:t>תוקף סמכותי לפי סעיף 27(ב) לפקודת העדות, ובתוקף שאר</w:t>
      </w:r>
      <w:r w:rsidRPr="007C070F">
        <w:rPr>
          <w:rStyle w:val="default"/>
          <w:rFonts w:cs="FrankRuehl"/>
          <w:rtl/>
        </w:rPr>
        <w:t xml:space="preserve"> </w:t>
      </w:r>
      <w:r w:rsidRPr="007C070F">
        <w:rPr>
          <w:rStyle w:val="default"/>
          <w:rFonts w:cs="FrankRuehl" w:hint="cs"/>
          <w:rtl/>
        </w:rPr>
        <w:t xml:space="preserve">הסמכויות הנתונות לי לפי כל דין, אני מתקין תקנות אלה: </w:t>
      </w:r>
    </w:p>
    <w:p w:rsidR="00BC6457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7C070F">
        <w:rPr>
          <w:lang w:val="he-IL"/>
        </w:rPr>
        <w:pict>
          <v:rect id="_x0000_s1026" style="position:absolute;left:0;text-align:left;margin-left:464.5pt;margin-top:8.05pt;width:75.05pt;height:16.6pt;z-index:251653632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1.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ב</w:t>
      </w:r>
      <w:r w:rsidRPr="007C070F">
        <w:rPr>
          <w:rStyle w:val="default"/>
          <w:rFonts w:cs="FrankRuehl" w:hint="cs"/>
          <w:rtl/>
        </w:rPr>
        <w:t xml:space="preserve">תקנות אלה </w:t>
      </w:r>
      <w:r w:rsidR="005B4D93">
        <w:rPr>
          <w:rStyle w:val="default"/>
          <w:rFonts w:cs="FrankRuehl"/>
          <w:rtl/>
        </w:rPr>
        <w:t>–</w:t>
      </w:r>
    </w:p>
    <w:p w:rsidR="00BC6457" w:rsidRPr="007C070F" w:rsidRDefault="00BC6457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C070F">
        <w:rPr>
          <w:rtl/>
        </w:rPr>
        <w:tab/>
      </w:r>
      <w:r w:rsidRPr="007C070F">
        <w:rPr>
          <w:rStyle w:val="default"/>
          <w:rFonts w:cs="FrankRuehl"/>
          <w:rtl/>
        </w:rPr>
        <w:t>"</w:t>
      </w:r>
      <w:r w:rsidRPr="007C070F">
        <w:rPr>
          <w:rStyle w:val="default"/>
          <w:rFonts w:cs="FrankRuehl" w:hint="cs"/>
          <w:rtl/>
        </w:rPr>
        <w:t xml:space="preserve">חוות דעת" ו-"תעודת רופא" </w:t>
      </w:r>
      <w:r w:rsidR="005B4D93">
        <w:rPr>
          <w:rStyle w:val="default"/>
          <w:rFonts w:cs="FrankRuehl" w:hint="cs"/>
          <w:rtl/>
        </w:rPr>
        <w:t>-</w:t>
      </w:r>
      <w:r w:rsidRPr="007C070F">
        <w:rPr>
          <w:rStyle w:val="default"/>
          <w:rFonts w:cs="FrankRuehl" w:hint="cs"/>
          <w:rtl/>
        </w:rPr>
        <w:t xml:space="preserve"> כמשמעותם בסעיף 25 לפקודת העדות. </w:t>
      </w:r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7C070F">
        <w:rPr>
          <w:lang w:val="he-IL"/>
        </w:rPr>
        <w:pict>
          <v:rect id="_x0000_s1027" style="position:absolute;left:0;text-align:left;margin-left:464.5pt;margin-top:8.05pt;width:75.05pt;height:11.75pt;z-index:251654656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2.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(</w:t>
      </w:r>
      <w:r w:rsidRPr="007C070F">
        <w:rPr>
          <w:rStyle w:val="default"/>
          <w:rFonts w:cs="FrankRuehl" w:hint="cs"/>
          <w:rtl/>
        </w:rPr>
        <w:t xml:space="preserve">בוטלה). 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2" w:name="Rov15"/>
      <w:r w:rsidRPr="005B4D93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30.6.2005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תק' תשס"ה-2005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hyperlink r:id="rId6" w:history="1">
        <w:r w:rsidRPr="005B4D93">
          <w:rPr>
            <w:rStyle w:val="Hyperlink"/>
            <w:rFonts w:cs="FrankRuehl" w:hint="cs"/>
            <w:noProof/>
            <w:vanish/>
            <w:sz w:val="20"/>
            <w:szCs w:val="20"/>
            <w:shd w:val="clear" w:color="auto" w:fill="FFFF99"/>
            <w:rtl/>
          </w:rPr>
          <w:t>ק"ת תשס"ה מס' 6388</w:t>
        </w:r>
      </w:hyperlink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31.5.2005 עמ' 659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ביטול תקנה 2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60"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הנוסח הקודם:</w:t>
      </w:r>
    </w:p>
    <w:p w:rsidR="001C277B" w:rsidRPr="005B4D93" w:rsidRDefault="006559E7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20" w:line="240" w:lineRule="auto"/>
        <w:ind w:right="1134"/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</w:pPr>
      <w:r w:rsidRPr="005B4D93"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  <w:t>הגשת חוות דעת במשפט אזרחי רגיל</w:t>
      </w:r>
    </w:p>
    <w:p w:rsidR="008C45D5" w:rsidRPr="005B4D93" w:rsidRDefault="008C45D5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</w:pP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>2.</w:t>
      </w: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ab/>
      </w:r>
      <w:r w:rsidR="006559E7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(א)</w:t>
      </w:r>
      <w:r w:rsidR="006559E7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חוות דעת תוגש כראיה במשפט אזרחי לא יאוחר מעשרים יום לפני היום שנקבע לשמיעת הראיות.</w:t>
      </w:r>
    </w:p>
    <w:p w:rsidR="006559E7" w:rsidRPr="005B4D93" w:rsidRDefault="006559E7" w:rsidP="008C45D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</w:pPr>
      <w:r w:rsidRPr="005B4D93">
        <w:rPr>
          <w:rStyle w:val="default"/>
          <w:rFonts w:cs="FrankRuehl" w:hint="cs"/>
          <w:noProof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(ב)</w:t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לחוות הדעת יצורפו העתקים כמספר השופטים היושבים בדין וכמספר בעלי הדין היריבים.</w:t>
      </w:r>
    </w:p>
    <w:p w:rsidR="006559E7" w:rsidRPr="005B4D93" w:rsidRDefault="006559E7" w:rsidP="006559E7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</w:pPr>
      <w:r w:rsidRPr="005B4D93">
        <w:rPr>
          <w:rStyle w:val="default"/>
          <w:rFonts w:cs="FrankRuehl" w:hint="cs"/>
          <w:noProof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(ג)</w:t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העתקי חוות הדעת יימסרו לבעלי הדין היריבים לא יאוחר מעשרים יום לפני</w:t>
      </w:r>
      <w:r w:rsidR="00A32292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 xml:space="preserve"> היום שנקבע לשמיעת הראיות.</w:t>
      </w:r>
    </w:p>
    <w:p w:rsidR="00A32292" w:rsidRPr="007C070F" w:rsidRDefault="00A32292" w:rsidP="007C070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/>
          <w:strike/>
          <w:noProof/>
          <w:sz w:val="2"/>
          <w:szCs w:val="2"/>
          <w:rtl/>
        </w:rPr>
      </w:pPr>
      <w:r w:rsidRPr="005B4D93">
        <w:rPr>
          <w:rStyle w:val="default"/>
          <w:rFonts w:cs="FrankRuehl" w:hint="cs"/>
          <w:noProof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(ד)</w:t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סעיף זה לא יחול על בקשות בדרך המרצה ועל משפטים בדיון דחוף.</w:t>
      </w:r>
      <w:bookmarkEnd w:id="2"/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 w:rsidRPr="007C070F">
        <w:rPr>
          <w:lang w:val="he-IL"/>
        </w:rPr>
        <w:pict>
          <v:rect id="_x0000_s1028" style="position:absolute;left:0;text-align:left;margin-left:464.5pt;margin-top:8.05pt;width:75.05pt;height:8.6pt;z-index:251655680" o:allowincell="f" filled="f" stroked="f" strokecolor="lime" strokeweight=".25pt">
            <v:textbox style="mso-next-textbox:#_x0000_s1028"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3.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(</w:t>
      </w:r>
      <w:r w:rsidRPr="007C070F">
        <w:rPr>
          <w:rStyle w:val="default"/>
          <w:rFonts w:cs="FrankRuehl" w:hint="cs"/>
          <w:rtl/>
        </w:rPr>
        <w:t xml:space="preserve">בוטלה). 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4" w:name="Rov14"/>
      <w:r w:rsidRPr="005B4D93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30.6.2005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תק' תשס"ה-2005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hyperlink r:id="rId7" w:history="1">
        <w:r w:rsidRPr="005B4D93">
          <w:rPr>
            <w:rStyle w:val="Hyperlink"/>
            <w:rFonts w:cs="FrankRuehl" w:hint="cs"/>
            <w:noProof/>
            <w:vanish/>
            <w:sz w:val="20"/>
            <w:szCs w:val="20"/>
            <w:shd w:val="clear" w:color="auto" w:fill="FFFF99"/>
            <w:rtl/>
          </w:rPr>
          <w:t>ק"ת תשס"ה מס' 6388</w:t>
        </w:r>
      </w:hyperlink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31.5.2005 עמ' 659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ביטול תקנה 3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60"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הנוסח הקודם:</w:t>
      </w:r>
    </w:p>
    <w:p w:rsidR="001C277B" w:rsidRPr="005B4D93" w:rsidRDefault="00A32292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20" w:line="240" w:lineRule="auto"/>
        <w:ind w:right="1134"/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</w:pPr>
      <w:r w:rsidRPr="005B4D93"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  <w:t>הגשת חוות דעת נוגדת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</w:pP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>3.</w:t>
      </w: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ab/>
      </w:r>
      <w:r w:rsidR="00A32292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(א)</w:t>
      </w:r>
      <w:r w:rsidR="00A32292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 xml:space="preserve">רצה בעל דין, שנמסרה לו חוות דעת כאמור בתקנה 2, להגיש חוות דעת אחרת כראיה במשפט באותו ענין </w:t>
      </w:r>
      <w:r w:rsidR="00A32292" w:rsidRPr="005B4D93">
        <w:rPr>
          <w:rStyle w:val="default"/>
          <w:rFonts w:cs="FrankRuehl"/>
          <w:strike/>
          <w:noProof/>
          <w:vanish/>
          <w:sz w:val="22"/>
          <w:szCs w:val="22"/>
          <w:shd w:val="clear" w:color="auto" w:fill="FFFF99"/>
          <w:rtl/>
        </w:rPr>
        <w:t>–</w:t>
      </w:r>
      <w:r w:rsidR="00A32292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 xml:space="preserve"> יגישנה לבית המשפט תוך עשרה ימים מהיום בו נמסרה לו חוות הדעת הראשונה.</w:t>
      </w:r>
    </w:p>
    <w:p w:rsidR="00A32292" w:rsidRPr="005B4D93" w:rsidRDefault="00A32292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</w:pPr>
      <w:r w:rsidRPr="005B4D93">
        <w:rPr>
          <w:rStyle w:val="default"/>
          <w:rFonts w:cs="FrankRuehl" w:hint="cs"/>
          <w:noProof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(ב)</w:t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לחוות הדעת יצורפו העתקים כמספר השופטים היושבים בדין וכמספר בעלי הדין היריבים.</w:t>
      </w:r>
    </w:p>
    <w:p w:rsidR="00A32292" w:rsidRPr="007C070F" w:rsidRDefault="00A32292" w:rsidP="007C070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/>
          <w:strike/>
          <w:noProof/>
          <w:sz w:val="2"/>
          <w:szCs w:val="2"/>
          <w:rtl/>
        </w:rPr>
      </w:pPr>
      <w:r w:rsidRPr="005B4D93">
        <w:rPr>
          <w:rStyle w:val="default"/>
          <w:rFonts w:cs="FrankRuehl" w:hint="cs"/>
          <w:noProof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(ג)</w:t>
      </w:r>
      <w:r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ab/>
        <w:t>העתקי חוות הדעת יימסרו לבעלי הדין היריבים לא יאוחר מעשרה ימים לפני היום שנקבע לשמיעת הראיות.</w:t>
      </w:r>
      <w:bookmarkEnd w:id="4"/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 w:rsidRPr="007C070F">
        <w:rPr>
          <w:lang w:val="he-IL"/>
        </w:rPr>
        <w:pict>
          <v:rect id="_x0000_s1029" style="position:absolute;left:0;text-align:left;margin-left:464.5pt;margin-top:8.05pt;width:75.05pt;height:12pt;z-index:251656704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4.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 w:hint="cs"/>
          <w:rtl/>
        </w:rPr>
        <w:t xml:space="preserve">(בוטלה). 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6" w:name="Rov13"/>
      <w:r w:rsidRPr="005B4D93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30.6.2005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תק' תשס"ה-2005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hyperlink r:id="rId8" w:history="1">
        <w:r w:rsidRPr="005B4D93">
          <w:rPr>
            <w:rStyle w:val="Hyperlink"/>
            <w:rFonts w:cs="FrankRuehl" w:hint="cs"/>
            <w:noProof/>
            <w:vanish/>
            <w:sz w:val="20"/>
            <w:szCs w:val="20"/>
            <w:shd w:val="clear" w:color="auto" w:fill="FFFF99"/>
            <w:rtl/>
          </w:rPr>
          <w:t>ק"ת תשס"ה מס' 6388</w:t>
        </w:r>
      </w:hyperlink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31.5.2005 עמ' 659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ביטול תקנה 4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60"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הנוסח הקודם:</w:t>
      </w:r>
    </w:p>
    <w:p w:rsidR="001C277B" w:rsidRPr="005B4D93" w:rsidRDefault="00150C75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20" w:line="240" w:lineRule="auto"/>
        <w:ind w:right="1134"/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</w:pPr>
      <w:r w:rsidRPr="005B4D93"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  <w:t>סטיה ברשות בית המשפט</w:t>
      </w:r>
    </w:p>
    <w:p w:rsidR="001C277B" w:rsidRPr="007C070F" w:rsidRDefault="001C277B" w:rsidP="007C070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/>
          <w:strike/>
          <w:noProof/>
          <w:sz w:val="2"/>
          <w:szCs w:val="2"/>
          <w:rtl/>
        </w:rPr>
      </w:pP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>4.</w:t>
      </w: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ab/>
      </w:r>
      <w:r w:rsidR="00150C75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רשאי בית המשפט להרשות סטיה מהוראות התקנות 2 ו-3, אם הוא סבור שהדבר יועיל לעשיית משפט צדק.</w:t>
      </w:r>
      <w:bookmarkEnd w:id="6"/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 w:rsidRPr="007C070F">
        <w:rPr>
          <w:lang w:val="he-IL"/>
        </w:rPr>
        <w:pict>
          <v:rect id="_x0000_s1030" style="position:absolute;left:0;text-align:left;margin-left:464.5pt;margin-top:8.05pt;width:75.05pt;height:14.3pt;z-index:251657728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5.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 w:hint="cs"/>
          <w:rtl/>
        </w:rPr>
        <w:t>(בוטלה).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8" w:name="Rov12"/>
      <w:r w:rsidRPr="005B4D93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30.6.2005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תק' תשס"ה-2005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hyperlink r:id="rId9" w:history="1">
        <w:r w:rsidRPr="005B4D93">
          <w:rPr>
            <w:rStyle w:val="Hyperlink"/>
            <w:rFonts w:cs="FrankRuehl" w:hint="cs"/>
            <w:noProof/>
            <w:vanish/>
            <w:sz w:val="20"/>
            <w:szCs w:val="20"/>
            <w:shd w:val="clear" w:color="auto" w:fill="FFFF99"/>
            <w:rtl/>
          </w:rPr>
          <w:t>ק"ת תשס"ה מס' 6388</w:t>
        </w:r>
      </w:hyperlink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31.5.2005 עמ' 659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ביטול תקנה 5</w:t>
      </w:r>
    </w:p>
    <w:p w:rsidR="001C277B" w:rsidRPr="005B4D93" w:rsidRDefault="001C277B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60"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הנוסח הקודם:</w:t>
      </w:r>
    </w:p>
    <w:p w:rsidR="001C277B" w:rsidRPr="005B4D93" w:rsidRDefault="00150C75" w:rsidP="001C277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before="20" w:line="240" w:lineRule="auto"/>
        <w:ind w:right="1134"/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</w:pPr>
      <w:r w:rsidRPr="005B4D93">
        <w:rPr>
          <w:rFonts w:cs="Miriam" w:hint="cs"/>
          <w:strike/>
          <w:noProof/>
          <w:vanish/>
          <w:sz w:val="16"/>
          <w:szCs w:val="16"/>
          <w:shd w:val="clear" w:color="auto" w:fill="FFFF99"/>
          <w:rtl/>
        </w:rPr>
        <w:t>דין בקשות בדרך המרצה</w:t>
      </w:r>
    </w:p>
    <w:p w:rsidR="001C277B" w:rsidRPr="007C070F" w:rsidRDefault="001C277B" w:rsidP="007C070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Style w:val="default"/>
          <w:rFonts w:cs="FrankRuehl" w:hint="cs"/>
          <w:strike/>
          <w:noProof/>
          <w:sz w:val="2"/>
          <w:szCs w:val="2"/>
          <w:rtl/>
        </w:rPr>
      </w:pP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>5.</w:t>
      </w:r>
      <w:r w:rsidRPr="005B4D93">
        <w:rPr>
          <w:rFonts w:cs="FrankRuehl" w:hint="cs"/>
          <w:strike/>
          <w:noProof/>
          <w:vanish/>
          <w:szCs w:val="22"/>
          <w:shd w:val="clear" w:color="auto" w:fill="FFFF99"/>
          <w:rtl/>
        </w:rPr>
        <w:tab/>
      </w:r>
      <w:r w:rsidR="00150C75" w:rsidRPr="005B4D93">
        <w:rPr>
          <w:rStyle w:val="default"/>
          <w:rFonts w:cs="FrankRuehl" w:hint="cs"/>
          <w:strike/>
          <w:noProof/>
          <w:vanish/>
          <w:sz w:val="22"/>
          <w:szCs w:val="22"/>
          <w:shd w:val="clear" w:color="auto" w:fill="FFFF99"/>
          <w:rtl/>
        </w:rPr>
        <w:t>כל אימת שמותר לצרף הצהרה בשבועה להודעה על בקשה בדרך המרצה או לכתב בקשה אחר, מותר לצרף להם חוות דעת או תעודת רופא.</w:t>
      </w:r>
      <w:bookmarkEnd w:id="8"/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 w:rsidRPr="007C070F">
        <w:rPr>
          <w:lang w:val="he-IL"/>
        </w:rPr>
        <w:pict>
          <v:rect id="_x0000_s1031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BC6457" w:rsidRDefault="00BC6457" w:rsidP="005B4D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ין תביעה</w:t>
                  </w:r>
                  <w:r w:rsidR="005B4D9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דיון-דחוף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6.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מ</w:t>
      </w:r>
      <w:r w:rsidRPr="007C070F">
        <w:rPr>
          <w:rStyle w:val="default"/>
          <w:rFonts w:cs="FrankRuehl" w:hint="cs"/>
          <w:rtl/>
        </w:rPr>
        <w:t xml:space="preserve">ותר לצרף חוות דעת או תעודת רופא לפרשת תביעה בדיון דחוף במשפט אזרחי. </w:t>
      </w:r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7"/>
      <w:bookmarkEnd w:id="10"/>
      <w:r w:rsidRPr="007C070F">
        <w:rPr>
          <w:lang w:val="he-IL"/>
        </w:rPr>
        <w:pict>
          <v:rect id="_x0000_s1032" style="position:absolute;left:0;text-align:left;margin-left:464.5pt;margin-top:8.05pt;width:75.05pt;height:36.3pt;z-index:251659776" o:allowincell="f" filled="f" stroked="f" strokecolor="lime" strokeweight=".25pt">
            <v:textbox inset="0,0,0,0">
              <w:txbxContent>
                <w:p w:rsidR="00BC6457" w:rsidRDefault="00BC6457" w:rsidP="005B4D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וות-דעת במשפטים פליליים שלא על פי</w:t>
                  </w:r>
                  <w:r w:rsidR="005B4D9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תב אישום</w:t>
                  </w:r>
                </w:p>
                <w:p w:rsidR="00BC6457" w:rsidRDefault="00BC64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תשמ"ד</w:t>
                  </w:r>
                  <w:r w:rsidR="005B4D9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7.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ב</w:t>
      </w:r>
      <w:r w:rsidRPr="007C070F">
        <w:rPr>
          <w:rStyle w:val="default"/>
          <w:rFonts w:cs="FrankRuehl" w:hint="cs"/>
          <w:rtl/>
        </w:rPr>
        <w:t>משפט פלילי ובחקירה מוקדמת בפני שופט חוקר תוגש חוות דעת לבית המשפט בעת שמיעת המשפט או החקירה עם העתק ל</w:t>
      </w:r>
      <w:r w:rsidRPr="007C070F">
        <w:rPr>
          <w:rStyle w:val="default"/>
          <w:rFonts w:cs="FrankRuehl"/>
          <w:rtl/>
        </w:rPr>
        <w:t>כ</w:t>
      </w:r>
      <w:r w:rsidR="005B4D93">
        <w:rPr>
          <w:rStyle w:val="default"/>
          <w:rFonts w:cs="FrankRuehl" w:hint="cs"/>
          <w:rtl/>
        </w:rPr>
        <w:t>ל אחד מבעלי הדין היריבים.</w:t>
      </w:r>
    </w:p>
    <w:p w:rsidR="001C468A" w:rsidRPr="005B4D93" w:rsidRDefault="001C468A" w:rsidP="001C468A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bookmarkStart w:id="11" w:name="Rov11"/>
      <w:r w:rsidRPr="005B4D93">
        <w:rPr>
          <w:rFonts w:cs="FrankRuehl" w:hint="cs"/>
          <w:noProof/>
          <w:vanish/>
          <w:color w:val="FF0000"/>
          <w:sz w:val="20"/>
          <w:szCs w:val="20"/>
          <w:shd w:val="clear" w:color="auto" w:fill="FFFF99"/>
          <w:rtl/>
        </w:rPr>
        <w:t>מיום 29.7.1984</w:t>
      </w:r>
    </w:p>
    <w:p w:rsidR="001C468A" w:rsidRPr="005B4D93" w:rsidRDefault="001C468A" w:rsidP="001C468A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line="240" w:lineRule="auto"/>
        <w:ind w:right="1134"/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</w:pPr>
      <w:r w:rsidRPr="005B4D93">
        <w:rPr>
          <w:rFonts w:cs="FrankRuehl" w:hint="cs"/>
          <w:b/>
          <w:bCs/>
          <w:noProof/>
          <w:vanish/>
          <w:sz w:val="20"/>
          <w:szCs w:val="20"/>
          <w:shd w:val="clear" w:color="auto" w:fill="FFFF99"/>
          <w:rtl/>
        </w:rPr>
        <w:t>תק' תשמ"ד-1984</w:t>
      </w:r>
    </w:p>
    <w:p w:rsidR="001C468A" w:rsidRPr="005B4D93" w:rsidRDefault="001C468A" w:rsidP="001C468A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</w:tabs>
        <w:suppressAutoHyphens/>
        <w:spacing w:line="240" w:lineRule="auto"/>
        <w:ind w:right="1134"/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</w:pPr>
      <w:hyperlink r:id="rId10" w:history="1">
        <w:r w:rsidRPr="005B4D93">
          <w:rPr>
            <w:rStyle w:val="Hyperlink"/>
            <w:rFonts w:cs="FrankRuehl" w:hint="cs"/>
            <w:noProof/>
            <w:vanish/>
            <w:sz w:val="20"/>
            <w:szCs w:val="20"/>
            <w:shd w:val="clear" w:color="auto" w:fill="FFFF99"/>
            <w:rtl/>
          </w:rPr>
          <w:t>ק"ת תשמ"ד מס' 4674</w:t>
        </w:r>
      </w:hyperlink>
      <w:r w:rsidRPr="005B4D93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 xml:space="preserve"> מיום 29.7.1984 עמ' 2064</w:t>
      </w:r>
    </w:p>
    <w:p w:rsidR="001C468A" w:rsidRPr="007C070F" w:rsidRDefault="001C468A" w:rsidP="007C070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5B4D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5B4D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4D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5B4D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משפט פלילי ובחקירה מוקדמת בפני שופט חוקר תוגש חוות דעת לבית המשפט בעת שמיעת המשפט או החקירה עם העתק ל</w:t>
      </w:r>
      <w:r w:rsidRPr="005B4D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5B4D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אחד מבעלי הדין היריבים</w:t>
      </w:r>
      <w:r w:rsidRPr="005B4D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; </w:t>
      </w:r>
      <w:r w:rsidR="007C070F" w:rsidRPr="005B4D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אך במשפט פלילי על פי כתב אישום לא תגיש הקטיגוריה חוות דעת שלא הוגשה בחקירה המוקדמת, אלא אם נמסר תחילה העתק ממנה לנאשם</w:t>
      </w:r>
      <w:r w:rsidRPr="005B4D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11"/>
    </w:p>
    <w:p w:rsidR="00BC6457" w:rsidRPr="007C070F" w:rsidRDefault="00BC6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 w:rsidRPr="007C070F">
        <w:rPr>
          <w:lang w:val="he-IL"/>
        </w:rPr>
        <w:pict>
          <v:rect id="_x0000_s1033" style="position:absolute;left:0;text-align:left;margin-left:464.5pt;margin-top:8.05pt;width:75.05pt;height:15.75pt;z-index:251660800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תעודת רופא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8.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ת</w:t>
      </w:r>
      <w:r w:rsidRPr="007C070F">
        <w:rPr>
          <w:rStyle w:val="default"/>
          <w:rFonts w:cs="FrankRuehl" w:hint="cs"/>
          <w:rtl/>
        </w:rPr>
        <w:t xml:space="preserve">עודת רופא מותר להגישה לבית המשפט בשעת שמיעת המשפט, ואין להגיש העתקים ממנה, אלא אם בית המשפט ציווה על כך. </w:t>
      </w:r>
    </w:p>
    <w:p w:rsidR="00BC6457" w:rsidRPr="007C070F" w:rsidRDefault="00BC6457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9"/>
      <w:bookmarkEnd w:id="13"/>
      <w:r w:rsidRPr="007C070F">
        <w:rPr>
          <w:lang w:val="he-IL"/>
        </w:rPr>
        <w:pict>
          <v:rect id="_x0000_s1034" style="position:absolute;left:0;text-align:left;margin-left:464.5pt;margin-top:8.05pt;width:75.05pt;height:16.45pt;z-index:251661824" o:allowincell="f" filled="f" stroked="f" strokecolor="lime" strokeweight=".25pt">
            <v:textbox inset="0,0,0,0">
              <w:txbxContent>
                <w:p w:rsidR="00BC6457" w:rsidRDefault="00BC64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Pr="007C070F">
        <w:rPr>
          <w:rStyle w:val="big-number"/>
          <w:rtl/>
        </w:rPr>
        <w:t>9.</w:t>
      </w:r>
      <w:r w:rsidRPr="007C070F">
        <w:rPr>
          <w:rStyle w:val="big-number"/>
          <w:rtl/>
        </w:rPr>
        <w:tab/>
      </w:r>
      <w:r w:rsidRPr="007C070F">
        <w:rPr>
          <w:rStyle w:val="default"/>
          <w:rFonts w:cs="FrankRuehl"/>
          <w:rtl/>
        </w:rPr>
        <w:t>ל</w:t>
      </w:r>
      <w:r w:rsidRPr="007C070F">
        <w:rPr>
          <w:rStyle w:val="default"/>
          <w:rFonts w:cs="FrankRuehl" w:hint="cs"/>
          <w:rtl/>
        </w:rPr>
        <w:t>תקנות אלה ייקרא "תקנות סדרי הדין (עדות מומחים), תשט"ו</w:t>
      </w:r>
      <w:r w:rsidR="005B4D93">
        <w:rPr>
          <w:rStyle w:val="default"/>
          <w:rFonts w:cs="FrankRuehl" w:hint="cs"/>
          <w:rtl/>
        </w:rPr>
        <w:t>-</w:t>
      </w:r>
      <w:r w:rsidRPr="007C070F">
        <w:rPr>
          <w:rStyle w:val="default"/>
          <w:rFonts w:cs="FrankRuehl" w:hint="cs"/>
          <w:rtl/>
        </w:rPr>
        <w:t xml:space="preserve">1954". </w:t>
      </w:r>
    </w:p>
    <w:p w:rsidR="00BC6457" w:rsidRDefault="00BC6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B4D93" w:rsidRPr="007C070F" w:rsidRDefault="005B4D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6457" w:rsidRPr="007C070F" w:rsidRDefault="00BC6457">
      <w:pPr>
        <w:pStyle w:val="sig-0"/>
        <w:ind w:left="0" w:right="1134"/>
        <w:rPr>
          <w:rtl/>
        </w:rPr>
      </w:pPr>
      <w:r w:rsidRPr="007C070F">
        <w:rPr>
          <w:rtl/>
        </w:rPr>
        <w:t>ט</w:t>
      </w:r>
      <w:r w:rsidRPr="007C070F">
        <w:rPr>
          <w:rFonts w:hint="cs"/>
          <w:rtl/>
        </w:rPr>
        <w:t xml:space="preserve">"ו בחשון תשט"ו (11 בנובמבר 1954) </w:t>
      </w:r>
      <w:r w:rsidRPr="007C070F">
        <w:rPr>
          <w:rtl/>
        </w:rPr>
        <w:tab/>
      </w:r>
      <w:r w:rsidRPr="007C070F">
        <w:rPr>
          <w:rFonts w:hint="cs"/>
          <w:rtl/>
        </w:rPr>
        <w:t>פנחס רוזן</w:t>
      </w:r>
    </w:p>
    <w:p w:rsidR="00BC6457" w:rsidRDefault="00BC6457">
      <w:pPr>
        <w:pStyle w:val="sig-1"/>
        <w:widowControl/>
        <w:ind w:left="0" w:right="1134"/>
        <w:rPr>
          <w:rFonts w:hint="cs"/>
          <w:rtl/>
        </w:rPr>
      </w:pPr>
      <w:r w:rsidRPr="007C070F">
        <w:rPr>
          <w:rtl/>
        </w:rPr>
        <w:tab/>
      </w:r>
      <w:r w:rsidRPr="007C070F">
        <w:rPr>
          <w:rtl/>
        </w:rPr>
        <w:tab/>
      </w:r>
      <w:r w:rsidRPr="007C070F">
        <w:rPr>
          <w:rtl/>
        </w:rPr>
        <w:tab/>
        <w:t>ש</w:t>
      </w:r>
      <w:r w:rsidRPr="007C070F">
        <w:rPr>
          <w:rFonts w:hint="cs"/>
          <w:rtl/>
        </w:rPr>
        <w:t>ר המשפטים</w:t>
      </w:r>
    </w:p>
    <w:p w:rsidR="005B4D93" w:rsidRPr="005B4D93" w:rsidRDefault="005B4D93" w:rsidP="005B4D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B4D93" w:rsidRPr="005B4D93" w:rsidRDefault="005B4D93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6457" w:rsidRPr="005B4D93" w:rsidRDefault="00BC6457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:rsidR="00BC6457" w:rsidRPr="005B4D93" w:rsidRDefault="00BC6457" w:rsidP="005B4D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6457" w:rsidRPr="005B4D9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C1D" w:rsidRDefault="00862C1D">
      <w:pPr>
        <w:spacing w:line="240" w:lineRule="auto"/>
      </w:pPr>
      <w:r>
        <w:separator/>
      </w:r>
    </w:p>
  </w:endnote>
  <w:endnote w:type="continuationSeparator" w:id="0">
    <w:p w:rsidR="00862C1D" w:rsidRDefault="00862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457" w:rsidRDefault="00BC64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C6457" w:rsidRDefault="00BC64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6457" w:rsidRDefault="00BC64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441">
      <w:rPr>
        <w:rFonts w:cs="TopType Jerushalmi"/>
        <w:noProof/>
        <w:color w:val="000000"/>
        <w:sz w:val="14"/>
        <w:szCs w:val="14"/>
      </w:rPr>
      <w:t>Z:\000000000000-law\yael\revadim\09-01-19\055_207.doc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457" w:rsidRDefault="00BC64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4A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C6457" w:rsidRDefault="00BC64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6457" w:rsidRDefault="00BC64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441">
      <w:rPr>
        <w:rFonts w:cs="TopType Jerushalmi"/>
        <w:noProof/>
        <w:color w:val="000000"/>
        <w:sz w:val="14"/>
        <w:szCs w:val="14"/>
      </w:rPr>
      <w:t>Z:\000000000000-law\yael\revadim\09-01-19\055_207.doc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C1D" w:rsidRDefault="00862C1D" w:rsidP="006C022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62C1D" w:rsidRDefault="00862C1D">
      <w:pPr>
        <w:spacing w:line="240" w:lineRule="auto"/>
      </w:pPr>
      <w:r>
        <w:continuationSeparator/>
      </w:r>
    </w:p>
  </w:footnote>
  <w:footnote w:id="1">
    <w:p w:rsidR="006C0223" w:rsidRPr="007C070F" w:rsidRDefault="006C0223" w:rsidP="006C02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C0223">
        <w:rPr>
          <w:sz w:val="20"/>
          <w:rtl/>
        </w:rPr>
        <w:t xml:space="preserve">* </w:t>
      </w:r>
      <w:r w:rsidRPr="007C070F">
        <w:rPr>
          <w:sz w:val="20"/>
          <w:rtl/>
        </w:rPr>
        <w:t>פ</w:t>
      </w:r>
      <w:r w:rsidRPr="007C070F">
        <w:rPr>
          <w:rFonts w:hint="cs"/>
          <w:sz w:val="20"/>
          <w:rtl/>
        </w:rPr>
        <w:t xml:space="preserve">ורסמו </w:t>
      </w:r>
      <w:hyperlink r:id="rId1" w:history="1">
        <w:r w:rsidRPr="007C070F">
          <w:rPr>
            <w:rStyle w:val="Hyperlink"/>
            <w:rFonts w:hint="cs"/>
            <w:sz w:val="20"/>
            <w:rtl/>
          </w:rPr>
          <w:t>ק"ת תשט"ו מס' 485</w:t>
        </w:r>
      </w:hyperlink>
      <w:r w:rsidRPr="007C070F">
        <w:rPr>
          <w:rFonts w:hint="cs"/>
          <w:sz w:val="20"/>
          <w:rtl/>
        </w:rPr>
        <w:t xml:space="preserve"> מיום 18.11.1954 עמ' 175.</w:t>
      </w:r>
    </w:p>
    <w:p w:rsidR="006C0223" w:rsidRPr="007C070F" w:rsidRDefault="006C0223" w:rsidP="006C02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pacing w:val="-2"/>
          <w:rtl/>
        </w:rPr>
      </w:pPr>
      <w:r w:rsidRPr="007C070F">
        <w:rPr>
          <w:rFonts w:hint="cs"/>
          <w:spacing w:val="-2"/>
          <w:rtl/>
        </w:rPr>
        <w:t xml:space="preserve">תוקנו </w:t>
      </w:r>
      <w:hyperlink r:id="rId2" w:history="1">
        <w:r w:rsidRPr="007C070F">
          <w:rPr>
            <w:rStyle w:val="Hyperlink"/>
            <w:rFonts w:hint="cs"/>
            <w:spacing w:val="-2"/>
            <w:rtl/>
          </w:rPr>
          <w:t>ק"ת תשמ"ד מס' 4674</w:t>
        </w:r>
      </w:hyperlink>
      <w:r w:rsidRPr="007C070F">
        <w:rPr>
          <w:rFonts w:hint="cs"/>
          <w:spacing w:val="-2"/>
          <w:rtl/>
        </w:rPr>
        <w:t xml:space="preserve"> מיום 29.7.1984 עמ' 2064</w:t>
      </w:r>
      <w:r>
        <w:rPr>
          <w:rFonts w:hint="cs"/>
          <w:spacing w:val="-2"/>
          <w:rtl/>
        </w:rPr>
        <w:t xml:space="preserve"> </w:t>
      </w:r>
      <w:r>
        <w:rPr>
          <w:spacing w:val="-2"/>
          <w:rtl/>
        </w:rPr>
        <w:t>–</w:t>
      </w:r>
      <w:r>
        <w:rPr>
          <w:rFonts w:hint="cs"/>
          <w:spacing w:val="-2"/>
          <w:rtl/>
        </w:rPr>
        <w:t xml:space="preserve"> תק' תשמ"ד-1984.</w:t>
      </w:r>
    </w:p>
    <w:p w:rsidR="006C0223" w:rsidRPr="006C0223" w:rsidRDefault="006C0223" w:rsidP="006C02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Pr="007C070F">
          <w:rPr>
            <w:rStyle w:val="Hyperlink"/>
            <w:rFonts w:hint="cs"/>
            <w:spacing w:val="-2"/>
            <w:rtl/>
          </w:rPr>
          <w:t>ק"ת תשס"ה מס' 6388</w:t>
        </w:r>
      </w:hyperlink>
      <w:r w:rsidRPr="007C070F">
        <w:rPr>
          <w:rFonts w:hint="cs"/>
          <w:spacing w:val="-2"/>
          <w:rtl/>
        </w:rPr>
        <w:t xml:space="preserve"> מיום 31.5.2005 עמ' 659 </w:t>
      </w:r>
      <w:r w:rsidRPr="007C070F">
        <w:rPr>
          <w:spacing w:val="-2"/>
          <w:rtl/>
        </w:rPr>
        <w:t>–</w:t>
      </w:r>
      <w:r w:rsidRPr="007C070F">
        <w:rPr>
          <w:rFonts w:hint="cs"/>
          <w:spacing w:val="-2"/>
          <w:rtl/>
        </w:rPr>
        <w:t xml:space="preserve"> תק' תשס"ה-2005 בתקנה 3 לתקנות סדר הדין האזרחי (תיקון מס' 3), תשס"ה-2005;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457" w:rsidRDefault="00BC64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הדין (עדות מומחים), תשט"ו–1954</w:t>
    </w:r>
  </w:p>
  <w:p w:rsidR="00BC6457" w:rsidRDefault="00BC6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6457" w:rsidRDefault="00BC6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457" w:rsidRDefault="00BC64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הדין (עדות מומחים), תשט"ו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:rsidR="00BC6457" w:rsidRDefault="00BC6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6457" w:rsidRDefault="00BC6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7989"/>
    <w:rsid w:val="00022457"/>
    <w:rsid w:val="00034A70"/>
    <w:rsid w:val="00150C75"/>
    <w:rsid w:val="001C277B"/>
    <w:rsid w:val="001C468A"/>
    <w:rsid w:val="002F2620"/>
    <w:rsid w:val="0047437B"/>
    <w:rsid w:val="005B4D93"/>
    <w:rsid w:val="006559E7"/>
    <w:rsid w:val="00667989"/>
    <w:rsid w:val="006C0223"/>
    <w:rsid w:val="007C070F"/>
    <w:rsid w:val="007D1731"/>
    <w:rsid w:val="00862C1D"/>
    <w:rsid w:val="008B03A2"/>
    <w:rsid w:val="008C45D5"/>
    <w:rsid w:val="009558C3"/>
    <w:rsid w:val="00A32292"/>
    <w:rsid w:val="00B21965"/>
    <w:rsid w:val="00BA4441"/>
    <w:rsid w:val="00BC6457"/>
    <w:rsid w:val="00E3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BC3F949-1210-44AC-A07E-4095993D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C0223"/>
    <w:rPr>
      <w:sz w:val="20"/>
      <w:szCs w:val="20"/>
    </w:rPr>
  </w:style>
  <w:style w:type="character" w:styleId="a6">
    <w:name w:val="footnote reference"/>
    <w:basedOn w:val="a0"/>
    <w:semiHidden/>
    <w:rsid w:val="006C0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388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88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88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467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388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388.pdf" TargetMode="External"/><Relationship Id="rId2" Type="http://schemas.openxmlformats.org/officeDocument/2006/relationships/hyperlink" Target="http://www.nevo.co.il/Law_word/law06/TAK-4674.pdf" TargetMode="External"/><Relationship Id="rId1" Type="http://schemas.openxmlformats.org/officeDocument/2006/relationships/hyperlink" Target="http://www.nevo.co.il/Law_word/law06/TAK-04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3824</CharactersWithSpaces>
  <SharedDoc>false</SharedDoc>
  <HLinks>
    <vt:vector size="102" baseType="variant">
      <vt:variant>
        <vt:i4>7995402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http://www.nevo.co.il/Law_word/law06/TAK-4674.pdf</vt:lpwstr>
      </vt:variant>
      <vt:variant>
        <vt:lpwstr/>
      </vt:variant>
      <vt:variant>
        <vt:i4>7798787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7798787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7798787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7798787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http://www.nevo.co.il/Law_word/law06/TAK-4674.pdf</vt:lpwstr>
      </vt:variant>
      <vt:variant>
        <vt:lpwstr/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סדרי הדין (עדות מומחים), תשט"ו-1954 - רבדים</vt:lpwstr>
  </property>
  <property fmtid="{D5CDD505-2E9C-101B-9397-08002B2CF9AE}" pid="5" name="LAWNUMBER">
    <vt:lpwstr>0207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http://www.nevo.co.il/Law_word/law06/TAK-6388.pdf;רשומות – תקנות כלליות#ק"ת תשס"ה מס' 6388#מיום 31.5.2005#עמ' 659#תק' תשס"ה-2005 בתקנה 3 לתקנות סדר הדין האזרחי (תיקון מס' 3), תשס"ה-2005#תחילתן 30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העדות</vt:lpwstr>
  </property>
  <property fmtid="{D5CDD505-2E9C-101B-9397-08002B2CF9AE}" pid="23" name="MEKOR_SAIF1">
    <vt:lpwstr>27XבX</vt:lpwstr>
  </property>
  <property fmtid="{D5CDD505-2E9C-101B-9397-08002B2CF9AE}" pid="24" name="NOSE11">
    <vt:lpwstr>בתי משפט וסדרי דין</vt:lpwstr>
  </property>
  <property fmtid="{D5CDD505-2E9C-101B-9397-08002B2CF9AE}" pid="25" name="NOSE21">
    <vt:lpwstr>ראיות</vt:lpwstr>
  </property>
  <property fmtid="{D5CDD505-2E9C-101B-9397-08002B2CF9AE}" pid="26" name="NOSE31">
    <vt:lpwstr>עדות</vt:lpwstr>
  </property>
  <property fmtid="{D5CDD505-2E9C-101B-9397-08002B2CF9AE}" pid="27" name="NOSE41">
    <vt:lpwstr>מומחים</vt:lpwstr>
  </property>
  <property fmtid="{D5CDD505-2E9C-101B-9397-08002B2CF9AE}" pid="28" name="NOSE12">
    <vt:lpwstr>בתי משפט וסדרי דין</vt:lpwstr>
  </property>
  <property fmtid="{D5CDD505-2E9C-101B-9397-08002B2CF9AE}" pid="29" name="NOSE22">
    <vt:lpwstr>סדר דין פלילי</vt:lpwstr>
  </property>
  <property fmtid="{D5CDD505-2E9C-101B-9397-08002B2CF9AE}" pid="30" name="NOSE32">
    <vt:lpwstr>עדות</vt:lpwstr>
  </property>
  <property fmtid="{D5CDD505-2E9C-101B-9397-08002B2CF9AE}" pid="31" name="NOSE42">
    <vt:lpwstr>מומחים</vt:lpwstr>
  </property>
  <property fmtid="{D5CDD505-2E9C-101B-9397-08002B2CF9AE}" pid="32" name="NOSE13">
    <vt:lpwstr>בתי משפט וסדרי דין</vt:lpwstr>
  </property>
  <property fmtid="{D5CDD505-2E9C-101B-9397-08002B2CF9AE}" pid="33" name="NOSE23">
    <vt:lpwstr>סדר דין אזרחי</vt:lpwstr>
  </property>
  <property fmtid="{D5CDD505-2E9C-101B-9397-08002B2CF9AE}" pid="34" name="NOSE33">
    <vt:lpwstr>עדות</vt:lpwstr>
  </property>
  <property fmtid="{D5CDD505-2E9C-101B-9397-08002B2CF9AE}" pid="35" name="NOSE43">
    <vt:lpwstr>מומחים</vt:lpwstr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