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65FFA" w14:textId="77777777" w:rsidR="00D6434F" w:rsidRDefault="00D6434F" w:rsidP="00CD7DF4">
      <w:pPr>
        <w:pStyle w:val="big-header"/>
        <w:ind w:left="0" w:right="1134"/>
      </w:pPr>
      <w:r>
        <w:rPr>
          <w:rtl/>
        </w:rPr>
        <w:t>תקנות סדרי הדין (עתירה לגילוי ראיה), תשכ"ט</w:t>
      </w:r>
      <w:r w:rsidR="00CD7DF4">
        <w:rPr>
          <w:rFonts w:hint="cs"/>
          <w:rtl/>
        </w:rPr>
        <w:t>-</w:t>
      </w:r>
      <w:r>
        <w:rPr>
          <w:rtl/>
        </w:rPr>
        <w:t>1969</w:t>
      </w:r>
    </w:p>
    <w:p w14:paraId="400CAF18" w14:textId="77777777" w:rsidR="006B4A8B" w:rsidRPr="006B4A8B" w:rsidRDefault="006B4A8B" w:rsidP="006B4A8B">
      <w:pPr>
        <w:spacing w:line="320" w:lineRule="auto"/>
        <w:jc w:val="left"/>
        <w:rPr>
          <w:rFonts w:cs="FrankRuehl"/>
          <w:szCs w:val="26"/>
          <w:rtl/>
        </w:rPr>
      </w:pPr>
    </w:p>
    <w:p w14:paraId="41A60B2D" w14:textId="77777777" w:rsidR="006B4A8B" w:rsidRDefault="006B4A8B" w:rsidP="006B4A8B">
      <w:pPr>
        <w:spacing w:line="320" w:lineRule="auto"/>
        <w:jc w:val="left"/>
        <w:rPr>
          <w:rtl/>
        </w:rPr>
      </w:pPr>
    </w:p>
    <w:p w14:paraId="1A07A6ED" w14:textId="77777777" w:rsidR="006B4A8B" w:rsidRDefault="006B4A8B" w:rsidP="006B4A8B">
      <w:pPr>
        <w:spacing w:line="320" w:lineRule="auto"/>
        <w:jc w:val="left"/>
        <w:rPr>
          <w:rFonts w:cs="FrankRuehl"/>
          <w:szCs w:val="26"/>
          <w:rtl/>
        </w:rPr>
      </w:pPr>
      <w:r w:rsidRPr="006B4A8B">
        <w:rPr>
          <w:rFonts w:cs="Miriam"/>
          <w:szCs w:val="22"/>
          <w:rtl/>
        </w:rPr>
        <w:t>בתי משפט וסדרי דין</w:t>
      </w:r>
      <w:r w:rsidRPr="006B4A8B">
        <w:rPr>
          <w:rFonts w:cs="FrankRuehl"/>
          <w:szCs w:val="26"/>
          <w:rtl/>
        </w:rPr>
        <w:t xml:space="preserve"> – ראיות</w:t>
      </w:r>
    </w:p>
    <w:p w14:paraId="329B82F4" w14:textId="77777777" w:rsidR="006B4A8B" w:rsidRDefault="006B4A8B" w:rsidP="006B4A8B">
      <w:pPr>
        <w:spacing w:line="320" w:lineRule="auto"/>
        <w:jc w:val="left"/>
        <w:rPr>
          <w:rFonts w:cs="FrankRuehl"/>
          <w:szCs w:val="26"/>
          <w:rtl/>
        </w:rPr>
      </w:pPr>
      <w:r w:rsidRPr="006B4A8B">
        <w:rPr>
          <w:rFonts w:cs="Miriam"/>
          <w:szCs w:val="22"/>
          <w:rtl/>
        </w:rPr>
        <w:t>בתי משפט וסדרי דין</w:t>
      </w:r>
      <w:r w:rsidRPr="006B4A8B">
        <w:rPr>
          <w:rFonts w:cs="FrankRuehl"/>
          <w:szCs w:val="26"/>
          <w:rtl/>
        </w:rPr>
        <w:t xml:space="preserve"> – סדר דין פלילי</w:t>
      </w:r>
    </w:p>
    <w:p w14:paraId="12FB8E9B" w14:textId="77777777" w:rsidR="006B4A8B" w:rsidRDefault="006B4A8B" w:rsidP="006B4A8B">
      <w:pPr>
        <w:spacing w:line="320" w:lineRule="auto"/>
        <w:jc w:val="left"/>
        <w:rPr>
          <w:rFonts w:cs="FrankRuehl"/>
          <w:szCs w:val="26"/>
          <w:rtl/>
        </w:rPr>
      </w:pPr>
      <w:r w:rsidRPr="006B4A8B">
        <w:rPr>
          <w:rFonts w:cs="Miriam"/>
          <w:szCs w:val="22"/>
          <w:rtl/>
        </w:rPr>
        <w:t>בתי משפט וסדרי דין</w:t>
      </w:r>
      <w:r w:rsidRPr="006B4A8B">
        <w:rPr>
          <w:rFonts w:cs="FrankRuehl"/>
          <w:szCs w:val="26"/>
          <w:rtl/>
        </w:rPr>
        <w:t xml:space="preserve"> – סדר דין אזרחי</w:t>
      </w:r>
    </w:p>
    <w:p w14:paraId="579A7A1E" w14:textId="77777777" w:rsidR="006B4A8B" w:rsidRPr="006B4A8B" w:rsidRDefault="006B4A8B" w:rsidP="006B4A8B">
      <w:pPr>
        <w:spacing w:line="320" w:lineRule="auto"/>
        <w:jc w:val="left"/>
        <w:rPr>
          <w:rFonts w:cs="Miriam"/>
          <w:szCs w:val="22"/>
          <w:rtl/>
        </w:rPr>
      </w:pPr>
      <w:r w:rsidRPr="006B4A8B">
        <w:rPr>
          <w:rFonts w:cs="Miriam"/>
          <w:szCs w:val="22"/>
          <w:rtl/>
        </w:rPr>
        <w:t xml:space="preserve">דיני חוקה </w:t>
      </w:r>
      <w:r w:rsidRPr="006B4A8B">
        <w:rPr>
          <w:rFonts w:cs="FrankRuehl"/>
          <w:szCs w:val="26"/>
          <w:rtl/>
        </w:rPr>
        <w:t xml:space="preserve"> – ממשלה – היועץ המשפטי לממשלה</w:t>
      </w:r>
    </w:p>
    <w:p w14:paraId="5C4BB85F" w14:textId="77777777" w:rsidR="00D6434F" w:rsidRDefault="00D6434F">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6434F" w14:paraId="62F562F3" w14:textId="77777777">
        <w:tblPrEx>
          <w:tblCellMar>
            <w:top w:w="0" w:type="dxa"/>
            <w:bottom w:w="0" w:type="dxa"/>
          </w:tblCellMar>
        </w:tblPrEx>
        <w:tc>
          <w:tcPr>
            <w:tcW w:w="850" w:type="dxa"/>
          </w:tcPr>
          <w:p w14:paraId="5FED0ECB" w14:textId="77777777" w:rsidR="00D6434F" w:rsidRDefault="00D6434F">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CD7DF4">
              <w:rPr>
                <w:noProof/>
                <w:sz w:val="24"/>
                <w:rtl/>
              </w:rPr>
              <w:t>2</w:t>
            </w:r>
            <w:r>
              <w:rPr>
                <w:sz w:val="24"/>
                <w:rtl/>
              </w:rPr>
              <w:fldChar w:fldCharType="end"/>
            </w:r>
          </w:p>
        </w:tc>
        <w:tc>
          <w:tcPr>
            <w:tcW w:w="567" w:type="dxa"/>
          </w:tcPr>
          <w:p w14:paraId="245D6C5F" w14:textId="77777777" w:rsidR="00D6434F" w:rsidRDefault="00D6434F">
            <w:pPr>
              <w:spacing w:line="240" w:lineRule="auto"/>
              <w:rPr>
                <w:sz w:val="24"/>
              </w:rPr>
            </w:pPr>
            <w:hyperlink w:anchor="Seif0" w:tooltip="עתירה" w:history="1">
              <w:r>
                <w:rPr>
                  <w:rStyle w:val="Hyperlink"/>
                </w:rPr>
                <w:t>Go</w:t>
              </w:r>
            </w:hyperlink>
          </w:p>
        </w:tc>
        <w:tc>
          <w:tcPr>
            <w:tcW w:w="5669" w:type="dxa"/>
          </w:tcPr>
          <w:p w14:paraId="2F133E32" w14:textId="77777777" w:rsidR="00D6434F" w:rsidRDefault="00D6434F">
            <w:pPr>
              <w:spacing w:line="240" w:lineRule="auto"/>
              <w:rPr>
                <w:sz w:val="24"/>
                <w:rtl/>
              </w:rPr>
            </w:pPr>
            <w:r>
              <w:rPr>
                <w:sz w:val="24"/>
                <w:rtl/>
              </w:rPr>
              <w:t>עתירה</w:t>
            </w:r>
          </w:p>
        </w:tc>
        <w:tc>
          <w:tcPr>
            <w:tcW w:w="1247" w:type="dxa"/>
          </w:tcPr>
          <w:p w14:paraId="1045DB29" w14:textId="77777777" w:rsidR="00D6434F" w:rsidRDefault="00D6434F">
            <w:pPr>
              <w:spacing w:line="240" w:lineRule="auto"/>
              <w:rPr>
                <w:sz w:val="24"/>
              </w:rPr>
            </w:pPr>
            <w:r>
              <w:rPr>
                <w:sz w:val="24"/>
                <w:rtl/>
              </w:rPr>
              <w:t xml:space="preserve">סעיף 1 </w:t>
            </w:r>
          </w:p>
        </w:tc>
      </w:tr>
      <w:tr w:rsidR="00D6434F" w14:paraId="4103D441" w14:textId="77777777">
        <w:tblPrEx>
          <w:tblCellMar>
            <w:top w:w="0" w:type="dxa"/>
            <w:bottom w:w="0" w:type="dxa"/>
          </w:tblCellMar>
        </w:tblPrEx>
        <w:tc>
          <w:tcPr>
            <w:tcW w:w="850" w:type="dxa"/>
          </w:tcPr>
          <w:p w14:paraId="7AE1E0CF" w14:textId="77777777" w:rsidR="00D6434F" w:rsidRDefault="00D6434F">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CD7DF4">
              <w:rPr>
                <w:noProof/>
                <w:sz w:val="24"/>
                <w:rtl/>
              </w:rPr>
              <w:t>2</w:t>
            </w:r>
            <w:r>
              <w:rPr>
                <w:sz w:val="24"/>
                <w:rtl/>
              </w:rPr>
              <w:fldChar w:fldCharType="end"/>
            </w:r>
          </w:p>
        </w:tc>
        <w:tc>
          <w:tcPr>
            <w:tcW w:w="567" w:type="dxa"/>
          </w:tcPr>
          <w:p w14:paraId="467A71EA" w14:textId="77777777" w:rsidR="00D6434F" w:rsidRDefault="00D6434F">
            <w:pPr>
              <w:spacing w:line="240" w:lineRule="auto"/>
              <w:rPr>
                <w:sz w:val="24"/>
              </w:rPr>
            </w:pPr>
            <w:hyperlink w:anchor="Seif1" w:tooltip="תוכן העתירה והגשתה" w:history="1">
              <w:r>
                <w:rPr>
                  <w:rStyle w:val="Hyperlink"/>
                </w:rPr>
                <w:t>Go</w:t>
              </w:r>
            </w:hyperlink>
          </w:p>
        </w:tc>
        <w:tc>
          <w:tcPr>
            <w:tcW w:w="5669" w:type="dxa"/>
          </w:tcPr>
          <w:p w14:paraId="6270FCA4" w14:textId="77777777" w:rsidR="00D6434F" w:rsidRDefault="00D6434F">
            <w:pPr>
              <w:spacing w:line="240" w:lineRule="auto"/>
              <w:rPr>
                <w:sz w:val="24"/>
                <w:rtl/>
              </w:rPr>
            </w:pPr>
            <w:r>
              <w:rPr>
                <w:sz w:val="24"/>
                <w:rtl/>
              </w:rPr>
              <w:t>תוכן העתירה והגשתה</w:t>
            </w:r>
          </w:p>
        </w:tc>
        <w:tc>
          <w:tcPr>
            <w:tcW w:w="1247" w:type="dxa"/>
          </w:tcPr>
          <w:p w14:paraId="2399093B" w14:textId="77777777" w:rsidR="00D6434F" w:rsidRDefault="00D6434F">
            <w:pPr>
              <w:spacing w:line="240" w:lineRule="auto"/>
              <w:rPr>
                <w:sz w:val="24"/>
              </w:rPr>
            </w:pPr>
            <w:r>
              <w:rPr>
                <w:sz w:val="24"/>
                <w:rtl/>
              </w:rPr>
              <w:t xml:space="preserve">סעיף 2 </w:t>
            </w:r>
          </w:p>
        </w:tc>
      </w:tr>
      <w:tr w:rsidR="00D6434F" w14:paraId="3B1BB449" w14:textId="77777777">
        <w:tblPrEx>
          <w:tblCellMar>
            <w:top w:w="0" w:type="dxa"/>
            <w:bottom w:w="0" w:type="dxa"/>
          </w:tblCellMar>
        </w:tblPrEx>
        <w:tc>
          <w:tcPr>
            <w:tcW w:w="850" w:type="dxa"/>
          </w:tcPr>
          <w:p w14:paraId="4AF2A7D1" w14:textId="77777777" w:rsidR="00D6434F" w:rsidRDefault="00D6434F">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CD7DF4">
              <w:rPr>
                <w:noProof/>
                <w:sz w:val="24"/>
                <w:rtl/>
              </w:rPr>
              <w:t>2</w:t>
            </w:r>
            <w:r>
              <w:rPr>
                <w:sz w:val="24"/>
                <w:rtl/>
              </w:rPr>
              <w:fldChar w:fldCharType="end"/>
            </w:r>
          </w:p>
        </w:tc>
        <w:tc>
          <w:tcPr>
            <w:tcW w:w="567" w:type="dxa"/>
          </w:tcPr>
          <w:p w14:paraId="5A1CCD79" w14:textId="77777777" w:rsidR="00D6434F" w:rsidRDefault="00D6434F">
            <w:pPr>
              <w:spacing w:line="240" w:lineRule="auto"/>
              <w:rPr>
                <w:sz w:val="24"/>
              </w:rPr>
            </w:pPr>
            <w:hyperlink w:anchor="Seif2" w:tooltip="הזמנת בעלי הדין" w:history="1">
              <w:r>
                <w:rPr>
                  <w:rStyle w:val="Hyperlink"/>
                </w:rPr>
                <w:t>Go</w:t>
              </w:r>
            </w:hyperlink>
          </w:p>
        </w:tc>
        <w:tc>
          <w:tcPr>
            <w:tcW w:w="5669" w:type="dxa"/>
          </w:tcPr>
          <w:p w14:paraId="1E037EEA" w14:textId="77777777" w:rsidR="00D6434F" w:rsidRDefault="00D6434F">
            <w:pPr>
              <w:spacing w:line="240" w:lineRule="auto"/>
              <w:rPr>
                <w:sz w:val="24"/>
                <w:rtl/>
              </w:rPr>
            </w:pPr>
            <w:r>
              <w:rPr>
                <w:sz w:val="24"/>
                <w:rtl/>
              </w:rPr>
              <w:t>הזמנת בעלי הדין</w:t>
            </w:r>
          </w:p>
        </w:tc>
        <w:tc>
          <w:tcPr>
            <w:tcW w:w="1247" w:type="dxa"/>
          </w:tcPr>
          <w:p w14:paraId="07289653" w14:textId="77777777" w:rsidR="00D6434F" w:rsidRDefault="00D6434F">
            <w:pPr>
              <w:spacing w:line="240" w:lineRule="auto"/>
              <w:rPr>
                <w:sz w:val="24"/>
              </w:rPr>
            </w:pPr>
            <w:r>
              <w:rPr>
                <w:sz w:val="24"/>
                <w:rtl/>
              </w:rPr>
              <w:t xml:space="preserve">סעיף 3 </w:t>
            </w:r>
          </w:p>
        </w:tc>
      </w:tr>
      <w:tr w:rsidR="00D6434F" w14:paraId="0887E6C3" w14:textId="77777777">
        <w:tblPrEx>
          <w:tblCellMar>
            <w:top w:w="0" w:type="dxa"/>
            <w:bottom w:w="0" w:type="dxa"/>
          </w:tblCellMar>
        </w:tblPrEx>
        <w:tc>
          <w:tcPr>
            <w:tcW w:w="850" w:type="dxa"/>
          </w:tcPr>
          <w:p w14:paraId="30E02EF6" w14:textId="77777777" w:rsidR="00D6434F" w:rsidRDefault="00D6434F">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CD7DF4">
              <w:rPr>
                <w:noProof/>
                <w:sz w:val="24"/>
                <w:rtl/>
              </w:rPr>
              <w:t>2</w:t>
            </w:r>
            <w:r>
              <w:rPr>
                <w:sz w:val="24"/>
                <w:rtl/>
              </w:rPr>
              <w:fldChar w:fldCharType="end"/>
            </w:r>
          </w:p>
        </w:tc>
        <w:tc>
          <w:tcPr>
            <w:tcW w:w="567" w:type="dxa"/>
          </w:tcPr>
          <w:p w14:paraId="23765010" w14:textId="77777777" w:rsidR="00D6434F" w:rsidRDefault="00D6434F">
            <w:pPr>
              <w:spacing w:line="240" w:lineRule="auto"/>
              <w:rPr>
                <w:sz w:val="24"/>
              </w:rPr>
            </w:pPr>
            <w:hyperlink w:anchor="Seif3" w:tooltip="בקשה להפסקת משפט" w:history="1">
              <w:r>
                <w:rPr>
                  <w:rStyle w:val="Hyperlink"/>
                </w:rPr>
                <w:t>Go</w:t>
              </w:r>
            </w:hyperlink>
          </w:p>
        </w:tc>
        <w:tc>
          <w:tcPr>
            <w:tcW w:w="5669" w:type="dxa"/>
          </w:tcPr>
          <w:p w14:paraId="0CEA2E3D" w14:textId="77777777" w:rsidR="00D6434F" w:rsidRDefault="00D6434F">
            <w:pPr>
              <w:spacing w:line="240" w:lineRule="auto"/>
              <w:rPr>
                <w:sz w:val="24"/>
                <w:rtl/>
              </w:rPr>
            </w:pPr>
            <w:r>
              <w:rPr>
                <w:sz w:val="24"/>
                <w:rtl/>
              </w:rPr>
              <w:t>בקשה להפסקת משפט</w:t>
            </w:r>
          </w:p>
        </w:tc>
        <w:tc>
          <w:tcPr>
            <w:tcW w:w="1247" w:type="dxa"/>
          </w:tcPr>
          <w:p w14:paraId="0EFC8506" w14:textId="77777777" w:rsidR="00D6434F" w:rsidRDefault="00D6434F">
            <w:pPr>
              <w:spacing w:line="240" w:lineRule="auto"/>
              <w:rPr>
                <w:sz w:val="24"/>
              </w:rPr>
            </w:pPr>
            <w:r>
              <w:rPr>
                <w:sz w:val="24"/>
                <w:rtl/>
              </w:rPr>
              <w:t xml:space="preserve">סעיף 4 </w:t>
            </w:r>
          </w:p>
        </w:tc>
      </w:tr>
      <w:tr w:rsidR="00D6434F" w14:paraId="04EDFB68" w14:textId="77777777">
        <w:tblPrEx>
          <w:tblCellMar>
            <w:top w:w="0" w:type="dxa"/>
            <w:bottom w:w="0" w:type="dxa"/>
          </w:tblCellMar>
        </w:tblPrEx>
        <w:tc>
          <w:tcPr>
            <w:tcW w:w="850" w:type="dxa"/>
          </w:tcPr>
          <w:p w14:paraId="60AC876D" w14:textId="77777777" w:rsidR="00D6434F" w:rsidRDefault="00D6434F">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CD7DF4">
              <w:rPr>
                <w:noProof/>
                <w:sz w:val="24"/>
                <w:rtl/>
              </w:rPr>
              <w:t>2</w:t>
            </w:r>
            <w:r>
              <w:rPr>
                <w:sz w:val="24"/>
                <w:rtl/>
              </w:rPr>
              <w:fldChar w:fldCharType="end"/>
            </w:r>
          </w:p>
        </w:tc>
        <w:tc>
          <w:tcPr>
            <w:tcW w:w="567" w:type="dxa"/>
          </w:tcPr>
          <w:p w14:paraId="55D45077" w14:textId="77777777" w:rsidR="00D6434F" w:rsidRDefault="00D6434F">
            <w:pPr>
              <w:spacing w:line="240" w:lineRule="auto"/>
              <w:rPr>
                <w:sz w:val="24"/>
              </w:rPr>
            </w:pPr>
            <w:hyperlink w:anchor="Seif4" w:tooltip="ראיה אשר סעיף 5א" w:history="1">
              <w:r>
                <w:rPr>
                  <w:rStyle w:val="Hyperlink"/>
                </w:rPr>
                <w:t>Go</w:t>
              </w:r>
            </w:hyperlink>
          </w:p>
        </w:tc>
        <w:tc>
          <w:tcPr>
            <w:tcW w:w="5669" w:type="dxa"/>
          </w:tcPr>
          <w:p w14:paraId="4D1FC656" w14:textId="77777777" w:rsidR="00D6434F" w:rsidRDefault="00D6434F">
            <w:pPr>
              <w:spacing w:line="240" w:lineRule="auto"/>
              <w:rPr>
                <w:sz w:val="24"/>
                <w:rtl/>
              </w:rPr>
            </w:pPr>
            <w:r>
              <w:rPr>
                <w:sz w:val="24"/>
                <w:rtl/>
              </w:rPr>
              <w:t>ראיה אשר סעיף 5א</w:t>
            </w:r>
          </w:p>
        </w:tc>
        <w:tc>
          <w:tcPr>
            <w:tcW w:w="1247" w:type="dxa"/>
          </w:tcPr>
          <w:p w14:paraId="5708BAAA" w14:textId="77777777" w:rsidR="00D6434F" w:rsidRDefault="00D6434F">
            <w:pPr>
              <w:spacing w:line="240" w:lineRule="auto"/>
              <w:rPr>
                <w:sz w:val="24"/>
              </w:rPr>
            </w:pPr>
            <w:r>
              <w:rPr>
                <w:sz w:val="24"/>
                <w:rtl/>
              </w:rPr>
              <w:t xml:space="preserve">סעיף 5 </w:t>
            </w:r>
          </w:p>
        </w:tc>
      </w:tr>
      <w:tr w:rsidR="00D6434F" w14:paraId="5574CD5E" w14:textId="77777777">
        <w:tblPrEx>
          <w:tblCellMar>
            <w:top w:w="0" w:type="dxa"/>
            <w:bottom w:w="0" w:type="dxa"/>
          </w:tblCellMar>
        </w:tblPrEx>
        <w:tc>
          <w:tcPr>
            <w:tcW w:w="850" w:type="dxa"/>
          </w:tcPr>
          <w:p w14:paraId="38D26A9F" w14:textId="77777777" w:rsidR="00D6434F" w:rsidRDefault="00D6434F">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CD7DF4">
              <w:rPr>
                <w:noProof/>
                <w:sz w:val="24"/>
                <w:rtl/>
              </w:rPr>
              <w:t>2</w:t>
            </w:r>
            <w:r>
              <w:rPr>
                <w:sz w:val="24"/>
                <w:rtl/>
              </w:rPr>
              <w:fldChar w:fldCharType="end"/>
            </w:r>
          </w:p>
        </w:tc>
        <w:tc>
          <w:tcPr>
            <w:tcW w:w="567" w:type="dxa"/>
          </w:tcPr>
          <w:p w14:paraId="7B51252F" w14:textId="77777777" w:rsidR="00D6434F" w:rsidRDefault="00D6434F">
            <w:pPr>
              <w:spacing w:line="240" w:lineRule="auto"/>
              <w:rPr>
                <w:sz w:val="24"/>
              </w:rPr>
            </w:pPr>
            <w:hyperlink w:anchor="Seif5" w:tooltip="הסברים מהיועץ המשפטי לממשלה ומנציגי המשרד הנוגע בדבר" w:history="1">
              <w:r>
                <w:rPr>
                  <w:rStyle w:val="Hyperlink"/>
                </w:rPr>
                <w:t>Go</w:t>
              </w:r>
            </w:hyperlink>
          </w:p>
        </w:tc>
        <w:tc>
          <w:tcPr>
            <w:tcW w:w="5669" w:type="dxa"/>
          </w:tcPr>
          <w:p w14:paraId="730C6A97" w14:textId="77777777" w:rsidR="00D6434F" w:rsidRDefault="00D6434F">
            <w:pPr>
              <w:spacing w:line="240" w:lineRule="auto"/>
              <w:rPr>
                <w:sz w:val="24"/>
                <w:rtl/>
              </w:rPr>
            </w:pPr>
            <w:r>
              <w:rPr>
                <w:sz w:val="24"/>
                <w:rtl/>
              </w:rPr>
              <w:t>הסברים מהיועץ המשפטי לממשלה ומנציגי המשרד הנוגע בדבר</w:t>
            </w:r>
          </w:p>
        </w:tc>
        <w:tc>
          <w:tcPr>
            <w:tcW w:w="1247" w:type="dxa"/>
          </w:tcPr>
          <w:p w14:paraId="3E622010" w14:textId="77777777" w:rsidR="00D6434F" w:rsidRDefault="00D6434F">
            <w:pPr>
              <w:spacing w:line="240" w:lineRule="auto"/>
              <w:rPr>
                <w:sz w:val="24"/>
              </w:rPr>
            </w:pPr>
            <w:r>
              <w:rPr>
                <w:sz w:val="24"/>
                <w:rtl/>
              </w:rPr>
              <w:t xml:space="preserve">סעיף 6 </w:t>
            </w:r>
          </w:p>
        </w:tc>
      </w:tr>
      <w:tr w:rsidR="00D6434F" w14:paraId="261E4B55" w14:textId="77777777">
        <w:tblPrEx>
          <w:tblCellMar>
            <w:top w:w="0" w:type="dxa"/>
            <w:bottom w:w="0" w:type="dxa"/>
          </w:tblCellMar>
        </w:tblPrEx>
        <w:tc>
          <w:tcPr>
            <w:tcW w:w="850" w:type="dxa"/>
          </w:tcPr>
          <w:p w14:paraId="7CF77AE4" w14:textId="77777777" w:rsidR="00D6434F" w:rsidRDefault="00D6434F">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CD7DF4">
              <w:rPr>
                <w:noProof/>
                <w:sz w:val="24"/>
                <w:rtl/>
              </w:rPr>
              <w:t>2</w:t>
            </w:r>
            <w:r>
              <w:rPr>
                <w:sz w:val="24"/>
                <w:rtl/>
              </w:rPr>
              <w:fldChar w:fldCharType="end"/>
            </w:r>
          </w:p>
        </w:tc>
        <w:tc>
          <w:tcPr>
            <w:tcW w:w="567" w:type="dxa"/>
          </w:tcPr>
          <w:p w14:paraId="3D3284AC" w14:textId="77777777" w:rsidR="00D6434F" w:rsidRDefault="00D6434F">
            <w:pPr>
              <w:spacing w:line="240" w:lineRule="auto"/>
              <w:rPr>
                <w:sz w:val="24"/>
              </w:rPr>
            </w:pPr>
            <w:hyperlink w:anchor="Seif6" w:tooltip="הבאת ראיה לידיעת שופט או בית המשפט" w:history="1">
              <w:r>
                <w:rPr>
                  <w:rStyle w:val="Hyperlink"/>
                </w:rPr>
                <w:t>Go</w:t>
              </w:r>
            </w:hyperlink>
          </w:p>
        </w:tc>
        <w:tc>
          <w:tcPr>
            <w:tcW w:w="5669" w:type="dxa"/>
          </w:tcPr>
          <w:p w14:paraId="5618A076" w14:textId="77777777" w:rsidR="00D6434F" w:rsidRDefault="00D6434F">
            <w:pPr>
              <w:spacing w:line="240" w:lineRule="auto"/>
              <w:rPr>
                <w:sz w:val="24"/>
                <w:rtl/>
              </w:rPr>
            </w:pPr>
            <w:r>
              <w:rPr>
                <w:sz w:val="24"/>
                <w:rtl/>
              </w:rPr>
              <w:t>הבאת ראיה לידיעת שופט או בית המשפט</w:t>
            </w:r>
          </w:p>
        </w:tc>
        <w:tc>
          <w:tcPr>
            <w:tcW w:w="1247" w:type="dxa"/>
          </w:tcPr>
          <w:p w14:paraId="09D0B0E1" w14:textId="77777777" w:rsidR="00D6434F" w:rsidRDefault="00D6434F">
            <w:pPr>
              <w:spacing w:line="240" w:lineRule="auto"/>
              <w:rPr>
                <w:sz w:val="24"/>
              </w:rPr>
            </w:pPr>
            <w:r>
              <w:rPr>
                <w:sz w:val="24"/>
                <w:rtl/>
              </w:rPr>
              <w:t xml:space="preserve">סעיף 7 </w:t>
            </w:r>
          </w:p>
        </w:tc>
      </w:tr>
      <w:tr w:rsidR="00D6434F" w14:paraId="626EAC84" w14:textId="77777777">
        <w:tblPrEx>
          <w:tblCellMar>
            <w:top w:w="0" w:type="dxa"/>
            <w:bottom w:w="0" w:type="dxa"/>
          </w:tblCellMar>
        </w:tblPrEx>
        <w:tc>
          <w:tcPr>
            <w:tcW w:w="850" w:type="dxa"/>
          </w:tcPr>
          <w:p w14:paraId="733CBA11" w14:textId="77777777" w:rsidR="00D6434F" w:rsidRDefault="00D6434F">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CD7DF4">
              <w:rPr>
                <w:noProof/>
                <w:sz w:val="24"/>
                <w:rtl/>
              </w:rPr>
              <w:t>2</w:t>
            </w:r>
            <w:r>
              <w:rPr>
                <w:sz w:val="24"/>
                <w:rtl/>
              </w:rPr>
              <w:fldChar w:fldCharType="end"/>
            </w:r>
          </w:p>
        </w:tc>
        <w:tc>
          <w:tcPr>
            <w:tcW w:w="567" w:type="dxa"/>
          </w:tcPr>
          <w:p w14:paraId="7BBB153C" w14:textId="77777777" w:rsidR="00D6434F" w:rsidRDefault="00D6434F">
            <w:pPr>
              <w:spacing w:line="240" w:lineRule="auto"/>
              <w:rPr>
                <w:sz w:val="24"/>
              </w:rPr>
            </w:pPr>
            <w:hyperlink w:anchor="Seif7" w:tooltip="השם" w:history="1">
              <w:r>
                <w:rPr>
                  <w:rStyle w:val="Hyperlink"/>
                </w:rPr>
                <w:t>Go</w:t>
              </w:r>
            </w:hyperlink>
          </w:p>
        </w:tc>
        <w:tc>
          <w:tcPr>
            <w:tcW w:w="5669" w:type="dxa"/>
          </w:tcPr>
          <w:p w14:paraId="532A90C3" w14:textId="77777777" w:rsidR="00D6434F" w:rsidRDefault="00D6434F">
            <w:pPr>
              <w:spacing w:line="240" w:lineRule="auto"/>
              <w:rPr>
                <w:sz w:val="24"/>
                <w:rtl/>
              </w:rPr>
            </w:pPr>
            <w:r>
              <w:rPr>
                <w:sz w:val="24"/>
                <w:rtl/>
              </w:rPr>
              <w:t>השם</w:t>
            </w:r>
          </w:p>
        </w:tc>
        <w:tc>
          <w:tcPr>
            <w:tcW w:w="1247" w:type="dxa"/>
          </w:tcPr>
          <w:p w14:paraId="23006D52" w14:textId="77777777" w:rsidR="00D6434F" w:rsidRDefault="00D6434F">
            <w:pPr>
              <w:spacing w:line="240" w:lineRule="auto"/>
              <w:rPr>
                <w:sz w:val="24"/>
              </w:rPr>
            </w:pPr>
            <w:r>
              <w:rPr>
                <w:sz w:val="24"/>
                <w:rtl/>
              </w:rPr>
              <w:t xml:space="preserve">סעיף 8 </w:t>
            </w:r>
          </w:p>
        </w:tc>
      </w:tr>
    </w:tbl>
    <w:p w14:paraId="4ADD39F7" w14:textId="77777777" w:rsidR="00D6434F" w:rsidRDefault="00D6434F">
      <w:pPr>
        <w:pStyle w:val="big-header"/>
        <w:ind w:left="0" w:right="1134"/>
        <w:rPr>
          <w:rtl/>
        </w:rPr>
      </w:pPr>
    </w:p>
    <w:p w14:paraId="240595CB" w14:textId="77777777" w:rsidR="00D6434F" w:rsidRDefault="00D6434F" w:rsidP="006B4A8B">
      <w:pPr>
        <w:pStyle w:val="big-header"/>
        <w:ind w:left="0" w:right="1134"/>
        <w:rPr>
          <w:rStyle w:val="default"/>
          <w:rFonts w:cs="FrankRuehl" w:hint="cs"/>
          <w:rtl/>
        </w:rPr>
      </w:pPr>
      <w:r>
        <w:rPr>
          <w:rtl/>
        </w:rPr>
        <w:br w:type="page"/>
      </w:r>
      <w:r>
        <w:rPr>
          <w:rtl/>
        </w:rPr>
        <w:lastRenderedPageBreak/>
        <w:t>ת</w:t>
      </w:r>
      <w:r>
        <w:rPr>
          <w:rFonts w:hint="cs"/>
          <w:rtl/>
        </w:rPr>
        <w:t>קנות סדרי הדין (עתירה לגילוי ראיה), תשכ"ט</w:t>
      </w:r>
      <w:r w:rsidR="00CD7DF4">
        <w:rPr>
          <w:rFonts w:hint="cs"/>
          <w:rtl/>
        </w:rPr>
        <w:t>-</w:t>
      </w:r>
      <w:r>
        <w:rPr>
          <w:rFonts w:hint="cs"/>
          <w:rtl/>
        </w:rPr>
        <w:t>1969</w:t>
      </w:r>
      <w:r w:rsidR="00CD7DF4">
        <w:rPr>
          <w:rStyle w:val="a6"/>
          <w:rtl/>
        </w:rPr>
        <w:footnoteReference w:customMarkFollows="1" w:id="1"/>
        <w:t>*</w:t>
      </w:r>
    </w:p>
    <w:p w14:paraId="05505727" w14:textId="77777777" w:rsidR="00D6434F" w:rsidRDefault="00D6434F">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על פי סעיף 5א לפקודת העדות, ובתוקף שאר סמכויותי המסורות לי לפי כל דין, אני מתקין תקנות אלה: </w:t>
      </w:r>
    </w:p>
    <w:p w14:paraId="762C34CD" w14:textId="77777777" w:rsidR="00D6434F" w:rsidRDefault="00D6434F" w:rsidP="00CD7DF4">
      <w:pPr>
        <w:pStyle w:val="P00"/>
        <w:spacing w:before="72"/>
        <w:ind w:left="0" w:right="1134"/>
        <w:rPr>
          <w:rStyle w:val="default"/>
          <w:rFonts w:cs="FrankRuehl"/>
          <w:rtl/>
        </w:rPr>
      </w:pPr>
      <w:bookmarkStart w:id="0" w:name="Seif0"/>
      <w:bookmarkEnd w:id="0"/>
      <w:r>
        <w:rPr>
          <w:lang w:val="he-IL"/>
        </w:rPr>
        <w:pict w14:anchorId="767C0EB4">
          <v:rect id="_x0000_s1026" style="position:absolute;left:0;text-align:left;margin-left:464.5pt;margin-top:8.05pt;width:75.05pt;height:15.4pt;z-index:251654144" o:allowincell="f" filled="f" stroked="f" strokecolor="lime" strokeweight=".25pt">
            <v:textbox inset="0,0,0,0">
              <w:txbxContent>
                <w:p w14:paraId="6239C993" w14:textId="77777777" w:rsidR="00D6434F" w:rsidRDefault="00D6434F">
                  <w:pPr>
                    <w:spacing w:line="160" w:lineRule="exact"/>
                    <w:jc w:val="left"/>
                    <w:rPr>
                      <w:rFonts w:cs="Miriam"/>
                      <w:noProof/>
                      <w:szCs w:val="18"/>
                      <w:rtl/>
                    </w:rPr>
                  </w:pPr>
                  <w:r>
                    <w:rPr>
                      <w:rFonts w:cs="Miriam"/>
                      <w:szCs w:val="18"/>
                      <w:rtl/>
                    </w:rPr>
                    <w:t>ע</w:t>
                  </w:r>
                  <w:r>
                    <w:rPr>
                      <w:rFonts w:cs="Miriam" w:hint="cs"/>
                      <w:szCs w:val="18"/>
                      <w:rtl/>
                    </w:rPr>
                    <w:t>תירה</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על-דין המבקש גילוי ראיה שהוגשה עליה לבית המשפט תעו</w:t>
      </w:r>
      <w:r>
        <w:rPr>
          <w:rStyle w:val="default"/>
          <w:rFonts w:cs="FrankRuehl"/>
          <w:rtl/>
        </w:rPr>
        <w:t>ד</w:t>
      </w:r>
      <w:r>
        <w:rPr>
          <w:rStyle w:val="default"/>
          <w:rFonts w:cs="FrankRuehl" w:hint="cs"/>
          <w:rtl/>
        </w:rPr>
        <w:t xml:space="preserve">ה כאמור בסעיף 5א(א) לפקודה, יגיש לבית המשפט העליון עתירה בכתב לגילוי הראיה (להלן </w:t>
      </w:r>
      <w:r w:rsidR="00CD7DF4">
        <w:rPr>
          <w:rStyle w:val="default"/>
          <w:rFonts w:cs="FrankRuehl" w:hint="cs"/>
          <w:rtl/>
        </w:rPr>
        <w:t>-</w:t>
      </w:r>
      <w:r>
        <w:rPr>
          <w:rStyle w:val="default"/>
          <w:rFonts w:cs="FrankRuehl" w:hint="cs"/>
          <w:rtl/>
        </w:rPr>
        <w:t xml:space="preserve"> עתירה). </w:t>
      </w:r>
    </w:p>
    <w:p w14:paraId="18F2A12C" w14:textId="77777777" w:rsidR="00D6434F" w:rsidRDefault="00D6434F">
      <w:pPr>
        <w:pStyle w:val="P00"/>
        <w:spacing w:before="72"/>
        <w:ind w:left="0" w:right="1134"/>
        <w:rPr>
          <w:rStyle w:val="default"/>
          <w:rFonts w:cs="FrankRuehl" w:hint="cs"/>
          <w:rtl/>
        </w:rPr>
      </w:pPr>
      <w:bookmarkStart w:id="1" w:name="Seif1"/>
      <w:bookmarkEnd w:id="1"/>
      <w:r>
        <w:rPr>
          <w:lang w:val="he-IL"/>
        </w:rPr>
        <w:pict w14:anchorId="104D13F1">
          <v:rect id="_x0000_s1027" style="position:absolute;left:0;text-align:left;margin-left:464.5pt;margin-top:8.05pt;width:75.05pt;height:19.75pt;z-index:251655168" o:allowincell="f" filled="f" stroked="f" strokecolor="lime" strokeweight=".25pt">
            <v:textbox inset="0,0,0,0">
              <w:txbxContent>
                <w:p w14:paraId="65477A8B" w14:textId="77777777" w:rsidR="00D6434F" w:rsidRDefault="00D6434F">
                  <w:pPr>
                    <w:spacing w:line="160" w:lineRule="exact"/>
                    <w:jc w:val="left"/>
                    <w:rPr>
                      <w:rFonts w:cs="Miriam"/>
                      <w:noProof/>
                      <w:szCs w:val="18"/>
                      <w:rtl/>
                    </w:rPr>
                  </w:pPr>
                  <w:r>
                    <w:rPr>
                      <w:rFonts w:cs="Miriam"/>
                      <w:szCs w:val="18"/>
                      <w:rtl/>
                    </w:rPr>
                    <w:t>ת</w:t>
                  </w:r>
                  <w:r>
                    <w:rPr>
                      <w:rFonts w:cs="Miriam" w:hint="cs"/>
                      <w:szCs w:val="18"/>
                      <w:rtl/>
                    </w:rPr>
                    <w:t>וכן העתירה והגשתה</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העתירה תכלול </w:t>
      </w:r>
      <w:r w:rsidR="00CD7DF4">
        <w:rPr>
          <w:rStyle w:val="default"/>
          <w:rFonts w:cs="FrankRuehl"/>
          <w:rtl/>
        </w:rPr>
        <w:t>–</w:t>
      </w:r>
    </w:p>
    <w:p w14:paraId="2F1DE2D6" w14:textId="77777777" w:rsidR="00D6434F" w:rsidRDefault="00D6434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שם בית המשפט שאליו היא מוגשת; </w:t>
      </w:r>
    </w:p>
    <w:p w14:paraId="2893FB05" w14:textId="77777777" w:rsidR="00D6434F" w:rsidRDefault="00D6434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ציון בעלי הדין במשפט שבקשר אליו היא מוגשת, שם בית המשפט הדן במשפט האמור ומספר תיק בית המשפט; </w:t>
      </w:r>
    </w:p>
    <w:p w14:paraId="5011A909" w14:textId="77777777" w:rsidR="00D6434F" w:rsidRDefault="00D6434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בקש</w:t>
      </w:r>
      <w:r>
        <w:rPr>
          <w:rStyle w:val="default"/>
          <w:rFonts w:cs="FrankRuehl"/>
          <w:rtl/>
        </w:rPr>
        <w:t>ה</w:t>
      </w:r>
      <w:r>
        <w:rPr>
          <w:rStyle w:val="default"/>
          <w:rFonts w:cs="FrankRuehl" w:hint="cs"/>
          <w:rtl/>
        </w:rPr>
        <w:t xml:space="preserve"> לגילוי הראיה, ובלבד שלא יהיה בבקשה גילוי תוכן הראיה או פרט אחר בראיה שאת גילויו סירבו. </w:t>
      </w:r>
    </w:p>
    <w:p w14:paraId="508E9D47" w14:textId="77777777" w:rsidR="00D6434F" w:rsidRDefault="00D643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העתירה תוגש במספר עתקים כמספר בעלי הדין במשפט שבקשר אליו היא מוגשת ושני עתקים נוספים, ותימסר לידי רשם בית המשפט העליון. </w:t>
      </w:r>
    </w:p>
    <w:p w14:paraId="0A3492ED" w14:textId="77777777" w:rsidR="00D6434F" w:rsidRDefault="00D643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יפרסם אדם את דבר הגשתה של עתירה </w:t>
      </w:r>
      <w:r>
        <w:rPr>
          <w:rStyle w:val="default"/>
          <w:rFonts w:cs="FrankRuehl"/>
          <w:rtl/>
        </w:rPr>
        <w:t>ו</w:t>
      </w:r>
      <w:r>
        <w:rPr>
          <w:rStyle w:val="default"/>
          <w:rFonts w:cs="FrankRuehl" w:hint="cs"/>
          <w:rtl/>
        </w:rPr>
        <w:t xml:space="preserve">את תכנה אלא ברשות בית המשפט שאליו הוגשה. </w:t>
      </w:r>
    </w:p>
    <w:p w14:paraId="1DF53151" w14:textId="77777777" w:rsidR="00D6434F" w:rsidRDefault="00D6434F" w:rsidP="00CD7DF4">
      <w:pPr>
        <w:pStyle w:val="P00"/>
        <w:spacing w:before="72"/>
        <w:ind w:left="0" w:right="1134"/>
        <w:rPr>
          <w:rStyle w:val="default"/>
          <w:rFonts w:cs="FrankRuehl"/>
          <w:rtl/>
        </w:rPr>
      </w:pPr>
      <w:bookmarkStart w:id="2" w:name="Seif2"/>
      <w:bookmarkEnd w:id="2"/>
      <w:r>
        <w:rPr>
          <w:lang w:val="he-IL"/>
        </w:rPr>
        <w:pict w14:anchorId="7802C476">
          <v:rect id="_x0000_s1028" style="position:absolute;left:0;text-align:left;margin-left:464.5pt;margin-top:8.05pt;width:75.05pt;height:16pt;z-index:251656192" o:allowincell="f" filled="f" stroked="f" strokecolor="lime" strokeweight=".25pt">
            <v:textbox inset="0,0,0,0">
              <w:txbxContent>
                <w:p w14:paraId="4C0C1358" w14:textId="77777777" w:rsidR="00D6434F" w:rsidRDefault="00D6434F">
                  <w:pPr>
                    <w:spacing w:line="160" w:lineRule="exact"/>
                    <w:jc w:val="left"/>
                    <w:rPr>
                      <w:rFonts w:cs="Miriam"/>
                      <w:noProof/>
                      <w:szCs w:val="18"/>
                      <w:rtl/>
                    </w:rPr>
                  </w:pPr>
                  <w:r>
                    <w:rPr>
                      <w:rFonts w:cs="Miriam"/>
                      <w:szCs w:val="18"/>
                      <w:rtl/>
                    </w:rPr>
                    <w:t>ה</w:t>
                  </w:r>
                  <w:r>
                    <w:rPr>
                      <w:rFonts w:cs="Miriam" w:hint="cs"/>
                      <w:szCs w:val="18"/>
                      <w:rtl/>
                    </w:rPr>
                    <w:t>זמנת בעלי הדין</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הוגשה עתירה </w:t>
      </w:r>
      <w:r w:rsidR="00CD7DF4">
        <w:rPr>
          <w:rStyle w:val="default"/>
          <w:rFonts w:cs="FrankRuehl" w:hint="cs"/>
          <w:rtl/>
        </w:rPr>
        <w:t>-</w:t>
      </w:r>
      <w:r>
        <w:rPr>
          <w:rStyle w:val="default"/>
          <w:rFonts w:cs="FrankRuehl" w:hint="cs"/>
          <w:rtl/>
        </w:rPr>
        <w:t xml:space="preserve"> יקבע רשם בית המשפט העליון מועד לשמיעתה, ויזמין את בעלי הדין בהזמנה בכתב לשמיעת העתירה. </w:t>
      </w:r>
    </w:p>
    <w:p w14:paraId="6271B223" w14:textId="77777777" w:rsidR="00D6434F" w:rsidRDefault="00D6434F" w:rsidP="00CD7DF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להזמנת בעלי הדין </w:t>
      </w:r>
      <w:r w:rsidR="00CD7DF4">
        <w:rPr>
          <w:rStyle w:val="default"/>
          <w:rFonts w:cs="FrankRuehl" w:hint="cs"/>
          <w:rtl/>
        </w:rPr>
        <w:t>-</w:t>
      </w:r>
      <w:r>
        <w:rPr>
          <w:rStyle w:val="default"/>
          <w:rFonts w:cs="FrankRuehl" w:hint="cs"/>
          <w:rtl/>
        </w:rPr>
        <w:t xml:space="preserve"> למעט המבקש </w:t>
      </w:r>
      <w:r w:rsidR="00CD7DF4">
        <w:rPr>
          <w:rStyle w:val="default"/>
          <w:rFonts w:cs="FrankRuehl" w:hint="cs"/>
          <w:rtl/>
        </w:rPr>
        <w:t>-</w:t>
      </w:r>
      <w:r>
        <w:rPr>
          <w:rStyle w:val="default"/>
          <w:rFonts w:cs="FrankRuehl" w:hint="cs"/>
          <w:rtl/>
        </w:rPr>
        <w:t xml:space="preserve"> יצורף העתק של העתירה. </w:t>
      </w:r>
    </w:p>
    <w:p w14:paraId="3ECBCE05" w14:textId="77777777" w:rsidR="00D6434F" w:rsidRDefault="00D643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היתה העתירה אגב הליכים שהמדינה אינה בע</w:t>
      </w:r>
      <w:r>
        <w:rPr>
          <w:rStyle w:val="default"/>
          <w:rFonts w:cs="FrankRuehl"/>
          <w:rtl/>
        </w:rPr>
        <w:t>ל</w:t>
      </w:r>
      <w:r>
        <w:rPr>
          <w:rStyle w:val="default"/>
          <w:rFonts w:cs="FrankRuehl" w:hint="cs"/>
          <w:rtl/>
        </w:rPr>
        <w:t xml:space="preserve">-דין בהם, יוזמן לשמיעת העתירה כאמור גם היועץ המשפטי לממשלה. </w:t>
      </w:r>
    </w:p>
    <w:p w14:paraId="2BAB5F79" w14:textId="77777777" w:rsidR="00D6434F" w:rsidRDefault="00D6434F">
      <w:pPr>
        <w:pStyle w:val="P00"/>
        <w:spacing w:before="72"/>
        <w:ind w:left="0" w:right="1134"/>
        <w:rPr>
          <w:rStyle w:val="default"/>
          <w:rFonts w:cs="FrankRuehl"/>
          <w:rtl/>
        </w:rPr>
      </w:pPr>
      <w:bookmarkStart w:id="3" w:name="Seif3"/>
      <w:bookmarkEnd w:id="3"/>
      <w:r>
        <w:rPr>
          <w:lang w:val="he-IL"/>
        </w:rPr>
        <w:pict w14:anchorId="1D37E0C0">
          <v:rect id="_x0000_s1029" style="position:absolute;left:0;text-align:left;margin-left:464.5pt;margin-top:8.05pt;width:75.05pt;height:18.95pt;z-index:251657216" o:allowincell="f" filled="f" stroked="f" strokecolor="lime" strokeweight=".25pt">
            <v:textbox inset="0,0,0,0">
              <w:txbxContent>
                <w:p w14:paraId="207E5B16" w14:textId="77777777" w:rsidR="00D6434F" w:rsidRDefault="00D6434F">
                  <w:pPr>
                    <w:spacing w:line="160" w:lineRule="exact"/>
                    <w:jc w:val="left"/>
                    <w:rPr>
                      <w:rFonts w:cs="Miriam"/>
                      <w:noProof/>
                      <w:szCs w:val="18"/>
                      <w:rtl/>
                    </w:rPr>
                  </w:pPr>
                  <w:r>
                    <w:rPr>
                      <w:rFonts w:cs="Miriam"/>
                      <w:szCs w:val="18"/>
                      <w:rtl/>
                    </w:rPr>
                    <w:t>בק</w:t>
                  </w:r>
                  <w:r>
                    <w:rPr>
                      <w:rFonts w:cs="Miriam" w:hint="cs"/>
                      <w:szCs w:val="18"/>
                      <w:rtl/>
                    </w:rPr>
                    <w:t>שה להפסקת משפט</w:t>
                  </w:r>
                </w:p>
              </w:txbxContent>
            </v:textbox>
            <w10:anchorlock/>
          </v:rect>
        </w:pict>
      </w:r>
      <w:r>
        <w:rPr>
          <w:rStyle w:val="big-number"/>
          <w:rtl/>
        </w:rPr>
        <w:t>4.</w:t>
      </w:r>
      <w:r>
        <w:rPr>
          <w:rStyle w:val="big-number"/>
          <w:rtl/>
        </w:rPr>
        <w:tab/>
      </w:r>
      <w:r>
        <w:rPr>
          <w:rStyle w:val="default"/>
          <w:rFonts w:cs="FrankRuehl"/>
          <w:rtl/>
        </w:rPr>
        <w:t>ב</w:t>
      </w:r>
      <w:r>
        <w:rPr>
          <w:rStyle w:val="default"/>
          <w:rFonts w:cs="FrankRuehl" w:hint="cs"/>
          <w:rtl/>
        </w:rPr>
        <w:t xml:space="preserve">קשה להפסקת משפט על פי סעיף 5א(ב) לפקודה תיעשה על ידי בעל דין בעל-פה בשעת דיון; בדונו בבקשה כאמור, רשאי בית המשפט לצוות על דיון בדלתיים סגורות. </w:t>
      </w:r>
    </w:p>
    <w:p w14:paraId="687A6DA3" w14:textId="77777777" w:rsidR="00D6434F" w:rsidRDefault="00D6434F">
      <w:pPr>
        <w:pStyle w:val="P00"/>
        <w:spacing w:before="72"/>
        <w:ind w:left="0" w:right="1134"/>
        <w:rPr>
          <w:rStyle w:val="default"/>
          <w:rFonts w:cs="FrankRuehl"/>
          <w:rtl/>
        </w:rPr>
      </w:pPr>
      <w:bookmarkStart w:id="4" w:name="Seif4"/>
      <w:bookmarkEnd w:id="4"/>
      <w:r>
        <w:rPr>
          <w:lang w:val="he-IL"/>
        </w:rPr>
        <w:pict w14:anchorId="03B5DF39">
          <v:rect id="_x0000_s1030" style="position:absolute;left:0;text-align:left;margin-left:464.5pt;margin-top:8.05pt;width:75.05pt;height:30.85pt;z-index:251658240" o:allowincell="f" filled="f" stroked="f" strokecolor="lime" strokeweight=".25pt">
            <v:textbox inset="0,0,0,0">
              <w:txbxContent>
                <w:p w14:paraId="0617EAA0" w14:textId="77777777" w:rsidR="00D6434F" w:rsidRDefault="00D6434F" w:rsidP="00CD7DF4">
                  <w:pPr>
                    <w:spacing w:line="160" w:lineRule="exact"/>
                    <w:jc w:val="left"/>
                    <w:rPr>
                      <w:rFonts w:cs="Miriam"/>
                      <w:noProof/>
                      <w:szCs w:val="18"/>
                      <w:rtl/>
                    </w:rPr>
                  </w:pPr>
                  <w:r>
                    <w:rPr>
                      <w:rFonts w:cs="Miriam"/>
                      <w:szCs w:val="18"/>
                      <w:rtl/>
                    </w:rPr>
                    <w:t>ר</w:t>
                  </w:r>
                  <w:r>
                    <w:rPr>
                      <w:rFonts w:cs="Miriam" w:hint="cs"/>
                      <w:szCs w:val="18"/>
                      <w:rtl/>
                    </w:rPr>
                    <w:t>איה אשר</w:t>
                  </w:r>
                  <w:r w:rsidR="00CD7DF4">
                    <w:rPr>
                      <w:rFonts w:cs="Miriam" w:hint="cs"/>
                      <w:szCs w:val="18"/>
                      <w:rtl/>
                    </w:rPr>
                    <w:t xml:space="preserve"> </w:t>
                  </w:r>
                  <w:r>
                    <w:rPr>
                      <w:rFonts w:cs="Miriam"/>
                      <w:szCs w:val="18"/>
                      <w:rtl/>
                    </w:rPr>
                    <w:t>ס</w:t>
                  </w:r>
                  <w:r>
                    <w:rPr>
                      <w:rFonts w:cs="Miriam" w:hint="cs"/>
                      <w:szCs w:val="18"/>
                      <w:rtl/>
                    </w:rPr>
                    <w:t>עיף 5א(ג) לפקודה חל עליה</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עתירה לגילוי ראיה שסעיף 5א(ג) לפקודה חל עליה תיעשה על ידי בעל דין בעל-פה בשעת דיון. </w:t>
      </w:r>
    </w:p>
    <w:p w14:paraId="3BCCE766" w14:textId="77777777" w:rsidR="00D6434F" w:rsidRDefault="00D643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לאחר שמיעת בעל הדין העותר, יתן בית המשפט או שופט בית המשפט העליון, לפי הענין, ליתר בעלי הדין אפ</w:t>
      </w:r>
      <w:r>
        <w:rPr>
          <w:rStyle w:val="default"/>
          <w:rFonts w:cs="FrankRuehl"/>
          <w:rtl/>
        </w:rPr>
        <w:t>ש</w:t>
      </w:r>
      <w:r>
        <w:rPr>
          <w:rStyle w:val="default"/>
          <w:rFonts w:cs="FrankRuehl" w:hint="cs"/>
          <w:rtl/>
        </w:rPr>
        <w:t xml:space="preserve">רות להשמיע את דבריהם. </w:t>
      </w:r>
    </w:p>
    <w:p w14:paraId="3ED5FE16" w14:textId="77777777" w:rsidR="00D6434F" w:rsidRDefault="00D6434F">
      <w:pPr>
        <w:pStyle w:val="P00"/>
        <w:spacing w:before="72"/>
        <w:ind w:left="0" w:right="1134"/>
        <w:rPr>
          <w:rStyle w:val="default"/>
          <w:rFonts w:cs="FrankRuehl"/>
          <w:rtl/>
        </w:rPr>
      </w:pPr>
      <w:bookmarkStart w:id="5" w:name="Seif5"/>
      <w:bookmarkEnd w:id="5"/>
      <w:r>
        <w:rPr>
          <w:lang w:val="he-IL"/>
        </w:rPr>
        <w:pict w14:anchorId="73414D65">
          <v:rect id="_x0000_s1031" style="position:absolute;left:0;text-align:left;margin-left:464.5pt;margin-top:8.05pt;width:75.05pt;height:35.5pt;z-index:251659264" o:allowincell="f" filled="f" stroked="f" strokecolor="lime" strokeweight=".25pt">
            <v:textbox inset="0,0,0,0">
              <w:txbxContent>
                <w:p w14:paraId="6F517CC1" w14:textId="77777777" w:rsidR="00D6434F" w:rsidRDefault="00D6434F">
                  <w:pPr>
                    <w:spacing w:line="160" w:lineRule="exact"/>
                    <w:jc w:val="left"/>
                    <w:rPr>
                      <w:rFonts w:cs="Miriam"/>
                      <w:noProof/>
                      <w:szCs w:val="18"/>
                      <w:rtl/>
                    </w:rPr>
                  </w:pPr>
                  <w:r>
                    <w:rPr>
                      <w:rFonts w:cs="Miriam"/>
                      <w:szCs w:val="18"/>
                      <w:rtl/>
                    </w:rPr>
                    <w:t>ה</w:t>
                  </w:r>
                  <w:r>
                    <w:rPr>
                      <w:rFonts w:cs="Miriam" w:hint="cs"/>
                      <w:szCs w:val="18"/>
                      <w:rtl/>
                    </w:rPr>
                    <w:t>סברים מהיועץ המשפטי לממשלה ומנציגי המשרד הנוגע בדבר</w:t>
                  </w:r>
                </w:p>
              </w:txbxContent>
            </v:textbox>
            <w10:anchorlock/>
          </v:rect>
        </w:pict>
      </w:r>
      <w:r>
        <w:rPr>
          <w:rStyle w:val="big-number"/>
          <w:rtl/>
        </w:rPr>
        <w:t>6.</w:t>
      </w:r>
      <w:r>
        <w:rPr>
          <w:rStyle w:val="big-number"/>
          <w:rtl/>
        </w:rPr>
        <w:tab/>
      </w:r>
      <w:r>
        <w:rPr>
          <w:rStyle w:val="default"/>
          <w:rFonts w:cs="FrankRuehl"/>
          <w:rtl/>
        </w:rPr>
        <w:t>ב</w:t>
      </w:r>
      <w:r>
        <w:rPr>
          <w:rStyle w:val="default"/>
          <w:rFonts w:cs="FrankRuehl" w:hint="cs"/>
          <w:rtl/>
        </w:rPr>
        <w:t xml:space="preserve">ית המשפט או שופט בית המשפט העליון, לפי הענין, רשאי לקבל הסברים מן היועץ המשפטי לממשלה, מנציגו או מנציג המשרד הממשלתי הנוגע בדבר, אף בהעדר יתר בעלי הדין. </w:t>
      </w:r>
    </w:p>
    <w:p w14:paraId="32815727" w14:textId="77777777" w:rsidR="00D6434F" w:rsidRDefault="00D6434F">
      <w:pPr>
        <w:pStyle w:val="P00"/>
        <w:spacing w:before="72"/>
        <w:ind w:left="0" w:right="1134"/>
        <w:rPr>
          <w:rStyle w:val="default"/>
          <w:rFonts w:cs="FrankRuehl"/>
          <w:rtl/>
        </w:rPr>
      </w:pPr>
      <w:bookmarkStart w:id="6" w:name="Seif6"/>
      <w:bookmarkEnd w:id="6"/>
      <w:r>
        <w:rPr>
          <w:lang w:val="he-IL"/>
        </w:rPr>
        <w:pict w14:anchorId="2B4304AB">
          <v:rect id="_x0000_s1032" style="position:absolute;left:0;text-align:left;margin-left:464.5pt;margin-top:8.05pt;width:75.05pt;height:25pt;z-index:251660288" o:allowincell="f" filled="f" stroked="f" strokecolor="lime" strokeweight=".25pt">
            <v:textbox inset="0,0,0,0">
              <w:txbxContent>
                <w:p w14:paraId="4294F332" w14:textId="77777777" w:rsidR="00D6434F" w:rsidRDefault="00D6434F" w:rsidP="00CD7DF4">
                  <w:pPr>
                    <w:spacing w:line="160" w:lineRule="exact"/>
                    <w:jc w:val="left"/>
                    <w:rPr>
                      <w:rFonts w:cs="Miriam"/>
                      <w:noProof/>
                      <w:szCs w:val="18"/>
                      <w:rtl/>
                    </w:rPr>
                  </w:pPr>
                  <w:r>
                    <w:rPr>
                      <w:rFonts w:cs="Miriam"/>
                      <w:szCs w:val="18"/>
                      <w:rtl/>
                    </w:rPr>
                    <w:t>ה</w:t>
                  </w:r>
                  <w:r>
                    <w:rPr>
                      <w:rFonts w:cs="Miriam" w:hint="cs"/>
                      <w:szCs w:val="18"/>
                      <w:rtl/>
                    </w:rPr>
                    <w:t>באת ראיה לידיעת שופט</w:t>
                  </w:r>
                  <w:r w:rsidR="00CD7DF4">
                    <w:rPr>
                      <w:rFonts w:cs="Miriam" w:hint="cs"/>
                      <w:szCs w:val="18"/>
                      <w:rtl/>
                    </w:rPr>
                    <w:t xml:space="preserve"> </w:t>
                  </w:r>
                  <w:r>
                    <w:rPr>
                      <w:rFonts w:cs="Miriam"/>
                      <w:szCs w:val="18"/>
                      <w:rtl/>
                    </w:rPr>
                    <w:t>א</w:t>
                  </w:r>
                  <w:r>
                    <w:rPr>
                      <w:rFonts w:cs="Miriam" w:hint="cs"/>
                      <w:szCs w:val="18"/>
                      <w:rtl/>
                    </w:rPr>
                    <w:t>ו בית המשפט</w:t>
                  </w:r>
                </w:p>
              </w:txbxContent>
            </v:textbox>
            <w10:anchorlock/>
          </v:rect>
        </w:pict>
      </w:r>
      <w:r>
        <w:rPr>
          <w:rStyle w:val="big-number"/>
          <w:rtl/>
        </w:rPr>
        <w:t>7.</w:t>
      </w:r>
      <w:r>
        <w:rPr>
          <w:rStyle w:val="big-number"/>
          <w:rtl/>
        </w:rPr>
        <w:tab/>
      </w:r>
      <w:r>
        <w:rPr>
          <w:rStyle w:val="default"/>
          <w:rFonts w:cs="FrankRuehl"/>
          <w:rtl/>
        </w:rPr>
        <w:t>ד</w:t>
      </w:r>
      <w:r>
        <w:rPr>
          <w:rStyle w:val="default"/>
          <w:rFonts w:cs="FrankRuehl" w:hint="cs"/>
          <w:rtl/>
        </w:rPr>
        <w:t>רש בית המשפט או שופט בית המשפט העליון, לפי הענין, שהראיה נשוא העתירה</w:t>
      </w:r>
      <w:r>
        <w:rPr>
          <w:rStyle w:val="default"/>
          <w:rFonts w:cs="FrankRuehl"/>
          <w:rtl/>
        </w:rPr>
        <w:t xml:space="preserve">, </w:t>
      </w:r>
      <w:r>
        <w:rPr>
          <w:rStyle w:val="default"/>
          <w:rFonts w:cs="FrankRuehl" w:hint="cs"/>
          <w:rtl/>
        </w:rPr>
        <w:t xml:space="preserve">או תכנה, יובאו לידיעתו, יקבע את הדרכים והזמן לכך לאחר שנתן ליועץ המשפטי לממשלה, לנציגו או לנציג המשרד הממשלתי הנוגע בדבר הזדמנות להשמיע דברו בענין זה, ורשאי הוא לשמוע דבריהם אף בהעדר יתר בעלי הדין. </w:t>
      </w:r>
    </w:p>
    <w:p w14:paraId="26F93FBF" w14:textId="77777777" w:rsidR="00D6434F" w:rsidRDefault="00D6434F" w:rsidP="00CD7DF4">
      <w:pPr>
        <w:pStyle w:val="P00"/>
        <w:spacing w:before="72"/>
        <w:ind w:left="0" w:right="1134"/>
        <w:rPr>
          <w:rStyle w:val="default"/>
          <w:rFonts w:cs="FrankRuehl"/>
          <w:rtl/>
        </w:rPr>
      </w:pPr>
      <w:bookmarkStart w:id="7" w:name="Seif7"/>
      <w:bookmarkEnd w:id="7"/>
      <w:r>
        <w:rPr>
          <w:lang w:val="he-IL"/>
        </w:rPr>
        <w:pict w14:anchorId="4516DA07">
          <v:rect id="_x0000_s1033" style="position:absolute;left:0;text-align:left;margin-left:464.5pt;margin-top:8.05pt;width:75.05pt;height:10.9pt;z-index:251661312" o:allowincell="f" filled="f" stroked="f" strokecolor="lime" strokeweight=".25pt">
            <v:textbox inset="0,0,0,0">
              <w:txbxContent>
                <w:p w14:paraId="006DAB77" w14:textId="77777777" w:rsidR="00D6434F" w:rsidRDefault="00D6434F">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8.</w:t>
      </w:r>
      <w:r>
        <w:rPr>
          <w:rStyle w:val="big-number"/>
          <w:rtl/>
        </w:rPr>
        <w:tab/>
      </w:r>
      <w:r>
        <w:rPr>
          <w:rStyle w:val="default"/>
          <w:rFonts w:cs="FrankRuehl"/>
          <w:rtl/>
        </w:rPr>
        <w:t>ל</w:t>
      </w:r>
      <w:r>
        <w:rPr>
          <w:rStyle w:val="default"/>
          <w:rFonts w:cs="FrankRuehl" w:hint="cs"/>
          <w:rtl/>
        </w:rPr>
        <w:t>תקנות אלה ייקרא "תקנות סדרי הדין (עתירה לגילוי ראי</w:t>
      </w:r>
      <w:r>
        <w:rPr>
          <w:rStyle w:val="default"/>
          <w:rFonts w:cs="FrankRuehl"/>
          <w:rtl/>
        </w:rPr>
        <w:t>ה</w:t>
      </w:r>
      <w:r>
        <w:rPr>
          <w:rStyle w:val="default"/>
          <w:rFonts w:cs="FrankRuehl" w:hint="cs"/>
          <w:rtl/>
        </w:rPr>
        <w:t>), תשכ"ט</w:t>
      </w:r>
      <w:r w:rsidR="00CD7DF4">
        <w:rPr>
          <w:rStyle w:val="default"/>
          <w:rFonts w:cs="FrankRuehl" w:hint="cs"/>
          <w:rtl/>
        </w:rPr>
        <w:t>-1969".</w:t>
      </w:r>
    </w:p>
    <w:p w14:paraId="430F4E4A" w14:textId="77777777" w:rsidR="00D6434F" w:rsidRDefault="00D6434F">
      <w:pPr>
        <w:pStyle w:val="P00"/>
        <w:spacing w:before="72"/>
        <w:ind w:left="0" w:right="1134"/>
        <w:rPr>
          <w:rStyle w:val="default"/>
          <w:rFonts w:cs="FrankRuehl" w:hint="cs"/>
          <w:rtl/>
        </w:rPr>
      </w:pPr>
    </w:p>
    <w:p w14:paraId="3D3B46CC" w14:textId="77777777" w:rsidR="00CD7DF4" w:rsidRDefault="00CD7DF4">
      <w:pPr>
        <w:pStyle w:val="P00"/>
        <w:spacing w:before="72"/>
        <w:ind w:left="0" w:right="1134"/>
        <w:rPr>
          <w:rStyle w:val="default"/>
          <w:rFonts w:cs="FrankRuehl" w:hint="cs"/>
          <w:rtl/>
        </w:rPr>
      </w:pPr>
    </w:p>
    <w:p w14:paraId="2617D8C0" w14:textId="77777777" w:rsidR="00D6434F" w:rsidRDefault="00D6434F">
      <w:pPr>
        <w:pStyle w:val="sig-0"/>
        <w:ind w:left="0" w:right="1134"/>
        <w:rPr>
          <w:rtl/>
        </w:rPr>
      </w:pPr>
      <w:r>
        <w:rPr>
          <w:rtl/>
        </w:rPr>
        <w:t>ו</w:t>
      </w:r>
      <w:r>
        <w:rPr>
          <w:rFonts w:hint="cs"/>
          <w:rtl/>
        </w:rPr>
        <w:t xml:space="preserve">' באדר תשכ"ט (24 בפברואר 1969) </w:t>
      </w:r>
      <w:r>
        <w:rPr>
          <w:rtl/>
        </w:rPr>
        <w:tab/>
      </w:r>
      <w:r>
        <w:rPr>
          <w:rFonts w:hint="cs"/>
          <w:rtl/>
        </w:rPr>
        <w:t>יעקב ש' שפירא</w:t>
      </w:r>
    </w:p>
    <w:p w14:paraId="7BE31304" w14:textId="77777777" w:rsidR="00D6434F" w:rsidRDefault="00D6434F">
      <w:pPr>
        <w:pStyle w:val="sig-1"/>
        <w:widowControl/>
        <w:ind w:left="0" w:right="1134"/>
        <w:rPr>
          <w:rtl/>
        </w:rPr>
      </w:pPr>
      <w:r>
        <w:rPr>
          <w:rtl/>
        </w:rPr>
        <w:tab/>
      </w:r>
      <w:r>
        <w:rPr>
          <w:rtl/>
        </w:rPr>
        <w:tab/>
      </w:r>
      <w:r>
        <w:rPr>
          <w:rtl/>
        </w:rPr>
        <w:tab/>
      </w:r>
      <w:r>
        <w:rPr>
          <w:rFonts w:hint="cs"/>
          <w:rtl/>
        </w:rPr>
        <w:t>שר המשפטים</w:t>
      </w:r>
    </w:p>
    <w:p w14:paraId="515D756A" w14:textId="77777777" w:rsidR="00D6434F" w:rsidRPr="00CD7DF4" w:rsidRDefault="00D6434F" w:rsidP="00CD7DF4">
      <w:pPr>
        <w:pStyle w:val="P00"/>
        <w:spacing w:before="72"/>
        <w:ind w:left="0" w:right="1134"/>
        <w:rPr>
          <w:rStyle w:val="default"/>
          <w:rFonts w:cs="FrankRuehl"/>
          <w:rtl/>
        </w:rPr>
      </w:pPr>
    </w:p>
    <w:p w14:paraId="096E522E" w14:textId="77777777" w:rsidR="00D6434F" w:rsidRPr="00CD7DF4" w:rsidRDefault="00D6434F" w:rsidP="00CD7DF4">
      <w:pPr>
        <w:pStyle w:val="P00"/>
        <w:spacing w:before="72"/>
        <w:ind w:left="0" w:right="1134"/>
        <w:rPr>
          <w:rStyle w:val="default"/>
          <w:rFonts w:cs="FrankRuehl"/>
          <w:rtl/>
        </w:rPr>
      </w:pPr>
    </w:p>
    <w:p w14:paraId="68536D0D" w14:textId="77777777" w:rsidR="00D6434F" w:rsidRPr="00CD7DF4" w:rsidRDefault="00D6434F" w:rsidP="00CD7DF4">
      <w:pPr>
        <w:pStyle w:val="P00"/>
        <w:spacing w:before="72"/>
        <w:ind w:left="0" w:right="1134"/>
        <w:rPr>
          <w:rStyle w:val="default"/>
          <w:rFonts w:cs="FrankRuehl"/>
          <w:rtl/>
        </w:rPr>
      </w:pPr>
      <w:bookmarkStart w:id="8" w:name="LawPartEnd"/>
    </w:p>
    <w:bookmarkEnd w:id="8"/>
    <w:p w14:paraId="638B6A5B" w14:textId="77777777" w:rsidR="00D6434F" w:rsidRPr="00CD7DF4" w:rsidRDefault="00D6434F" w:rsidP="00CD7DF4">
      <w:pPr>
        <w:pStyle w:val="P00"/>
        <w:spacing w:before="72"/>
        <w:ind w:left="0" w:right="1134"/>
        <w:rPr>
          <w:rStyle w:val="default"/>
          <w:rFonts w:cs="FrankRuehl"/>
          <w:rtl/>
        </w:rPr>
      </w:pPr>
    </w:p>
    <w:sectPr w:rsidR="00D6434F" w:rsidRPr="00CD7DF4">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964A3" w14:textId="77777777" w:rsidR="005840D7" w:rsidRDefault="005840D7">
      <w:pPr>
        <w:spacing w:line="240" w:lineRule="auto"/>
      </w:pPr>
      <w:r>
        <w:separator/>
      </w:r>
    </w:p>
  </w:endnote>
  <w:endnote w:type="continuationSeparator" w:id="0">
    <w:p w14:paraId="7AF6EF09" w14:textId="77777777" w:rsidR="005840D7" w:rsidRDefault="005840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98446" w14:textId="77777777" w:rsidR="00D6434F" w:rsidRDefault="00D6434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69434B8" w14:textId="77777777" w:rsidR="00D6434F" w:rsidRDefault="00D6434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EB72EAA" w14:textId="77777777" w:rsidR="00D6434F" w:rsidRDefault="00D6434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D7DF4">
      <w:rPr>
        <w:rFonts w:cs="TopType Jerushalmi"/>
        <w:noProof/>
        <w:color w:val="000000"/>
        <w:sz w:val="14"/>
        <w:szCs w:val="14"/>
      </w:rPr>
      <w:t>D:\Yael\hakika\Revadim\055_205.doc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E8B08" w14:textId="77777777" w:rsidR="00D6434F" w:rsidRDefault="00D6434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B4A8B">
      <w:rPr>
        <w:rFonts w:hAnsi="FrankRuehl" w:cs="FrankRuehl"/>
        <w:noProof/>
        <w:sz w:val="24"/>
        <w:szCs w:val="24"/>
        <w:rtl/>
      </w:rPr>
      <w:t>2</w:t>
    </w:r>
    <w:r>
      <w:rPr>
        <w:rFonts w:hAnsi="FrankRuehl" w:cs="FrankRuehl"/>
        <w:sz w:val="24"/>
        <w:szCs w:val="24"/>
        <w:rtl/>
      </w:rPr>
      <w:fldChar w:fldCharType="end"/>
    </w:r>
  </w:p>
  <w:p w14:paraId="10E8593F" w14:textId="77777777" w:rsidR="00D6434F" w:rsidRDefault="00D6434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CB4873A" w14:textId="77777777" w:rsidR="00D6434F" w:rsidRDefault="00D6434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D7DF4">
      <w:rPr>
        <w:rFonts w:cs="TopType Jerushalmi"/>
        <w:noProof/>
        <w:color w:val="000000"/>
        <w:sz w:val="14"/>
        <w:szCs w:val="14"/>
      </w:rPr>
      <w:t>D:\Yael\hakika\Revadim\055_205.doc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72A71" w14:textId="77777777" w:rsidR="005840D7" w:rsidRDefault="005840D7" w:rsidP="00CD7DF4">
      <w:pPr>
        <w:spacing w:before="60" w:line="240" w:lineRule="auto"/>
        <w:ind w:right="1134"/>
      </w:pPr>
      <w:r>
        <w:separator/>
      </w:r>
    </w:p>
  </w:footnote>
  <w:footnote w:type="continuationSeparator" w:id="0">
    <w:p w14:paraId="55FEBB78" w14:textId="77777777" w:rsidR="005840D7" w:rsidRDefault="005840D7">
      <w:pPr>
        <w:spacing w:line="240" w:lineRule="auto"/>
      </w:pPr>
      <w:r>
        <w:continuationSeparator/>
      </w:r>
    </w:p>
  </w:footnote>
  <w:footnote w:id="1">
    <w:p w14:paraId="4A513814" w14:textId="77777777" w:rsidR="00CD7DF4" w:rsidRPr="00CD7DF4" w:rsidRDefault="00CD7DF4" w:rsidP="00CD7DF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CD7DF4">
        <w:rPr>
          <w:sz w:val="20"/>
          <w:rtl/>
        </w:rPr>
        <w:t xml:space="preserve">* </w:t>
      </w:r>
      <w:r>
        <w:rPr>
          <w:sz w:val="20"/>
          <w:rtl/>
        </w:rPr>
        <w:t>פ</w:t>
      </w:r>
      <w:r>
        <w:rPr>
          <w:rFonts w:hint="cs"/>
          <w:sz w:val="20"/>
          <w:rtl/>
        </w:rPr>
        <w:t xml:space="preserve">ורסמו </w:t>
      </w:r>
      <w:hyperlink r:id="rId1" w:history="1">
        <w:r w:rsidRPr="008C0085">
          <w:rPr>
            <w:rStyle w:val="Hyperlink"/>
            <w:rFonts w:hint="cs"/>
            <w:sz w:val="20"/>
            <w:rtl/>
          </w:rPr>
          <w:t>ק"ת תשכ"ט מס' 2360</w:t>
        </w:r>
      </w:hyperlink>
      <w:r>
        <w:rPr>
          <w:rFonts w:hint="cs"/>
          <w:sz w:val="20"/>
          <w:rtl/>
        </w:rPr>
        <w:t xml:space="preserve"> מיום 13.3.1969 עמ' 1046.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A1F69" w14:textId="77777777" w:rsidR="00D6434F" w:rsidRDefault="00D6434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סדרי הדין (עתירה לגילוי ראיה), תשכ"ט–1969</w:t>
    </w:r>
  </w:p>
  <w:p w14:paraId="5FA3CB0C" w14:textId="77777777" w:rsidR="00D6434F" w:rsidRDefault="00D6434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9B16546" w14:textId="77777777" w:rsidR="00D6434F" w:rsidRDefault="00D6434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712CE" w14:textId="77777777" w:rsidR="00D6434F" w:rsidRDefault="00D6434F" w:rsidP="00CD7DF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סדרי הדין (עתירה לגילוי ראיה), תשכ"ט</w:t>
    </w:r>
    <w:r w:rsidR="00CD7DF4">
      <w:rPr>
        <w:rFonts w:hAnsi="FrankRuehl" w:cs="FrankRuehl" w:hint="cs"/>
        <w:color w:val="000000"/>
        <w:sz w:val="28"/>
        <w:szCs w:val="28"/>
        <w:rtl/>
      </w:rPr>
      <w:t>-</w:t>
    </w:r>
    <w:r>
      <w:rPr>
        <w:rFonts w:hAnsi="FrankRuehl" w:cs="FrankRuehl"/>
        <w:color w:val="000000"/>
        <w:sz w:val="28"/>
        <w:szCs w:val="28"/>
        <w:rtl/>
      </w:rPr>
      <w:t>1969</w:t>
    </w:r>
  </w:p>
  <w:p w14:paraId="0E095DCD" w14:textId="77777777" w:rsidR="00D6434F" w:rsidRDefault="00D6434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86049C8" w14:textId="77777777" w:rsidR="00D6434F" w:rsidRDefault="00D6434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0085"/>
    <w:rsid w:val="005840D7"/>
    <w:rsid w:val="006B4A8B"/>
    <w:rsid w:val="00732BB4"/>
    <w:rsid w:val="008C0085"/>
    <w:rsid w:val="00CD7DF4"/>
    <w:rsid w:val="00D6434F"/>
    <w:rsid w:val="00FD5F3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D79EFEC"/>
  <w15:chartTrackingRefBased/>
  <w15:docId w15:val="{1B1645EB-B0AB-4F5A-B80C-2193C4562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CD7DF4"/>
    <w:rPr>
      <w:sz w:val="20"/>
      <w:szCs w:val="20"/>
    </w:rPr>
  </w:style>
  <w:style w:type="character" w:styleId="a6">
    <w:name w:val="footnote reference"/>
    <w:basedOn w:val="a0"/>
    <w:semiHidden/>
    <w:rsid w:val="00CD7D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236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3021</CharactersWithSpaces>
  <SharedDoc>false</SharedDoc>
  <HLinks>
    <vt:vector size="54" baseType="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8192011</vt:i4>
      </vt:variant>
      <vt:variant>
        <vt:i4>0</vt:i4>
      </vt:variant>
      <vt:variant>
        <vt:i4>0</vt:i4>
      </vt:variant>
      <vt:variant>
        <vt:i4>5</vt:i4>
      </vt:variant>
      <vt:variant>
        <vt:lpwstr>http://www.nevo.co.il/Law_word/law06/TAK-2360.pdf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Shimon Doodkin</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תקנות סדרי הדין (עתירה לגילוי ראיה), תשכ"ט-1969</vt:lpwstr>
  </property>
  <property fmtid="{D5CDD505-2E9C-101B-9397-08002B2CF9AE}" pid="5" name="LAWNUMBER">
    <vt:lpwstr>0205</vt:lpwstr>
  </property>
  <property fmtid="{D5CDD505-2E9C-101B-9397-08002B2CF9AE}" pid="6" name="TYPE">
    <vt:lpwstr>01</vt:lpwstr>
  </property>
  <property fmtid="{D5CDD505-2E9C-101B-9397-08002B2CF9AE}" pid="7" name="NOSE11">
    <vt:lpwstr>בתי משפט וסדרי דין</vt:lpwstr>
  </property>
  <property fmtid="{D5CDD505-2E9C-101B-9397-08002B2CF9AE}" pid="8" name="NOSE21">
    <vt:lpwstr>ראיות</vt:lpwstr>
  </property>
  <property fmtid="{D5CDD505-2E9C-101B-9397-08002B2CF9AE}" pid="9" name="NOSE31">
    <vt:lpwstr/>
  </property>
  <property fmtid="{D5CDD505-2E9C-101B-9397-08002B2CF9AE}" pid="10" name="NOSE41">
    <vt:lpwstr/>
  </property>
  <property fmtid="{D5CDD505-2E9C-101B-9397-08002B2CF9AE}" pid="11" name="NOSE12">
    <vt:lpwstr>בתי משפט וסדרי דין</vt:lpwstr>
  </property>
  <property fmtid="{D5CDD505-2E9C-101B-9397-08002B2CF9AE}" pid="12" name="NOSE22">
    <vt:lpwstr>סדר דין פלילי</vt:lpwstr>
  </property>
  <property fmtid="{D5CDD505-2E9C-101B-9397-08002B2CF9AE}" pid="13" name="NOSE32">
    <vt:lpwstr/>
  </property>
  <property fmtid="{D5CDD505-2E9C-101B-9397-08002B2CF9AE}" pid="14" name="NOSE42">
    <vt:lpwstr/>
  </property>
  <property fmtid="{D5CDD505-2E9C-101B-9397-08002B2CF9AE}" pid="15" name="NOSE13">
    <vt:lpwstr>בתי משפט וסדרי דין</vt:lpwstr>
  </property>
  <property fmtid="{D5CDD505-2E9C-101B-9397-08002B2CF9AE}" pid="16" name="NOSE23">
    <vt:lpwstr>סדר דין אזרחי</vt:lpwstr>
  </property>
  <property fmtid="{D5CDD505-2E9C-101B-9397-08002B2CF9AE}" pid="17" name="NOSE33">
    <vt:lpwstr/>
  </property>
  <property fmtid="{D5CDD505-2E9C-101B-9397-08002B2CF9AE}" pid="18" name="NOSE43">
    <vt:lpwstr/>
  </property>
  <property fmtid="{D5CDD505-2E9C-101B-9397-08002B2CF9AE}" pid="19" name="NOSE14">
    <vt:lpwstr>דיני חוקה </vt:lpwstr>
  </property>
  <property fmtid="{D5CDD505-2E9C-101B-9397-08002B2CF9AE}" pid="20" name="NOSE24">
    <vt:lpwstr>ממשלה</vt:lpwstr>
  </property>
  <property fmtid="{D5CDD505-2E9C-101B-9397-08002B2CF9AE}" pid="21" name="NOSE34">
    <vt:lpwstr>היועץ המשפטי לממשלה</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