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9B6F" w14:textId="77777777" w:rsidR="001F340C" w:rsidRDefault="001F340C">
      <w:pPr>
        <w:pStyle w:val="big-header"/>
        <w:ind w:left="0" w:right="1134"/>
        <w:rPr>
          <w:rFonts w:hint="cs"/>
          <w:rtl/>
        </w:rPr>
      </w:pPr>
      <w:r>
        <w:rPr>
          <w:rFonts w:hint="cs"/>
          <w:rtl/>
        </w:rPr>
        <w:t>תקנות סיווג, סימון ואיסור שידורים מזיקים, תשס"ג-2002</w:t>
      </w:r>
    </w:p>
    <w:p w14:paraId="4916B67C" w14:textId="77777777" w:rsidR="00F06FA9" w:rsidRDefault="00F06FA9" w:rsidP="00F06FA9">
      <w:pPr>
        <w:spacing w:line="320" w:lineRule="auto"/>
        <w:jc w:val="left"/>
        <w:rPr>
          <w:rStyle w:val="default"/>
          <w:rFonts w:hint="cs"/>
          <w:sz w:val="22"/>
          <w:szCs w:val="22"/>
          <w:rtl/>
        </w:rPr>
      </w:pPr>
    </w:p>
    <w:p w14:paraId="07637FA1" w14:textId="77777777" w:rsidR="00581DB5" w:rsidRDefault="00581DB5" w:rsidP="00F06FA9">
      <w:pPr>
        <w:spacing w:line="320" w:lineRule="auto"/>
        <w:jc w:val="left"/>
        <w:rPr>
          <w:rStyle w:val="default"/>
          <w:rFonts w:hint="cs"/>
          <w:sz w:val="22"/>
          <w:szCs w:val="22"/>
          <w:rtl/>
        </w:rPr>
      </w:pPr>
    </w:p>
    <w:p w14:paraId="0F23E908" w14:textId="77777777" w:rsidR="00F06FA9" w:rsidRPr="00F06FA9" w:rsidRDefault="00F06FA9" w:rsidP="00F06FA9">
      <w:pPr>
        <w:spacing w:line="320" w:lineRule="auto"/>
        <w:jc w:val="left"/>
        <w:rPr>
          <w:rStyle w:val="default"/>
          <w:rFonts w:cs="Miriam"/>
          <w:sz w:val="22"/>
          <w:szCs w:val="22"/>
          <w:rtl/>
        </w:rPr>
      </w:pPr>
      <w:r w:rsidRPr="00F06FA9">
        <w:rPr>
          <w:rStyle w:val="default"/>
          <w:rFonts w:cs="Miriam"/>
          <w:sz w:val="22"/>
          <w:szCs w:val="22"/>
          <w:rtl/>
        </w:rPr>
        <w:t>רשויות ומשפט מנהלי</w:t>
      </w:r>
      <w:r w:rsidRPr="00F06FA9">
        <w:rPr>
          <w:rStyle w:val="default"/>
          <w:rFonts w:cs="FrankRuehl"/>
          <w:sz w:val="22"/>
          <w:rtl/>
        </w:rPr>
        <w:t xml:space="preserve"> – תקשורת – הרשות השנייה – שידורים מזיקים</w:t>
      </w:r>
    </w:p>
    <w:p w14:paraId="6FAF8B74" w14:textId="77777777" w:rsidR="001F340C" w:rsidRDefault="001F340C">
      <w:pPr>
        <w:pStyle w:val="big-header"/>
        <w:ind w:left="0" w:right="1134"/>
        <w:rPr>
          <w:rFonts w:hint="cs"/>
          <w:rtl/>
        </w:rPr>
      </w:pPr>
      <w:r>
        <w:rPr>
          <w:rFonts w:hint="cs"/>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F340C" w14:paraId="17904996" w14:textId="77777777">
        <w:tblPrEx>
          <w:tblCellMar>
            <w:top w:w="0" w:type="dxa"/>
            <w:bottom w:w="0" w:type="dxa"/>
          </w:tblCellMar>
        </w:tblPrEx>
        <w:tc>
          <w:tcPr>
            <w:tcW w:w="850" w:type="dxa"/>
          </w:tcPr>
          <w:p w14:paraId="3C85E025" w14:textId="77777777" w:rsidR="001F340C" w:rsidRDefault="001F340C">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5707BE">
              <w:rPr>
                <w:noProof/>
                <w:sz w:val="24"/>
                <w:rtl/>
              </w:rPr>
              <w:t>2</w:t>
            </w:r>
            <w:r>
              <w:rPr>
                <w:sz w:val="24"/>
                <w:rtl/>
              </w:rPr>
              <w:fldChar w:fldCharType="end"/>
            </w:r>
          </w:p>
        </w:tc>
        <w:tc>
          <w:tcPr>
            <w:tcW w:w="567" w:type="dxa"/>
          </w:tcPr>
          <w:p w14:paraId="76F4C0C8" w14:textId="77777777" w:rsidR="001F340C" w:rsidRDefault="001F340C">
            <w:pPr>
              <w:spacing w:line="240" w:lineRule="auto"/>
              <w:rPr>
                <w:sz w:val="24"/>
              </w:rPr>
            </w:pPr>
            <w:hyperlink w:anchor="Seif0" w:tooltip="הגדרות" w:history="1">
              <w:r>
                <w:rPr>
                  <w:rStyle w:val="Hyperlink"/>
                </w:rPr>
                <w:t>Go</w:t>
              </w:r>
            </w:hyperlink>
          </w:p>
        </w:tc>
        <w:tc>
          <w:tcPr>
            <w:tcW w:w="5669" w:type="dxa"/>
          </w:tcPr>
          <w:p w14:paraId="2694B497" w14:textId="77777777" w:rsidR="001F340C" w:rsidRDefault="001F340C">
            <w:pPr>
              <w:spacing w:line="240" w:lineRule="auto"/>
              <w:rPr>
                <w:sz w:val="24"/>
                <w:rtl/>
              </w:rPr>
            </w:pPr>
            <w:r>
              <w:rPr>
                <w:sz w:val="24"/>
                <w:rtl/>
              </w:rPr>
              <w:t>הגדרות</w:t>
            </w:r>
          </w:p>
        </w:tc>
        <w:tc>
          <w:tcPr>
            <w:tcW w:w="1247" w:type="dxa"/>
          </w:tcPr>
          <w:p w14:paraId="31E0C91E" w14:textId="77777777" w:rsidR="001F340C" w:rsidRDefault="001F340C">
            <w:pPr>
              <w:spacing w:line="240" w:lineRule="auto"/>
              <w:rPr>
                <w:sz w:val="24"/>
              </w:rPr>
            </w:pPr>
            <w:r>
              <w:rPr>
                <w:sz w:val="24"/>
                <w:rtl/>
              </w:rPr>
              <w:t xml:space="preserve">סעיף 1 </w:t>
            </w:r>
          </w:p>
        </w:tc>
      </w:tr>
      <w:tr w:rsidR="001F340C" w14:paraId="52DB3B25" w14:textId="77777777">
        <w:tblPrEx>
          <w:tblCellMar>
            <w:top w:w="0" w:type="dxa"/>
            <w:bottom w:w="0" w:type="dxa"/>
          </w:tblCellMar>
        </w:tblPrEx>
        <w:tc>
          <w:tcPr>
            <w:tcW w:w="850" w:type="dxa"/>
          </w:tcPr>
          <w:p w14:paraId="1563B020" w14:textId="77777777" w:rsidR="001F340C" w:rsidRDefault="001F340C">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5707BE">
              <w:rPr>
                <w:noProof/>
                <w:sz w:val="24"/>
                <w:rtl/>
              </w:rPr>
              <w:t>2</w:t>
            </w:r>
            <w:r>
              <w:rPr>
                <w:sz w:val="24"/>
                <w:rtl/>
              </w:rPr>
              <w:fldChar w:fldCharType="end"/>
            </w:r>
          </w:p>
        </w:tc>
        <w:tc>
          <w:tcPr>
            <w:tcW w:w="567" w:type="dxa"/>
          </w:tcPr>
          <w:p w14:paraId="2C686AAE" w14:textId="77777777" w:rsidR="001F340C" w:rsidRDefault="001F340C">
            <w:pPr>
              <w:spacing w:line="240" w:lineRule="auto"/>
              <w:rPr>
                <w:sz w:val="24"/>
              </w:rPr>
            </w:pPr>
            <w:hyperlink w:anchor="Seif1" w:tooltip="סיווג וסימון מישדר" w:history="1">
              <w:r>
                <w:rPr>
                  <w:rStyle w:val="Hyperlink"/>
                </w:rPr>
                <w:t>Go</w:t>
              </w:r>
            </w:hyperlink>
          </w:p>
        </w:tc>
        <w:tc>
          <w:tcPr>
            <w:tcW w:w="5669" w:type="dxa"/>
          </w:tcPr>
          <w:p w14:paraId="3CD171BF" w14:textId="77777777" w:rsidR="001F340C" w:rsidRDefault="001F340C">
            <w:pPr>
              <w:spacing w:line="240" w:lineRule="auto"/>
              <w:rPr>
                <w:sz w:val="24"/>
                <w:rtl/>
              </w:rPr>
            </w:pPr>
            <w:r>
              <w:rPr>
                <w:sz w:val="24"/>
                <w:rtl/>
              </w:rPr>
              <w:t>סיווג וסימון מישדר</w:t>
            </w:r>
          </w:p>
        </w:tc>
        <w:tc>
          <w:tcPr>
            <w:tcW w:w="1247" w:type="dxa"/>
          </w:tcPr>
          <w:p w14:paraId="4A0592BD" w14:textId="77777777" w:rsidR="001F340C" w:rsidRDefault="001F340C">
            <w:pPr>
              <w:spacing w:line="240" w:lineRule="auto"/>
              <w:rPr>
                <w:sz w:val="24"/>
              </w:rPr>
            </w:pPr>
            <w:r>
              <w:rPr>
                <w:sz w:val="24"/>
                <w:rtl/>
              </w:rPr>
              <w:t xml:space="preserve">סעיף 2 </w:t>
            </w:r>
          </w:p>
        </w:tc>
      </w:tr>
      <w:tr w:rsidR="001F340C" w14:paraId="22179DC8" w14:textId="77777777">
        <w:tblPrEx>
          <w:tblCellMar>
            <w:top w:w="0" w:type="dxa"/>
            <w:bottom w:w="0" w:type="dxa"/>
          </w:tblCellMar>
        </w:tblPrEx>
        <w:tc>
          <w:tcPr>
            <w:tcW w:w="850" w:type="dxa"/>
          </w:tcPr>
          <w:p w14:paraId="3F78D627" w14:textId="77777777" w:rsidR="001F340C" w:rsidRDefault="001F340C">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5707BE">
              <w:rPr>
                <w:noProof/>
                <w:sz w:val="24"/>
                <w:rtl/>
              </w:rPr>
              <w:t>2</w:t>
            </w:r>
            <w:r>
              <w:rPr>
                <w:sz w:val="24"/>
                <w:rtl/>
              </w:rPr>
              <w:fldChar w:fldCharType="end"/>
            </w:r>
          </w:p>
        </w:tc>
        <w:tc>
          <w:tcPr>
            <w:tcW w:w="567" w:type="dxa"/>
          </w:tcPr>
          <w:p w14:paraId="19BC7C99" w14:textId="77777777" w:rsidR="001F340C" w:rsidRDefault="001F340C">
            <w:pPr>
              <w:spacing w:line="240" w:lineRule="auto"/>
              <w:rPr>
                <w:sz w:val="24"/>
              </w:rPr>
            </w:pPr>
            <w:hyperlink w:anchor="Seif2" w:tooltip="מיקום הסימן" w:history="1">
              <w:r>
                <w:rPr>
                  <w:rStyle w:val="Hyperlink"/>
                </w:rPr>
                <w:t>Go</w:t>
              </w:r>
            </w:hyperlink>
          </w:p>
        </w:tc>
        <w:tc>
          <w:tcPr>
            <w:tcW w:w="5669" w:type="dxa"/>
          </w:tcPr>
          <w:p w14:paraId="6F04B8AB" w14:textId="77777777" w:rsidR="001F340C" w:rsidRDefault="001F340C">
            <w:pPr>
              <w:spacing w:line="240" w:lineRule="auto"/>
              <w:rPr>
                <w:sz w:val="24"/>
                <w:rtl/>
              </w:rPr>
            </w:pPr>
            <w:r>
              <w:rPr>
                <w:sz w:val="24"/>
                <w:rtl/>
              </w:rPr>
              <w:t>מיקום הסימן</w:t>
            </w:r>
          </w:p>
        </w:tc>
        <w:tc>
          <w:tcPr>
            <w:tcW w:w="1247" w:type="dxa"/>
          </w:tcPr>
          <w:p w14:paraId="232D7614" w14:textId="77777777" w:rsidR="001F340C" w:rsidRDefault="001F340C">
            <w:pPr>
              <w:spacing w:line="240" w:lineRule="auto"/>
              <w:rPr>
                <w:sz w:val="24"/>
              </w:rPr>
            </w:pPr>
            <w:r>
              <w:rPr>
                <w:sz w:val="24"/>
                <w:rtl/>
              </w:rPr>
              <w:t xml:space="preserve">סעיף 3 </w:t>
            </w:r>
          </w:p>
        </w:tc>
      </w:tr>
      <w:tr w:rsidR="001F340C" w14:paraId="7E646083" w14:textId="77777777">
        <w:tblPrEx>
          <w:tblCellMar>
            <w:top w:w="0" w:type="dxa"/>
            <w:bottom w:w="0" w:type="dxa"/>
          </w:tblCellMar>
        </w:tblPrEx>
        <w:tc>
          <w:tcPr>
            <w:tcW w:w="850" w:type="dxa"/>
          </w:tcPr>
          <w:p w14:paraId="7F0CC430" w14:textId="77777777" w:rsidR="001F340C" w:rsidRDefault="001F340C">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5707BE">
              <w:rPr>
                <w:noProof/>
                <w:sz w:val="24"/>
                <w:rtl/>
              </w:rPr>
              <w:t>2</w:t>
            </w:r>
            <w:r>
              <w:rPr>
                <w:sz w:val="24"/>
                <w:rtl/>
              </w:rPr>
              <w:fldChar w:fldCharType="end"/>
            </w:r>
          </w:p>
        </w:tc>
        <w:tc>
          <w:tcPr>
            <w:tcW w:w="567" w:type="dxa"/>
          </w:tcPr>
          <w:p w14:paraId="27CF7108" w14:textId="77777777" w:rsidR="001F340C" w:rsidRDefault="001F340C">
            <w:pPr>
              <w:spacing w:line="240" w:lineRule="auto"/>
              <w:rPr>
                <w:sz w:val="24"/>
              </w:rPr>
            </w:pPr>
            <w:hyperlink w:anchor="Seif3" w:tooltip="משך הופעת הסימן" w:history="1">
              <w:r>
                <w:rPr>
                  <w:rStyle w:val="Hyperlink"/>
                </w:rPr>
                <w:t>Go</w:t>
              </w:r>
            </w:hyperlink>
          </w:p>
        </w:tc>
        <w:tc>
          <w:tcPr>
            <w:tcW w:w="5669" w:type="dxa"/>
          </w:tcPr>
          <w:p w14:paraId="5C3002AA" w14:textId="77777777" w:rsidR="001F340C" w:rsidRDefault="001F340C">
            <w:pPr>
              <w:spacing w:line="240" w:lineRule="auto"/>
              <w:rPr>
                <w:sz w:val="24"/>
                <w:rtl/>
              </w:rPr>
            </w:pPr>
            <w:r>
              <w:rPr>
                <w:sz w:val="24"/>
                <w:rtl/>
              </w:rPr>
              <w:t>משך הופעת הסימן</w:t>
            </w:r>
          </w:p>
        </w:tc>
        <w:tc>
          <w:tcPr>
            <w:tcW w:w="1247" w:type="dxa"/>
          </w:tcPr>
          <w:p w14:paraId="38E32DE4" w14:textId="77777777" w:rsidR="001F340C" w:rsidRDefault="001F340C">
            <w:pPr>
              <w:spacing w:line="240" w:lineRule="auto"/>
              <w:rPr>
                <w:sz w:val="24"/>
              </w:rPr>
            </w:pPr>
            <w:r>
              <w:rPr>
                <w:sz w:val="24"/>
                <w:rtl/>
              </w:rPr>
              <w:t xml:space="preserve">סעיף 4 </w:t>
            </w:r>
          </w:p>
        </w:tc>
      </w:tr>
      <w:tr w:rsidR="001F340C" w14:paraId="57BE98CC" w14:textId="77777777">
        <w:tblPrEx>
          <w:tblCellMar>
            <w:top w:w="0" w:type="dxa"/>
            <w:bottom w:w="0" w:type="dxa"/>
          </w:tblCellMar>
        </w:tblPrEx>
        <w:tc>
          <w:tcPr>
            <w:tcW w:w="850" w:type="dxa"/>
          </w:tcPr>
          <w:p w14:paraId="6BD775E0" w14:textId="77777777" w:rsidR="001F340C" w:rsidRDefault="001F340C">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5707BE">
              <w:rPr>
                <w:noProof/>
                <w:sz w:val="24"/>
                <w:rtl/>
              </w:rPr>
              <w:t>3</w:t>
            </w:r>
            <w:r>
              <w:rPr>
                <w:sz w:val="24"/>
                <w:rtl/>
              </w:rPr>
              <w:fldChar w:fldCharType="end"/>
            </w:r>
          </w:p>
        </w:tc>
        <w:tc>
          <w:tcPr>
            <w:tcW w:w="567" w:type="dxa"/>
          </w:tcPr>
          <w:p w14:paraId="43D20EFB" w14:textId="77777777" w:rsidR="001F340C" w:rsidRDefault="001F340C">
            <w:pPr>
              <w:spacing w:line="240" w:lineRule="auto"/>
              <w:rPr>
                <w:sz w:val="24"/>
              </w:rPr>
            </w:pPr>
            <w:hyperlink w:anchor="Seif4" w:tooltip="סימון קדימון" w:history="1">
              <w:r>
                <w:rPr>
                  <w:rStyle w:val="Hyperlink"/>
                </w:rPr>
                <w:t>Go</w:t>
              </w:r>
            </w:hyperlink>
          </w:p>
        </w:tc>
        <w:tc>
          <w:tcPr>
            <w:tcW w:w="5669" w:type="dxa"/>
          </w:tcPr>
          <w:p w14:paraId="6C958FB8" w14:textId="77777777" w:rsidR="001F340C" w:rsidRDefault="001F340C">
            <w:pPr>
              <w:spacing w:line="240" w:lineRule="auto"/>
              <w:rPr>
                <w:sz w:val="24"/>
                <w:rtl/>
              </w:rPr>
            </w:pPr>
            <w:r>
              <w:rPr>
                <w:sz w:val="24"/>
                <w:rtl/>
              </w:rPr>
              <w:t>סימון קדימון</w:t>
            </w:r>
          </w:p>
        </w:tc>
        <w:tc>
          <w:tcPr>
            <w:tcW w:w="1247" w:type="dxa"/>
          </w:tcPr>
          <w:p w14:paraId="40B76C32" w14:textId="77777777" w:rsidR="001F340C" w:rsidRDefault="001F340C">
            <w:pPr>
              <w:spacing w:line="240" w:lineRule="auto"/>
              <w:rPr>
                <w:sz w:val="24"/>
              </w:rPr>
            </w:pPr>
            <w:r>
              <w:rPr>
                <w:sz w:val="24"/>
                <w:rtl/>
              </w:rPr>
              <w:t xml:space="preserve">סעיף 5 </w:t>
            </w:r>
          </w:p>
        </w:tc>
      </w:tr>
      <w:tr w:rsidR="001F340C" w14:paraId="00BA6FF2" w14:textId="77777777">
        <w:tblPrEx>
          <w:tblCellMar>
            <w:top w:w="0" w:type="dxa"/>
            <w:bottom w:w="0" w:type="dxa"/>
          </w:tblCellMar>
        </w:tblPrEx>
        <w:tc>
          <w:tcPr>
            <w:tcW w:w="850" w:type="dxa"/>
          </w:tcPr>
          <w:p w14:paraId="45F8B3C2" w14:textId="77777777" w:rsidR="001F340C" w:rsidRDefault="001F340C">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5707BE">
              <w:rPr>
                <w:noProof/>
                <w:sz w:val="24"/>
                <w:rtl/>
              </w:rPr>
              <w:t>3</w:t>
            </w:r>
            <w:r>
              <w:rPr>
                <w:sz w:val="24"/>
                <w:rtl/>
              </w:rPr>
              <w:fldChar w:fldCharType="end"/>
            </w:r>
          </w:p>
        </w:tc>
        <w:tc>
          <w:tcPr>
            <w:tcW w:w="567" w:type="dxa"/>
          </w:tcPr>
          <w:p w14:paraId="7114F7A9" w14:textId="77777777" w:rsidR="001F340C" w:rsidRDefault="001F340C">
            <w:pPr>
              <w:spacing w:line="240" w:lineRule="auto"/>
              <w:rPr>
                <w:sz w:val="24"/>
              </w:rPr>
            </w:pPr>
            <w:hyperlink w:anchor="Seif5" w:tooltip="מידע לצופים" w:history="1">
              <w:r>
                <w:rPr>
                  <w:rStyle w:val="Hyperlink"/>
                </w:rPr>
                <w:t>Go</w:t>
              </w:r>
            </w:hyperlink>
          </w:p>
        </w:tc>
        <w:tc>
          <w:tcPr>
            <w:tcW w:w="5669" w:type="dxa"/>
          </w:tcPr>
          <w:p w14:paraId="4C6DF499" w14:textId="77777777" w:rsidR="001F340C" w:rsidRDefault="001F340C">
            <w:pPr>
              <w:spacing w:line="240" w:lineRule="auto"/>
              <w:rPr>
                <w:sz w:val="24"/>
                <w:rtl/>
              </w:rPr>
            </w:pPr>
            <w:r>
              <w:rPr>
                <w:sz w:val="24"/>
                <w:rtl/>
              </w:rPr>
              <w:t>מידע לצופים</w:t>
            </w:r>
          </w:p>
        </w:tc>
        <w:tc>
          <w:tcPr>
            <w:tcW w:w="1247" w:type="dxa"/>
          </w:tcPr>
          <w:p w14:paraId="314D6222" w14:textId="77777777" w:rsidR="001F340C" w:rsidRDefault="001F340C">
            <w:pPr>
              <w:spacing w:line="240" w:lineRule="auto"/>
              <w:rPr>
                <w:sz w:val="24"/>
              </w:rPr>
            </w:pPr>
            <w:r>
              <w:rPr>
                <w:sz w:val="24"/>
                <w:rtl/>
              </w:rPr>
              <w:t xml:space="preserve">סעיף 6 </w:t>
            </w:r>
          </w:p>
        </w:tc>
      </w:tr>
      <w:tr w:rsidR="001F340C" w14:paraId="43F320CB" w14:textId="77777777">
        <w:tblPrEx>
          <w:tblCellMar>
            <w:top w:w="0" w:type="dxa"/>
            <w:bottom w:w="0" w:type="dxa"/>
          </w:tblCellMar>
        </w:tblPrEx>
        <w:tc>
          <w:tcPr>
            <w:tcW w:w="850" w:type="dxa"/>
          </w:tcPr>
          <w:p w14:paraId="0B65563B" w14:textId="77777777" w:rsidR="001F340C" w:rsidRDefault="001F340C">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5707BE">
              <w:rPr>
                <w:noProof/>
                <w:sz w:val="24"/>
                <w:rtl/>
              </w:rPr>
              <w:t>3</w:t>
            </w:r>
            <w:r>
              <w:rPr>
                <w:sz w:val="24"/>
                <w:rtl/>
              </w:rPr>
              <w:fldChar w:fldCharType="end"/>
            </w:r>
          </w:p>
        </w:tc>
        <w:tc>
          <w:tcPr>
            <w:tcW w:w="567" w:type="dxa"/>
          </w:tcPr>
          <w:p w14:paraId="49A9DB91" w14:textId="77777777" w:rsidR="001F340C" w:rsidRDefault="001F340C">
            <w:pPr>
              <w:spacing w:line="240" w:lineRule="auto"/>
              <w:rPr>
                <w:sz w:val="24"/>
              </w:rPr>
            </w:pPr>
            <w:hyperlink w:anchor="Seif6" w:tooltip="פטור מסימון מישדר" w:history="1">
              <w:r>
                <w:rPr>
                  <w:rStyle w:val="Hyperlink"/>
                </w:rPr>
                <w:t>Go</w:t>
              </w:r>
            </w:hyperlink>
          </w:p>
        </w:tc>
        <w:tc>
          <w:tcPr>
            <w:tcW w:w="5669" w:type="dxa"/>
          </w:tcPr>
          <w:p w14:paraId="14592F9E" w14:textId="77777777" w:rsidR="001F340C" w:rsidRDefault="001F340C">
            <w:pPr>
              <w:spacing w:line="240" w:lineRule="auto"/>
              <w:rPr>
                <w:sz w:val="24"/>
                <w:rtl/>
              </w:rPr>
            </w:pPr>
            <w:r>
              <w:rPr>
                <w:sz w:val="24"/>
                <w:rtl/>
              </w:rPr>
              <w:t>פטור מסימון מישדר</w:t>
            </w:r>
          </w:p>
        </w:tc>
        <w:tc>
          <w:tcPr>
            <w:tcW w:w="1247" w:type="dxa"/>
          </w:tcPr>
          <w:p w14:paraId="3C848BC7" w14:textId="77777777" w:rsidR="001F340C" w:rsidRDefault="001F340C">
            <w:pPr>
              <w:spacing w:line="240" w:lineRule="auto"/>
              <w:rPr>
                <w:sz w:val="24"/>
              </w:rPr>
            </w:pPr>
            <w:r>
              <w:rPr>
                <w:sz w:val="24"/>
                <w:rtl/>
              </w:rPr>
              <w:t xml:space="preserve">סעיף 7 </w:t>
            </w:r>
          </w:p>
        </w:tc>
      </w:tr>
      <w:tr w:rsidR="001F340C" w14:paraId="4523CA65" w14:textId="77777777">
        <w:tblPrEx>
          <w:tblCellMar>
            <w:top w:w="0" w:type="dxa"/>
            <w:bottom w:w="0" w:type="dxa"/>
          </w:tblCellMar>
        </w:tblPrEx>
        <w:tc>
          <w:tcPr>
            <w:tcW w:w="850" w:type="dxa"/>
          </w:tcPr>
          <w:p w14:paraId="613DDADE" w14:textId="77777777" w:rsidR="001F340C" w:rsidRDefault="001F340C">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5707BE">
              <w:rPr>
                <w:noProof/>
                <w:sz w:val="24"/>
                <w:rtl/>
              </w:rPr>
              <w:t>3</w:t>
            </w:r>
            <w:r>
              <w:rPr>
                <w:sz w:val="24"/>
                <w:rtl/>
              </w:rPr>
              <w:fldChar w:fldCharType="end"/>
            </w:r>
          </w:p>
        </w:tc>
        <w:tc>
          <w:tcPr>
            <w:tcW w:w="567" w:type="dxa"/>
          </w:tcPr>
          <w:p w14:paraId="1D026FA9" w14:textId="77777777" w:rsidR="001F340C" w:rsidRDefault="001F340C">
            <w:pPr>
              <w:spacing w:line="240" w:lineRule="auto"/>
              <w:rPr>
                <w:sz w:val="24"/>
              </w:rPr>
            </w:pPr>
            <w:hyperlink w:anchor="Seif7" w:tooltip="פטור מסימון קדימון" w:history="1">
              <w:r>
                <w:rPr>
                  <w:rStyle w:val="Hyperlink"/>
                </w:rPr>
                <w:t>Go</w:t>
              </w:r>
            </w:hyperlink>
          </w:p>
        </w:tc>
        <w:tc>
          <w:tcPr>
            <w:tcW w:w="5669" w:type="dxa"/>
          </w:tcPr>
          <w:p w14:paraId="01826749" w14:textId="77777777" w:rsidR="001F340C" w:rsidRDefault="001F340C">
            <w:pPr>
              <w:spacing w:line="240" w:lineRule="auto"/>
              <w:rPr>
                <w:sz w:val="24"/>
                <w:rtl/>
              </w:rPr>
            </w:pPr>
            <w:r>
              <w:rPr>
                <w:sz w:val="24"/>
                <w:rtl/>
              </w:rPr>
              <w:t>פטור מסימון קדימון</w:t>
            </w:r>
          </w:p>
        </w:tc>
        <w:tc>
          <w:tcPr>
            <w:tcW w:w="1247" w:type="dxa"/>
          </w:tcPr>
          <w:p w14:paraId="02C11A8A" w14:textId="77777777" w:rsidR="001F340C" w:rsidRDefault="001F340C">
            <w:pPr>
              <w:spacing w:line="240" w:lineRule="auto"/>
              <w:rPr>
                <w:sz w:val="24"/>
              </w:rPr>
            </w:pPr>
            <w:r>
              <w:rPr>
                <w:sz w:val="24"/>
                <w:rtl/>
              </w:rPr>
              <w:t xml:space="preserve">סעיף 8 </w:t>
            </w:r>
          </w:p>
        </w:tc>
      </w:tr>
      <w:tr w:rsidR="001F340C" w14:paraId="1C666401" w14:textId="77777777">
        <w:tblPrEx>
          <w:tblCellMar>
            <w:top w:w="0" w:type="dxa"/>
            <w:bottom w:w="0" w:type="dxa"/>
          </w:tblCellMar>
        </w:tblPrEx>
        <w:tc>
          <w:tcPr>
            <w:tcW w:w="850" w:type="dxa"/>
          </w:tcPr>
          <w:p w14:paraId="091854C1" w14:textId="77777777" w:rsidR="001F340C" w:rsidRDefault="001F340C">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5707BE">
              <w:rPr>
                <w:noProof/>
                <w:sz w:val="24"/>
                <w:rtl/>
              </w:rPr>
              <w:t>3</w:t>
            </w:r>
            <w:r>
              <w:rPr>
                <w:sz w:val="24"/>
                <w:rtl/>
              </w:rPr>
              <w:fldChar w:fldCharType="end"/>
            </w:r>
          </w:p>
        </w:tc>
        <w:tc>
          <w:tcPr>
            <w:tcW w:w="567" w:type="dxa"/>
          </w:tcPr>
          <w:p w14:paraId="057822FE" w14:textId="77777777" w:rsidR="001F340C" w:rsidRDefault="001F340C">
            <w:pPr>
              <w:spacing w:line="240" w:lineRule="auto"/>
              <w:rPr>
                <w:sz w:val="24"/>
              </w:rPr>
            </w:pPr>
            <w:hyperlink w:anchor="Seif8" w:tooltip="תחילה" w:history="1">
              <w:r>
                <w:rPr>
                  <w:rStyle w:val="Hyperlink"/>
                </w:rPr>
                <w:t>Go</w:t>
              </w:r>
            </w:hyperlink>
          </w:p>
        </w:tc>
        <w:tc>
          <w:tcPr>
            <w:tcW w:w="5669" w:type="dxa"/>
          </w:tcPr>
          <w:p w14:paraId="6CE32A8F" w14:textId="77777777" w:rsidR="001F340C" w:rsidRDefault="001F340C">
            <w:pPr>
              <w:spacing w:line="240" w:lineRule="auto"/>
              <w:rPr>
                <w:sz w:val="24"/>
                <w:rtl/>
              </w:rPr>
            </w:pPr>
            <w:r>
              <w:rPr>
                <w:sz w:val="24"/>
                <w:rtl/>
              </w:rPr>
              <w:t>תחילה</w:t>
            </w:r>
          </w:p>
        </w:tc>
        <w:tc>
          <w:tcPr>
            <w:tcW w:w="1247" w:type="dxa"/>
          </w:tcPr>
          <w:p w14:paraId="61E4AA4E" w14:textId="77777777" w:rsidR="001F340C" w:rsidRDefault="001F340C">
            <w:pPr>
              <w:spacing w:line="240" w:lineRule="auto"/>
              <w:rPr>
                <w:sz w:val="24"/>
              </w:rPr>
            </w:pPr>
            <w:r>
              <w:rPr>
                <w:sz w:val="24"/>
                <w:rtl/>
              </w:rPr>
              <w:t xml:space="preserve">סעיף 9 </w:t>
            </w:r>
          </w:p>
        </w:tc>
      </w:tr>
    </w:tbl>
    <w:p w14:paraId="1F1742E5" w14:textId="77777777" w:rsidR="001F340C" w:rsidRDefault="001F340C">
      <w:pPr>
        <w:pStyle w:val="P00"/>
        <w:spacing w:before="72"/>
        <w:ind w:left="0" w:right="1134"/>
        <w:rPr>
          <w:rtl/>
        </w:rPr>
      </w:pPr>
    </w:p>
    <w:p w14:paraId="5A6E1E6F" w14:textId="77777777" w:rsidR="001F340C" w:rsidRDefault="001F340C">
      <w:pPr>
        <w:pStyle w:val="big-header"/>
        <w:ind w:left="0" w:right="1134"/>
        <w:rPr>
          <w:rStyle w:val="default"/>
          <w:rFonts w:hint="cs"/>
          <w:sz w:val="22"/>
          <w:szCs w:val="22"/>
          <w:rtl/>
        </w:rPr>
      </w:pPr>
      <w:r>
        <w:rPr>
          <w:rtl/>
        </w:rPr>
        <w:br w:type="page"/>
      </w:r>
      <w:r>
        <w:rPr>
          <w:rFonts w:hint="cs"/>
          <w:rtl/>
        </w:rPr>
        <w:lastRenderedPageBreak/>
        <w:t>תקנות סיווג, סימון ואיסור שידורים מזיקים, תשס"ג-2002</w:t>
      </w:r>
      <w:r>
        <w:rPr>
          <w:rStyle w:val="default"/>
          <w:sz w:val="22"/>
          <w:szCs w:val="22"/>
          <w:rtl/>
        </w:rPr>
        <w:footnoteReference w:customMarkFollows="1" w:id="1"/>
        <w:t>*</w:t>
      </w:r>
    </w:p>
    <w:p w14:paraId="4D9280F5" w14:textId="77777777" w:rsidR="001F340C" w:rsidRDefault="001F340C">
      <w:pPr>
        <w:pStyle w:val="P00"/>
        <w:spacing w:before="72"/>
        <w:ind w:left="0" w:right="1134"/>
        <w:rPr>
          <w:rStyle w:val="default"/>
          <w:rFonts w:cs="FrankRuehl" w:hint="cs"/>
          <w:rtl/>
        </w:rPr>
      </w:pPr>
      <w:r>
        <w:rPr>
          <w:rtl/>
        </w:rPr>
        <w:tab/>
      </w:r>
      <w:r>
        <w:rPr>
          <w:rStyle w:val="default"/>
          <w:rFonts w:cs="FrankRuehl" w:hint="cs"/>
          <w:rtl/>
        </w:rPr>
        <w:t xml:space="preserve">בתוקף סמכותי לפי סעיפים 2(ב), 3(ב) ו-6 לחוק סיווג, סימון ואיסור שידורים מזיקים, התשס"א-2001 (להלן </w:t>
      </w:r>
      <w:r>
        <w:rPr>
          <w:rStyle w:val="default"/>
          <w:rFonts w:cs="FrankRuehl"/>
          <w:rtl/>
        </w:rPr>
        <w:t>–</w:t>
      </w:r>
      <w:r>
        <w:rPr>
          <w:rStyle w:val="default"/>
          <w:rFonts w:cs="FrankRuehl" w:hint="cs"/>
          <w:rtl/>
        </w:rPr>
        <w:t xml:space="preserve"> החוק), לאחר התייעצות עם הגופים האחראים, לפי הענין, לפיקוח על ביצוע הסימון לפי סעיף 4(ב) לחוק, ובאישור ועדת החינוך והתרבות של הכנסת, אני מתקין תקנות אלה:</w:t>
      </w:r>
    </w:p>
    <w:p w14:paraId="086A21C8" w14:textId="77777777" w:rsidR="001F340C" w:rsidRDefault="001F340C">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א': הגדרות</w:t>
      </w:r>
    </w:p>
    <w:p w14:paraId="6A9EA2E9" w14:textId="77777777" w:rsidR="001F340C" w:rsidRDefault="001F340C">
      <w:pPr>
        <w:pStyle w:val="P00"/>
        <w:spacing w:before="72"/>
        <w:ind w:left="0" w:right="1134"/>
        <w:rPr>
          <w:rStyle w:val="default"/>
          <w:rFonts w:cs="FrankRuehl" w:hint="cs"/>
          <w:rtl/>
        </w:rPr>
      </w:pPr>
      <w:bookmarkStart w:id="0" w:name="Seif0"/>
      <w:bookmarkEnd w:id="0"/>
      <w:r>
        <w:rPr>
          <w:lang w:val="he-IL"/>
        </w:rPr>
        <w:pict w14:anchorId="443BED60">
          <v:rect id="_x0000_s1026" style="position:absolute;left:0;text-align:left;margin-left:464.5pt;margin-top:8.05pt;width:75.05pt;height:10pt;z-index:251650048" o:allowincell="f" filled="f" stroked="f" strokecolor="lime" strokeweight=".25pt">
            <v:textbox style="mso-next-textbox:#_x0000_s1026" inset="0,0,0,0">
              <w:txbxContent>
                <w:p w14:paraId="5C7C2196" w14:textId="77777777" w:rsidR="001F340C" w:rsidRDefault="001F340C">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בתקנות אלה </w:t>
      </w:r>
      <w:r>
        <w:rPr>
          <w:rStyle w:val="default"/>
          <w:rFonts w:cs="FrankRuehl"/>
          <w:rtl/>
        </w:rPr>
        <w:t>–</w:t>
      </w:r>
    </w:p>
    <w:p w14:paraId="62DCB9C1" w14:textId="77777777" w:rsidR="001F340C" w:rsidRDefault="001F340C">
      <w:pPr>
        <w:pStyle w:val="P00"/>
        <w:spacing w:before="72"/>
        <w:ind w:left="0" w:right="1134"/>
        <w:rPr>
          <w:rStyle w:val="default"/>
          <w:rFonts w:cs="FrankRuehl" w:hint="cs"/>
          <w:rtl/>
        </w:rPr>
      </w:pPr>
      <w:r>
        <w:rPr>
          <w:rStyle w:val="default"/>
          <w:rFonts w:cs="FrankRuehl" w:hint="cs"/>
          <w:rtl/>
        </w:rPr>
        <w:tab/>
        <w:t xml:space="preserve">"אחראי לסימון" </w:t>
      </w:r>
      <w:r>
        <w:rPr>
          <w:rStyle w:val="default"/>
          <w:rFonts w:cs="FrankRuehl"/>
          <w:rtl/>
        </w:rPr>
        <w:t>–</w:t>
      </w:r>
      <w:r>
        <w:rPr>
          <w:rStyle w:val="default"/>
          <w:rFonts w:cs="FrankRuehl" w:hint="cs"/>
          <w:rtl/>
        </w:rPr>
        <w:t xml:space="preserve"> אחראי לביצוע סימון כמשמעותו בסעיף 4(א) לחוק, לפי הענין;</w:t>
      </w:r>
    </w:p>
    <w:p w14:paraId="48CF1DA5" w14:textId="77777777" w:rsidR="001F340C" w:rsidRDefault="001F340C">
      <w:pPr>
        <w:pStyle w:val="P00"/>
        <w:spacing w:before="72"/>
        <w:ind w:left="0" w:right="1134"/>
        <w:rPr>
          <w:rStyle w:val="default"/>
          <w:rFonts w:cs="FrankRuehl" w:hint="cs"/>
          <w:rtl/>
        </w:rPr>
      </w:pPr>
      <w:r>
        <w:rPr>
          <w:rStyle w:val="default"/>
          <w:rFonts w:cs="FrankRuehl" w:hint="cs"/>
          <w:rtl/>
        </w:rPr>
        <w:tab/>
        <w:t xml:space="preserve">"הגוף המפקח" </w:t>
      </w:r>
      <w:r>
        <w:rPr>
          <w:rStyle w:val="default"/>
          <w:rFonts w:cs="FrankRuehl"/>
          <w:rtl/>
        </w:rPr>
        <w:t>–</w:t>
      </w:r>
      <w:r>
        <w:rPr>
          <w:rStyle w:val="default"/>
          <w:rFonts w:cs="FrankRuehl" w:hint="cs"/>
          <w:rtl/>
        </w:rPr>
        <w:t xml:space="preserve"> כמשמעותו בסעיף 4א(ד) לחוק;</w:t>
      </w:r>
    </w:p>
    <w:p w14:paraId="4CB1186F" w14:textId="77777777" w:rsidR="001F340C" w:rsidRDefault="001F340C">
      <w:pPr>
        <w:pStyle w:val="P00"/>
        <w:spacing w:before="72"/>
        <w:ind w:left="0" w:right="1134"/>
        <w:rPr>
          <w:rStyle w:val="default"/>
          <w:rFonts w:cs="FrankRuehl" w:hint="cs"/>
          <w:sz w:val="26"/>
          <w:rtl/>
        </w:rPr>
      </w:pPr>
      <w:r>
        <w:rPr>
          <w:rStyle w:val="default"/>
          <w:rFonts w:cs="FrankRuehl" w:hint="cs"/>
          <w:rtl/>
        </w:rPr>
        <w:tab/>
        <w:t xml:space="preserve">"מדריך שידורים" </w:t>
      </w:r>
      <w:r>
        <w:rPr>
          <w:rStyle w:val="default"/>
          <w:rFonts w:cs="FrankRuehl"/>
          <w:rtl/>
        </w:rPr>
        <w:t>–</w:t>
      </w:r>
      <w:r>
        <w:rPr>
          <w:rStyle w:val="default"/>
          <w:rFonts w:cs="FrankRuehl" w:hint="cs"/>
          <w:rtl/>
        </w:rPr>
        <w:t xml:space="preserve"> לוח שידורים אלקטרוני (</w:t>
      </w:r>
      <w:r>
        <w:rPr>
          <w:rStyle w:val="default"/>
          <w:rFonts w:cs="FrankRuehl"/>
          <w:szCs w:val="20"/>
        </w:rPr>
        <w:t>EPG</w:t>
      </w:r>
      <w:r>
        <w:rPr>
          <w:rStyle w:val="default"/>
          <w:rFonts w:cs="FrankRuehl" w:hint="cs"/>
          <w:sz w:val="26"/>
          <w:rtl/>
        </w:rPr>
        <w:t>) או לוח שידורים אחר שמתפרסם ברבים;</w:t>
      </w:r>
    </w:p>
    <w:p w14:paraId="41033DD4" w14:textId="77777777" w:rsidR="001F340C" w:rsidRDefault="001F340C">
      <w:pPr>
        <w:pStyle w:val="P00"/>
        <w:spacing w:before="72"/>
        <w:ind w:left="0" w:right="1134"/>
        <w:rPr>
          <w:rStyle w:val="default"/>
          <w:rFonts w:cs="FrankRuehl" w:hint="cs"/>
          <w:sz w:val="26"/>
          <w:rtl/>
        </w:rPr>
      </w:pPr>
      <w:r>
        <w:rPr>
          <w:rStyle w:val="default"/>
          <w:rFonts w:cs="FrankRuehl" w:hint="cs"/>
          <w:sz w:val="26"/>
          <w:rtl/>
        </w:rPr>
        <w:tab/>
        <w:t xml:space="preserve">"מילואה" </w:t>
      </w:r>
      <w:r>
        <w:rPr>
          <w:rStyle w:val="default"/>
          <w:rFonts w:cs="FrankRuehl"/>
          <w:sz w:val="26"/>
          <w:rtl/>
        </w:rPr>
        <w:t>–</w:t>
      </w:r>
      <w:r>
        <w:rPr>
          <w:rStyle w:val="default"/>
          <w:rFonts w:cs="FrankRuehl" w:hint="cs"/>
          <w:sz w:val="26"/>
          <w:rtl/>
        </w:rPr>
        <w:t xml:space="preserve"> קטע קצר המשודר בין שני חלקי מישדר;</w:t>
      </w:r>
    </w:p>
    <w:p w14:paraId="3467D03F" w14:textId="77777777" w:rsidR="001F340C" w:rsidRDefault="001F340C">
      <w:pPr>
        <w:pStyle w:val="P00"/>
        <w:spacing w:before="72"/>
        <w:ind w:left="0" w:right="1134"/>
        <w:rPr>
          <w:rStyle w:val="default"/>
          <w:rFonts w:cs="FrankRuehl" w:hint="cs"/>
          <w:sz w:val="26"/>
          <w:rtl/>
        </w:rPr>
      </w:pPr>
      <w:r>
        <w:rPr>
          <w:rStyle w:val="default"/>
          <w:rFonts w:cs="FrankRuehl" w:hint="cs"/>
          <w:sz w:val="26"/>
          <w:rtl/>
        </w:rPr>
        <w:tab/>
        <w:t xml:space="preserve">"מישדר" </w:t>
      </w:r>
      <w:r>
        <w:rPr>
          <w:rStyle w:val="default"/>
          <w:rFonts w:cs="FrankRuehl"/>
          <w:sz w:val="26"/>
          <w:rtl/>
        </w:rPr>
        <w:t>–</w:t>
      </w:r>
      <w:r>
        <w:rPr>
          <w:rStyle w:val="default"/>
          <w:rFonts w:cs="FrankRuehl" w:hint="cs"/>
          <w:sz w:val="26"/>
          <w:rtl/>
        </w:rPr>
        <w:t xml:space="preserve"> מישדר טלוויזיה כהגדרתו בחוק;</w:t>
      </w:r>
    </w:p>
    <w:p w14:paraId="0DACDFC0" w14:textId="77777777" w:rsidR="001F340C" w:rsidRDefault="001F340C">
      <w:pPr>
        <w:pStyle w:val="P00"/>
        <w:spacing w:before="72"/>
        <w:ind w:left="0" w:right="1134"/>
        <w:rPr>
          <w:rStyle w:val="default"/>
          <w:rFonts w:cs="FrankRuehl" w:hint="cs"/>
          <w:sz w:val="26"/>
          <w:rtl/>
        </w:rPr>
      </w:pPr>
      <w:r>
        <w:rPr>
          <w:rStyle w:val="default"/>
          <w:rFonts w:cs="FrankRuehl" w:hint="cs"/>
          <w:sz w:val="26"/>
          <w:rtl/>
        </w:rPr>
        <w:tab/>
        <w:t xml:space="preserve">"מישדר חוץ" </w:t>
      </w:r>
      <w:r>
        <w:rPr>
          <w:rStyle w:val="default"/>
          <w:rFonts w:cs="FrankRuehl"/>
          <w:sz w:val="26"/>
          <w:rtl/>
        </w:rPr>
        <w:t>–</w:t>
      </w:r>
      <w:r>
        <w:rPr>
          <w:rStyle w:val="default"/>
          <w:rFonts w:cs="FrankRuehl" w:hint="cs"/>
          <w:sz w:val="26"/>
          <w:rtl/>
        </w:rPr>
        <w:t xml:space="preserve"> מישדר המשודר מחוץ לישראל ונקלט בישראל, אשר אינו מיועד, מבחינת תוכנו ומהותו, לציבור בישראל או לחלק ממנו, ואשר משודר באותה עת ובאותה מתכונת למדינות אחרות, בלי שעבר התאמה כלשהי לציבור בישראל, לרבות מבחינת תוכנו, עריכתו, תרגומו, דיבובו או זמן שידורו;</w:t>
      </w:r>
    </w:p>
    <w:p w14:paraId="3C107A94" w14:textId="77777777" w:rsidR="001F340C" w:rsidRDefault="001F340C">
      <w:pPr>
        <w:pStyle w:val="P00"/>
        <w:spacing w:before="72"/>
        <w:ind w:left="0" w:right="1134"/>
        <w:rPr>
          <w:rStyle w:val="default"/>
          <w:rFonts w:cs="FrankRuehl" w:hint="cs"/>
          <w:sz w:val="26"/>
          <w:rtl/>
        </w:rPr>
      </w:pPr>
      <w:r>
        <w:rPr>
          <w:rStyle w:val="default"/>
          <w:rFonts w:cs="FrankRuehl" w:hint="cs"/>
          <w:sz w:val="26"/>
          <w:rtl/>
        </w:rPr>
        <w:tab/>
        <w:t xml:space="preserve">"סימן" </w:t>
      </w:r>
      <w:r>
        <w:rPr>
          <w:rStyle w:val="default"/>
          <w:rFonts w:cs="FrankRuehl"/>
          <w:sz w:val="26"/>
          <w:rtl/>
        </w:rPr>
        <w:t>–</w:t>
      </w:r>
      <w:r>
        <w:rPr>
          <w:rStyle w:val="default"/>
          <w:rFonts w:cs="FrankRuehl" w:hint="cs"/>
          <w:sz w:val="26"/>
          <w:rtl/>
        </w:rPr>
        <w:t xml:space="preserve"> לפי טבלת הסימנים שבלוח א' בתוספת.</w:t>
      </w:r>
    </w:p>
    <w:p w14:paraId="5F3B5196" w14:textId="77777777" w:rsidR="001F340C" w:rsidRDefault="001F340C">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ב': סיווג וסימון</w:t>
      </w:r>
    </w:p>
    <w:p w14:paraId="01B5CED3" w14:textId="77777777" w:rsidR="001F340C" w:rsidRDefault="001F340C">
      <w:pPr>
        <w:pStyle w:val="P00"/>
        <w:spacing w:before="72"/>
        <w:ind w:left="0" w:right="1134"/>
        <w:rPr>
          <w:rStyle w:val="default"/>
          <w:rFonts w:cs="FrankRuehl" w:hint="cs"/>
          <w:rtl/>
        </w:rPr>
      </w:pPr>
      <w:bookmarkStart w:id="1" w:name="Seif1"/>
      <w:bookmarkEnd w:id="1"/>
      <w:r>
        <w:rPr>
          <w:rFonts w:cs="Miriam"/>
          <w:szCs w:val="32"/>
          <w:rtl/>
          <w:lang w:val="he-IL"/>
        </w:rPr>
        <w:pict w14:anchorId="4A0E64C6">
          <v:shapetype id="_x0000_t202" coordsize="21600,21600" o:spt="202" path="m,l,21600r21600,l21600,xe">
            <v:stroke joinstyle="miter"/>
            <v:path gradientshapeok="t" o:connecttype="rect"/>
          </v:shapetype>
          <v:shape id="_x0000_s1036" type="#_x0000_t202" style="position:absolute;left:0;text-align:left;margin-left:462pt;margin-top:7.1pt;width:80.25pt;height:17.15pt;z-index:251651072" filled="f" stroked="f">
            <v:textbox inset="1mm,0,1mm,0">
              <w:txbxContent>
                <w:p w14:paraId="08045134" w14:textId="77777777" w:rsidR="001F340C" w:rsidRDefault="001F340C">
                  <w:pPr>
                    <w:spacing w:line="160" w:lineRule="exact"/>
                    <w:jc w:val="left"/>
                    <w:rPr>
                      <w:rFonts w:cs="Miriam" w:hint="cs"/>
                      <w:szCs w:val="18"/>
                      <w:rtl/>
                    </w:rPr>
                  </w:pPr>
                  <w:r>
                    <w:rPr>
                      <w:rFonts w:cs="Miriam" w:hint="cs"/>
                      <w:szCs w:val="18"/>
                      <w:rtl/>
                    </w:rPr>
                    <w:t>סיווג וסימון מישדר</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(א)</w:t>
      </w:r>
      <w:r>
        <w:rPr>
          <w:rStyle w:val="default"/>
          <w:rFonts w:cs="FrankRuehl" w:hint="cs"/>
          <w:rtl/>
        </w:rPr>
        <w:tab/>
        <w:t>אחראי לסימון יסמן מישדר בסימן המתאים, לפי הסיווג שבלוח ב' בתוספת.</w:t>
      </w:r>
    </w:p>
    <w:p w14:paraId="36CC1446" w14:textId="77777777" w:rsidR="001F340C" w:rsidRDefault="001F340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מישדר שמתקיימים לגביו מספר מאפייני סוג בתוספת, יסומן לפי רמת הסיווג המחמירה.</w:t>
      </w:r>
    </w:p>
    <w:p w14:paraId="4E328DEF" w14:textId="77777777" w:rsidR="001F340C" w:rsidRDefault="001F340C">
      <w:pPr>
        <w:pStyle w:val="P00"/>
        <w:spacing w:before="72"/>
        <w:ind w:left="0" w:right="1134"/>
        <w:rPr>
          <w:rStyle w:val="default"/>
          <w:rFonts w:cs="FrankRuehl" w:hint="cs"/>
          <w:rtl/>
        </w:rPr>
      </w:pPr>
      <w:bookmarkStart w:id="2" w:name="Seif2"/>
      <w:bookmarkEnd w:id="2"/>
      <w:r>
        <w:rPr>
          <w:rFonts w:cs="Miriam"/>
          <w:sz w:val="32"/>
          <w:szCs w:val="32"/>
          <w:rtl/>
          <w:lang w:val="he-IL"/>
        </w:rPr>
        <w:pict w14:anchorId="253CE529">
          <v:shape id="_x0000_s1049" type="#_x0000_t202" style="position:absolute;left:0;text-align:left;margin-left:470.25pt;margin-top:7.7pt;width:1in;height:22.4pt;z-index:251652096" filled="f" stroked="f">
            <v:textbox style="mso-next-textbox:#_x0000_s1049" inset="1mm,,1mm">
              <w:txbxContent>
                <w:p w14:paraId="5B89AA99" w14:textId="77777777" w:rsidR="001F340C" w:rsidRDefault="001F340C">
                  <w:pPr>
                    <w:spacing w:line="160" w:lineRule="exact"/>
                    <w:jc w:val="left"/>
                    <w:rPr>
                      <w:rFonts w:cs="Miriam" w:hint="cs"/>
                      <w:szCs w:val="18"/>
                      <w:rtl/>
                    </w:rPr>
                  </w:pPr>
                  <w:r>
                    <w:rPr>
                      <w:rFonts w:cs="Miriam" w:hint="cs"/>
                      <w:szCs w:val="18"/>
                      <w:rtl/>
                    </w:rPr>
                    <w:t>מיקום הסימן</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(א)</w:t>
      </w:r>
      <w:r>
        <w:rPr>
          <w:rStyle w:val="default"/>
          <w:rFonts w:cs="FrankRuehl" w:hint="cs"/>
          <w:rtl/>
        </w:rPr>
        <w:tab/>
        <w:t>סימן יופיע בחלקו העליון של מרקע הטלוויזיה, באחת מפינותיו; הסימן יהיה בצבע ובגודל גופן ברורים לעין.</w:t>
      </w:r>
    </w:p>
    <w:p w14:paraId="047BE5C4" w14:textId="77777777" w:rsidR="001F340C" w:rsidRDefault="001F340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בתקנת משנה (א), רשאי גוף המפקח להתיר לאחראי לסימון </w:t>
      </w:r>
      <w:r>
        <w:rPr>
          <w:rStyle w:val="default"/>
          <w:rFonts w:cs="FrankRuehl"/>
          <w:rtl/>
        </w:rPr>
        <w:t>–</w:t>
      </w:r>
    </w:p>
    <w:p w14:paraId="202A3ED0" w14:textId="77777777" w:rsidR="001F340C" w:rsidRDefault="001F340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לגבי מישדר המשודר בשיטת שידור ספרתית, כי סימן יופיע ברצועת המידע המתייחסת למישדר בלבד;</w:t>
      </w:r>
    </w:p>
    <w:p w14:paraId="0FB8644B" w14:textId="77777777" w:rsidR="001F340C" w:rsidRDefault="001F340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לגבי מישדר חוץ המשודר בישראל בשיטת שידור אנלוגית, כי הסימן יופיע כפי שיורה הגוף המפקח, במדריך שידורים בלבד;</w:t>
      </w:r>
    </w:p>
    <w:p w14:paraId="2FEC4399" w14:textId="77777777" w:rsidR="001F340C" w:rsidRDefault="001F340C">
      <w:pPr>
        <w:pStyle w:val="P00"/>
        <w:spacing w:before="72"/>
        <w:ind w:left="1021" w:right="1134"/>
        <w:rPr>
          <w:rStyle w:val="default"/>
          <w:rFonts w:cs="FrankRuehl" w:hint="cs"/>
          <w:rtl/>
        </w:rPr>
      </w:pPr>
      <w:r>
        <w:rPr>
          <w:rtl/>
          <w:lang w:val="he-IL"/>
        </w:rPr>
        <w:pict w14:anchorId="2C301895">
          <v:shape id="_x0000_s1079" type="#_x0000_t202" style="position:absolute;left:0;text-align:left;margin-left:470.25pt;margin-top:1.1pt;width:1in;height:16.8pt;z-index:251660288" filled="f" stroked="f">
            <v:textbox inset="1mm,,1mm">
              <w:txbxContent>
                <w:p w14:paraId="64B0DAFE" w14:textId="77777777" w:rsidR="001F340C" w:rsidRDefault="001F340C">
                  <w:pPr>
                    <w:spacing w:line="160" w:lineRule="exact"/>
                    <w:jc w:val="left"/>
                    <w:rPr>
                      <w:rFonts w:cs="Miriam" w:hint="cs"/>
                      <w:szCs w:val="18"/>
                      <w:rtl/>
                    </w:rPr>
                  </w:pPr>
                  <w:r>
                    <w:rPr>
                      <w:rFonts w:cs="Miriam" w:hint="cs"/>
                      <w:szCs w:val="18"/>
                      <w:rtl/>
                    </w:rPr>
                    <w:t>תק' תשס"ד-2003</w:t>
                  </w:r>
                </w:p>
              </w:txbxContent>
            </v:textbox>
          </v:shape>
        </w:pict>
      </w:r>
      <w:r>
        <w:rPr>
          <w:rStyle w:val="default"/>
          <w:rFonts w:cs="FrankRuehl" w:hint="cs"/>
          <w:rtl/>
        </w:rPr>
        <w:t>(3)</w:t>
      </w:r>
      <w:r>
        <w:rPr>
          <w:rStyle w:val="default"/>
          <w:rFonts w:cs="FrankRuehl" w:hint="cs"/>
          <w:rtl/>
        </w:rPr>
        <w:tab/>
        <w:t>לגבי מישדר כאמור בתקנה 7(א1) שלא ניתן לפיה פטור לגביו, כי הסימן יופיע במדריך השידורים וכן, ככל שהדבר ניתן, כי מידע בדבר סיווגו יוצג בתחילתו של המישדר בכתוביות או בשקופית, כפי שיורה הגוף המפקח.</w:t>
      </w:r>
    </w:p>
    <w:p w14:paraId="15EA20D2" w14:textId="77777777" w:rsidR="001F340C" w:rsidRDefault="001F340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בלי לגרוע מהוראות תקנות משנה (א) ו-(ב), אחראי לסימון יפעל לפרסום הסימן המתאים למשדר גם במדריך שידורים, כפי שיורה הגוף המפקח.</w:t>
      </w:r>
    </w:p>
    <w:p w14:paraId="51F9E2C4" w14:textId="77777777" w:rsidR="0013170C" w:rsidRPr="00015728" w:rsidRDefault="0013170C" w:rsidP="00015728">
      <w:pPr>
        <w:pStyle w:val="footnote"/>
        <w:tabs>
          <w:tab w:val="left" w:pos="624"/>
          <w:tab w:val="left" w:pos="1021"/>
          <w:tab w:val="left" w:pos="1474"/>
          <w:tab w:val="left" w:pos="1928"/>
          <w:tab w:val="left" w:pos="2381"/>
          <w:tab w:val="left" w:pos="2835"/>
          <w:tab w:val="right" w:leader="dot" w:pos="6259"/>
        </w:tabs>
        <w:ind w:left="1021" w:right="1134"/>
        <w:rPr>
          <w:rFonts w:hint="cs"/>
          <w:vanish/>
          <w:color w:val="FF0000"/>
          <w:sz w:val="20"/>
          <w:szCs w:val="20"/>
          <w:shd w:val="clear" w:color="auto" w:fill="FFFF99"/>
          <w:rtl/>
        </w:rPr>
      </w:pPr>
      <w:bookmarkStart w:id="3" w:name="Rov11"/>
      <w:r w:rsidRPr="00015728">
        <w:rPr>
          <w:rFonts w:hint="cs"/>
          <w:vanish/>
          <w:color w:val="FF0000"/>
          <w:sz w:val="20"/>
          <w:szCs w:val="20"/>
          <w:shd w:val="clear" w:color="auto" w:fill="FFFF99"/>
          <w:rtl/>
        </w:rPr>
        <w:t xml:space="preserve">מיום </w:t>
      </w:r>
      <w:r w:rsidR="00017D39" w:rsidRPr="00015728">
        <w:rPr>
          <w:rFonts w:hint="cs"/>
          <w:vanish/>
          <w:color w:val="FF0000"/>
          <w:sz w:val="20"/>
          <w:szCs w:val="20"/>
          <w:shd w:val="clear" w:color="auto" w:fill="FFFF99"/>
          <w:rtl/>
        </w:rPr>
        <w:t>1.10.2003</w:t>
      </w:r>
    </w:p>
    <w:p w14:paraId="7A7D682B" w14:textId="77777777" w:rsidR="0013170C" w:rsidRPr="00015728" w:rsidRDefault="00017D39" w:rsidP="00015728">
      <w:pPr>
        <w:pStyle w:val="footnote"/>
        <w:tabs>
          <w:tab w:val="left" w:pos="624"/>
          <w:tab w:val="left" w:pos="1021"/>
          <w:tab w:val="left" w:pos="1474"/>
          <w:tab w:val="left" w:pos="1928"/>
          <w:tab w:val="left" w:pos="2381"/>
          <w:tab w:val="left" w:pos="2835"/>
          <w:tab w:val="right" w:leader="dot" w:pos="6259"/>
        </w:tabs>
        <w:ind w:left="1021" w:right="1134"/>
        <w:rPr>
          <w:rFonts w:hint="cs"/>
          <w:b/>
          <w:bCs/>
          <w:vanish/>
          <w:sz w:val="20"/>
          <w:szCs w:val="20"/>
          <w:shd w:val="clear" w:color="auto" w:fill="FFFF99"/>
          <w:rtl/>
        </w:rPr>
      </w:pPr>
      <w:r w:rsidRPr="00015728">
        <w:rPr>
          <w:rFonts w:hint="cs"/>
          <w:b/>
          <w:bCs/>
          <w:vanish/>
          <w:sz w:val="20"/>
          <w:szCs w:val="20"/>
          <w:shd w:val="clear" w:color="auto" w:fill="FFFF99"/>
          <w:rtl/>
        </w:rPr>
        <w:t>תק' תשס"ד-2003</w:t>
      </w:r>
    </w:p>
    <w:p w14:paraId="38123A33" w14:textId="77777777" w:rsidR="0013170C" w:rsidRPr="00015728" w:rsidRDefault="0013170C" w:rsidP="00015728">
      <w:pPr>
        <w:pStyle w:val="P00"/>
        <w:spacing w:before="0"/>
        <w:ind w:left="1021" w:right="1134"/>
        <w:rPr>
          <w:rStyle w:val="default"/>
          <w:rFonts w:cs="FrankRuehl" w:hint="cs"/>
          <w:vanish/>
          <w:szCs w:val="20"/>
          <w:shd w:val="clear" w:color="auto" w:fill="FFFF99"/>
          <w:rtl/>
        </w:rPr>
      </w:pPr>
      <w:hyperlink r:id="rId6" w:history="1">
        <w:r w:rsidRPr="00015728">
          <w:rPr>
            <w:rStyle w:val="Hyperlink"/>
            <w:rFonts w:hint="cs"/>
            <w:vanish/>
            <w:szCs w:val="20"/>
            <w:shd w:val="clear" w:color="auto" w:fill="FFFF99"/>
            <w:rtl/>
          </w:rPr>
          <w:t>ק"ת תשס"ד מס' 6269</w:t>
        </w:r>
      </w:hyperlink>
      <w:r w:rsidRPr="00015728">
        <w:rPr>
          <w:rFonts w:hint="cs"/>
          <w:vanish/>
          <w:szCs w:val="20"/>
          <w:shd w:val="clear" w:color="auto" w:fill="FFFF99"/>
          <w:rtl/>
        </w:rPr>
        <w:t xml:space="preserve"> מיום 9.10.2003 עמ' 10</w:t>
      </w:r>
    </w:p>
    <w:p w14:paraId="2E4F84AE" w14:textId="77777777" w:rsidR="0013170C" w:rsidRPr="008306F9" w:rsidRDefault="00A87406" w:rsidP="00015728">
      <w:pPr>
        <w:pStyle w:val="P00"/>
        <w:spacing w:before="0"/>
        <w:ind w:left="1021" w:right="1134"/>
        <w:rPr>
          <w:rStyle w:val="default"/>
          <w:rFonts w:cs="FrankRuehl" w:hint="cs"/>
          <w:b/>
          <w:bCs/>
          <w:sz w:val="2"/>
          <w:szCs w:val="2"/>
          <w:rtl/>
        </w:rPr>
      </w:pPr>
      <w:r w:rsidRPr="00015728">
        <w:rPr>
          <w:rStyle w:val="default"/>
          <w:rFonts w:cs="FrankRuehl" w:hint="cs"/>
          <w:b/>
          <w:bCs/>
          <w:vanish/>
          <w:szCs w:val="20"/>
          <w:shd w:val="clear" w:color="auto" w:fill="FFFF99"/>
          <w:rtl/>
        </w:rPr>
        <w:t>הוספת פסקה 3(ב)(3)</w:t>
      </w:r>
      <w:bookmarkEnd w:id="3"/>
    </w:p>
    <w:p w14:paraId="3BA1CBFF" w14:textId="77777777" w:rsidR="001F340C" w:rsidRDefault="001F340C">
      <w:pPr>
        <w:pStyle w:val="P00"/>
        <w:spacing w:before="72"/>
        <w:ind w:left="0" w:right="1134"/>
        <w:rPr>
          <w:rStyle w:val="default"/>
          <w:rFonts w:cs="FrankRuehl" w:hint="cs"/>
          <w:rtl/>
        </w:rPr>
      </w:pPr>
      <w:bookmarkStart w:id="4" w:name="Seif3"/>
      <w:bookmarkEnd w:id="4"/>
      <w:r>
        <w:rPr>
          <w:rFonts w:cs="Miriam"/>
          <w:szCs w:val="32"/>
          <w:rtl/>
          <w:lang w:val="he-IL"/>
        </w:rPr>
        <w:pict w14:anchorId="4C2BD8EE">
          <v:shape id="_x0000_s1072" type="#_x0000_t202" style="position:absolute;left:0;text-align:left;margin-left:470.25pt;margin-top:5.1pt;width:1in;height:16.8pt;z-index:251653120" filled="f" stroked="f">
            <v:textbox inset="1mm,,1mm">
              <w:txbxContent>
                <w:p w14:paraId="3941F9A2" w14:textId="77777777" w:rsidR="001F340C" w:rsidRDefault="001F340C">
                  <w:pPr>
                    <w:spacing w:line="160" w:lineRule="exact"/>
                    <w:jc w:val="left"/>
                    <w:rPr>
                      <w:rFonts w:cs="Miriam" w:hint="cs"/>
                      <w:szCs w:val="18"/>
                      <w:rtl/>
                    </w:rPr>
                  </w:pPr>
                  <w:r>
                    <w:rPr>
                      <w:rFonts w:cs="Miriam" w:hint="cs"/>
                      <w:szCs w:val="18"/>
                      <w:rtl/>
                    </w:rPr>
                    <w:t>משך הופעת הסימן</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(א)</w:t>
      </w:r>
      <w:r>
        <w:rPr>
          <w:rStyle w:val="default"/>
          <w:rFonts w:cs="FrankRuehl" w:hint="cs"/>
          <w:rtl/>
        </w:rPr>
        <w:tab/>
        <w:t>סימן יוצג על מרקע הטלוויזיה בתחילת המישדר, למשך 30 שניות רצופות.</w:t>
      </w:r>
    </w:p>
    <w:p w14:paraId="491BC5BC" w14:textId="77777777" w:rsidR="001F340C" w:rsidRDefault="001F340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מישדר שמשכו מעל 30 דקות, יישא סימן כאמור, בכל 30 דקות, למשך 30 שניות רצופות; בקביעת משכו של מישדר לפי תקנת משנה זו, יובאו בחשבון קדימון, מילואה או פרסומת המשודרים במהלכו.</w:t>
      </w:r>
    </w:p>
    <w:p w14:paraId="497D9DCE" w14:textId="77777777" w:rsidR="001F340C" w:rsidRDefault="001F340C">
      <w:pPr>
        <w:pStyle w:val="P00"/>
        <w:spacing w:before="72"/>
        <w:ind w:left="0" w:right="1134"/>
        <w:rPr>
          <w:rStyle w:val="default"/>
          <w:rFonts w:cs="FrankRuehl" w:hint="cs"/>
          <w:rtl/>
        </w:rPr>
      </w:pPr>
      <w:r>
        <w:rPr>
          <w:rStyle w:val="default"/>
          <w:rFonts w:cs="FrankRuehl" w:hint="cs"/>
          <w:rtl/>
        </w:rPr>
        <w:lastRenderedPageBreak/>
        <w:tab/>
        <w:t>(ג)</w:t>
      </w:r>
      <w:r>
        <w:rPr>
          <w:rStyle w:val="default"/>
          <w:rFonts w:cs="FrankRuehl" w:hint="cs"/>
          <w:rtl/>
        </w:rPr>
        <w:tab/>
        <w:t>בלי לגרוע מהאמור בתקנת משנה (ב), במישדר שבמהלכו משודרים קדימון, מילואה או פרסומת, יוצג סימן מיד עם חידוש השידור לאחר הפסקת הקדימון, המילואה או הפרסומת האמורים, וזאת למשך 10 שניות.</w:t>
      </w:r>
    </w:p>
    <w:p w14:paraId="731BBFE0" w14:textId="77777777" w:rsidR="001F340C" w:rsidRDefault="001F340C">
      <w:pPr>
        <w:pStyle w:val="P00"/>
        <w:spacing w:before="72"/>
        <w:ind w:left="0" w:right="1134"/>
        <w:rPr>
          <w:rStyle w:val="default"/>
          <w:rFonts w:cs="FrankRuehl" w:hint="cs"/>
          <w:rtl/>
        </w:rPr>
      </w:pPr>
      <w:bookmarkStart w:id="5" w:name="Seif4"/>
      <w:bookmarkEnd w:id="5"/>
      <w:r>
        <w:rPr>
          <w:rFonts w:cs="Miriam"/>
          <w:szCs w:val="32"/>
          <w:rtl/>
          <w:lang w:val="he-IL"/>
        </w:rPr>
        <w:pict w14:anchorId="492E0345">
          <v:shape id="_x0000_s1073" type="#_x0000_t202" style="position:absolute;left:0;text-align:left;margin-left:470.25pt;margin-top:6.35pt;width:1in;height:16.8pt;z-index:251654144" filled="f" stroked="f">
            <v:textbox inset="1mm,,1mm">
              <w:txbxContent>
                <w:p w14:paraId="1E9AC1C5" w14:textId="77777777" w:rsidR="001F340C" w:rsidRDefault="001F340C">
                  <w:pPr>
                    <w:spacing w:line="160" w:lineRule="exact"/>
                    <w:jc w:val="left"/>
                    <w:rPr>
                      <w:rFonts w:cs="Miriam" w:hint="cs"/>
                      <w:szCs w:val="18"/>
                      <w:rtl/>
                    </w:rPr>
                  </w:pPr>
                  <w:r>
                    <w:rPr>
                      <w:rFonts w:cs="Miriam" w:hint="cs"/>
                      <w:szCs w:val="18"/>
                      <w:rtl/>
                    </w:rPr>
                    <w:t>סימון קדימון</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t>קדימון למישדר שיש לסמנו לפי תקנות אלה, יישא אותו סימן של המישדר, ואולם לענין תקנה 4(א) ו-(ב), במקום "30 שניות רצופות" יבוא "10 שניות רצופות או לכל אורכו, לפי הנמוך"; הוראות תקנה 3(ב) ו-(ג) לא יחולו לענין זה.</w:t>
      </w:r>
    </w:p>
    <w:p w14:paraId="0A9CDEA0" w14:textId="77777777" w:rsidR="001F340C" w:rsidRDefault="001F340C">
      <w:pPr>
        <w:pStyle w:val="P00"/>
        <w:spacing w:before="72"/>
        <w:ind w:left="0" w:right="1134"/>
        <w:rPr>
          <w:rStyle w:val="default"/>
          <w:rFonts w:cs="FrankRuehl" w:hint="cs"/>
          <w:rtl/>
        </w:rPr>
      </w:pPr>
      <w:bookmarkStart w:id="6" w:name="Seif5"/>
      <w:bookmarkEnd w:id="6"/>
      <w:r>
        <w:rPr>
          <w:rFonts w:cs="Miriam"/>
          <w:szCs w:val="32"/>
          <w:rtl/>
          <w:lang w:val="he-IL"/>
        </w:rPr>
        <w:pict w14:anchorId="05403B9F">
          <v:shape id="_x0000_s1074" type="#_x0000_t202" style="position:absolute;left:0;text-align:left;margin-left:470.25pt;margin-top:6.05pt;width:1in;height:16.8pt;z-index:251655168" filled="f" stroked="f">
            <v:textbox inset="1mm,,1mm">
              <w:txbxContent>
                <w:p w14:paraId="33F1B895" w14:textId="77777777" w:rsidR="001F340C" w:rsidRDefault="001F340C">
                  <w:pPr>
                    <w:spacing w:line="160" w:lineRule="exact"/>
                    <w:jc w:val="left"/>
                    <w:rPr>
                      <w:rFonts w:cs="Miriam" w:hint="cs"/>
                      <w:szCs w:val="18"/>
                      <w:rtl/>
                    </w:rPr>
                  </w:pPr>
                  <w:r>
                    <w:rPr>
                      <w:rFonts w:cs="Miriam" w:hint="cs"/>
                      <w:szCs w:val="18"/>
                      <w:rtl/>
                    </w:rPr>
                    <w:t>מידע לצופים</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t>(א)</w:t>
      </w:r>
      <w:r>
        <w:rPr>
          <w:rStyle w:val="default"/>
          <w:rFonts w:cs="FrankRuehl" w:hint="cs"/>
          <w:rtl/>
        </w:rPr>
        <w:tab/>
        <w:t>אחראי לסימון יפעל לשם יידוע הצופים בדבר משמעות הסימנים הקבועים בטבלת הסימנים שבתוספת, ובדבר הכללים לפטור מחובת סימון, לרבות במדריך שידורים.</w:t>
      </w:r>
    </w:p>
    <w:p w14:paraId="3F15697B" w14:textId="77777777" w:rsidR="001F340C" w:rsidRDefault="001F340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הגוף המפקח רשאי להורות לאחראי לסימון בדבר אופן יידוע הצופים כאמור.</w:t>
      </w:r>
    </w:p>
    <w:p w14:paraId="337C66DB" w14:textId="77777777" w:rsidR="001F340C" w:rsidRDefault="001F340C">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ג': כללים לפטור מחובת סימון</w:t>
      </w:r>
    </w:p>
    <w:p w14:paraId="4682AADD" w14:textId="77777777" w:rsidR="001F340C" w:rsidRDefault="001F340C">
      <w:pPr>
        <w:pStyle w:val="P00"/>
        <w:spacing w:before="72"/>
        <w:ind w:left="0" w:right="1134"/>
        <w:rPr>
          <w:rStyle w:val="default"/>
          <w:rFonts w:cs="FrankRuehl" w:hint="cs"/>
          <w:rtl/>
        </w:rPr>
      </w:pPr>
      <w:bookmarkStart w:id="7" w:name="Seif6"/>
      <w:bookmarkEnd w:id="7"/>
      <w:r>
        <w:rPr>
          <w:rFonts w:cs="Miriam"/>
          <w:szCs w:val="32"/>
          <w:rtl/>
          <w:lang w:val="he-IL"/>
        </w:rPr>
        <w:pict w14:anchorId="0C3BF62B">
          <v:shape id="_x0000_s1075" type="#_x0000_t202" style="position:absolute;left:0;text-align:left;margin-left:462pt;margin-top:2.55pt;width:80.25pt;height:22.4pt;z-index:251656192" filled="f" stroked="f">
            <v:textbox inset="1mm,,1mm">
              <w:txbxContent>
                <w:p w14:paraId="32ADEAC5" w14:textId="77777777" w:rsidR="001F340C" w:rsidRDefault="001F340C">
                  <w:pPr>
                    <w:spacing w:line="160" w:lineRule="exact"/>
                    <w:jc w:val="left"/>
                    <w:rPr>
                      <w:rFonts w:cs="Miriam" w:hint="cs"/>
                      <w:szCs w:val="18"/>
                      <w:rtl/>
                    </w:rPr>
                  </w:pPr>
                  <w:r>
                    <w:rPr>
                      <w:rFonts w:cs="Miriam" w:hint="cs"/>
                      <w:szCs w:val="18"/>
                      <w:rtl/>
                    </w:rPr>
                    <w:t>פטור מסימון מישדר</w:t>
                  </w:r>
                </w:p>
              </w:txbxContent>
            </v:textbox>
            <w10:anchorlock/>
          </v:shape>
        </w:pict>
      </w:r>
      <w:r>
        <w:rPr>
          <w:rStyle w:val="default"/>
          <w:rFonts w:cs="Miriam" w:hint="cs"/>
          <w:sz w:val="32"/>
          <w:szCs w:val="32"/>
          <w:rtl/>
        </w:rPr>
        <w:t>7</w:t>
      </w:r>
      <w:r>
        <w:rPr>
          <w:rStyle w:val="default"/>
          <w:rFonts w:cs="FrankRuehl" w:hint="cs"/>
          <w:rtl/>
        </w:rPr>
        <w:t>.</w:t>
      </w:r>
      <w:r>
        <w:rPr>
          <w:rStyle w:val="default"/>
          <w:rFonts w:cs="FrankRuehl" w:hint="cs"/>
          <w:rtl/>
        </w:rPr>
        <w:tab/>
        <w:t>(א)</w:t>
      </w:r>
      <w:r>
        <w:rPr>
          <w:rStyle w:val="default"/>
          <w:rFonts w:cs="FrankRuehl" w:hint="cs"/>
          <w:rtl/>
        </w:rPr>
        <w:tab/>
        <w:t>מישדר יהיה פטור מחובת הסימון לפי החוק, אם מתקיים בו אחד מאלה:</w:t>
      </w:r>
    </w:p>
    <w:p w14:paraId="1DE1A8D1" w14:textId="77777777" w:rsidR="001F340C" w:rsidRDefault="001F340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המישדר משודר בשעות שבין 01:00 ובין 06:00;</w:t>
      </w:r>
    </w:p>
    <w:p w14:paraId="75162D2B" w14:textId="77777777" w:rsidR="001F340C" w:rsidRDefault="001F340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המישדר משודר בשידור חי, ואין לאחראי לסימון אפשרות סבירה לקבל לגביו, זמן סביר קודם למועד שידורו, פרטים המאפשרים סיווגו וסימונו;</w:t>
      </w:r>
    </w:p>
    <w:p w14:paraId="6ECFC341" w14:textId="77777777" w:rsidR="001F340C" w:rsidRDefault="001F340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המישדר הוא מישדר חוץ, ואין לאחראי לסימון אפשרות סבירה לקבל לגביו, זמן סביר קודם למועד שידורו, פרטים המאפשרים סיווגו וסימונו.</w:t>
      </w:r>
    </w:p>
    <w:p w14:paraId="33827F89" w14:textId="77777777" w:rsidR="001F340C" w:rsidRDefault="001F340C" w:rsidP="003C24EA">
      <w:pPr>
        <w:pStyle w:val="P00"/>
        <w:spacing w:before="72"/>
        <w:ind w:left="0" w:right="1134"/>
        <w:rPr>
          <w:rStyle w:val="default"/>
          <w:rFonts w:cs="FrankRuehl" w:hint="cs"/>
          <w:rtl/>
        </w:rPr>
      </w:pPr>
      <w:r>
        <w:rPr>
          <w:rtl/>
          <w:lang w:val="he-IL"/>
        </w:rPr>
        <w:pict w14:anchorId="735F73F5">
          <v:shape id="_x0000_s1080" type="#_x0000_t202" style="position:absolute;left:0;text-align:left;margin-left:470.25pt;margin-top:4.7pt;width:1in;height:16.8pt;z-index:251661312" filled="f" stroked="f">
            <v:textbox inset="1mm,,1mm">
              <w:txbxContent>
                <w:p w14:paraId="78396FD3" w14:textId="77777777" w:rsidR="001F340C" w:rsidRDefault="001F340C">
                  <w:pPr>
                    <w:spacing w:line="160" w:lineRule="exact"/>
                    <w:jc w:val="left"/>
                    <w:rPr>
                      <w:rFonts w:cs="Miriam" w:hint="cs"/>
                      <w:szCs w:val="18"/>
                      <w:rtl/>
                    </w:rPr>
                  </w:pPr>
                  <w:r>
                    <w:rPr>
                      <w:rFonts w:cs="Miriam" w:hint="cs"/>
                      <w:szCs w:val="18"/>
                      <w:rtl/>
                    </w:rPr>
                    <w:t>תק' תשס"ד-2003</w:t>
                  </w:r>
                </w:p>
              </w:txbxContent>
            </v:textbox>
          </v:shape>
        </w:pict>
      </w:r>
      <w:r>
        <w:rPr>
          <w:rStyle w:val="default"/>
          <w:rFonts w:cs="FrankRuehl" w:hint="cs"/>
          <w:rtl/>
        </w:rPr>
        <w:tab/>
        <w:t>(א1)</w:t>
      </w:r>
      <w:r w:rsidR="003C24EA">
        <w:rPr>
          <w:rStyle w:val="default"/>
          <w:rFonts w:cs="FrankRuehl" w:hint="cs"/>
          <w:rtl/>
        </w:rPr>
        <w:tab/>
      </w:r>
      <w:r>
        <w:rPr>
          <w:rStyle w:val="default"/>
          <w:rFonts w:cs="FrankRuehl" w:hint="cs"/>
          <w:rtl/>
        </w:rPr>
        <w:t>השר רשאי, לפי המלצת הגוף המפקח, לפטור מחובת הסימון לפי החוק מישדרים בערוץ, כולם או חלקם, המשודרים בישראל בשיטת השידור האנלוגית, ואשר לולא תורגמו היו נחשבים מישדר חוץ, וזאת בהתחשב במאפייניהם של מישדרים כאמור.</w:t>
      </w:r>
    </w:p>
    <w:p w14:paraId="30638C67" w14:textId="77777777" w:rsidR="001F340C" w:rsidRDefault="001F340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לגבי מישדרים כאמור בתקנת משנה (א)(2) ו-(3), אחראי לסימון יפעל לפרסום הודעה במדריך שידורים כפי שיורה הגוף המפקח שלפיה אין בידו פרטים המאפשרים סיווג וסימון כאמור.</w:t>
      </w:r>
    </w:p>
    <w:p w14:paraId="760E18E4" w14:textId="77777777" w:rsidR="00AB24C4" w:rsidRPr="00015728" w:rsidRDefault="00AB24C4" w:rsidP="00AB24C4">
      <w:pPr>
        <w:pStyle w:val="footnote"/>
        <w:tabs>
          <w:tab w:val="left" w:pos="624"/>
          <w:tab w:val="left" w:pos="1021"/>
          <w:tab w:val="left" w:pos="1474"/>
          <w:tab w:val="left" w:pos="1928"/>
          <w:tab w:val="left" w:pos="2381"/>
          <w:tab w:val="left" w:pos="2835"/>
          <w:tab w:val="right" w:leader="dot" w:pos="6259"/>
        </w:tabs>
        <w:ind w:left="0" w:right="1134"/>
        <w:rPr>
          <w:rFonts w:hint="cs"/>
          <w:vanish/>
          <w:color w:val="FF0000"/>
          <w:sz w:val="20"/>
          <w:szCs w:val="20"/>
          <w:shd w:val="clear" w:color="auto" w:fill="FFFF99"/>
          <w:rtl/>
        </w:rPr>
      </w:pPr>
      <w:bookmarkStart w:id="8" w:name="Rov12"/>
      <w:r w:rsidRPr="00015728">
        <w:rPr>
          <w:rFonts w:hint="cs"/>
          <w:vanish/>
          <w:color w:val="FF0000"/>
          <w:sz w:val="20"/>
          <w:szCs w:val="20"/>
          <w:shd w:val="clear" w:color="auto" w:fill="FFFF99"/>
          <w:rtl/>
        </w:rPr>
        <w:t>מיום 1.10.2003</w:t>
      </w:r>
    </w:p>
    <w:p w14:paraId="15DDDBFD" w14:textId="77777777" w:rsidR="00AB24C4" w:rsidRPr="00015728" w:rsidRDefault="00AB24C4" w:rsidP="00AB24C4">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015728">
        <w:rPr>
          <w:rFonts w:hint="cs"/>
          <w:b/>
          <w:bCs/>
          <w:vanish/>
          <w:sz w:val="20"/>
          <w:szCs w:val="20"/>
          <w:shd w:val="clear" w:color="auto" w:fill="FFFF99"/>
          <w:rtl/>
        </w:rPr>
        <w:t>תק' תשס"ד-2003</w:t>
      </w:r>
    </w:p>
    <w:p w14:paraId="7B4D47CE" w14:textId="77777777" w:rsidR="00AB24C4" w:rsidRPr="00015728" w:rsidRDefault="00AB24C4" w:rsidP="00AB24C4">
      <w:pPr>
        <w:pStyle w:val="P00"/>
        <w:spacing w:before="0"/>
        <w:ind w:left="0" w:right="1134"/>
        <w:rPr>
          <w:rStyle w:val="default"/>
          <w:rFonts w:cs="FrankRuehl" w:hint="cs"/>
          <w:vanish/>
          <w:szCs w:val="20"/>
          <w:shd w:val="clear" w:color="auto" w:fill="FFFF99"/>
          <w:rtl/>
        </w:rPr>
      </w:pPr>
      <w:hyperlink r:id="rId7" w:history="1">
        <w:r w:rsidRPr="00015728">
          <w:rPr>
            <w:rStyle w:val="Hyperlink"/>
            <w:rFonts w:hint="cs"/>
            <w:vanish/>
            <w:szCs w:val="20"/>
            <w:shd w:val="clear" w:color="auto" w:fill="FFFF99"/>
            <w:rtl/>
          </w:rPr>
          <w:t>ק"ת תשס"ד מס' 6269</w:t>
        </w:r>
      </w:hyperlink>
      <w:r w:rsidRPr="00015728">
        <w:rPr>
          <w:rFonts w:hint="cs"/>
          <w:vanish/>
          <w:szCs w:val="20"/>
          <w:shd w:val="clear" w:color="auto" w:fill="FFFF99"/>
          <w:rtl/>
        </w:rPr>
        <w:t xml:space="preserve"> מיום 9.10.2003 עמ' 10</w:t>
      </w:r>
    </w:p>
    <w:p w14:paraId="5EC8B44D" w14:textId="77777777" w:rsidR="00AB24C4" w:rsidRPr="001E7FC9" w:rsidRDefault="00AB24C4" w:rsidP="001E7FC9">
      <w:pPr>
        <w:pStyle w:val="P00"/>
        <w:spacing w:before="0"/>
        <w:ind w:left="0" w:right="1134"/>
        <w:rPr>
          <w:rStyle w:val="default"/>
          <w:rFonts w:cs="FrankRuehl" w:hint="cs"/>
          <w:sz w:val="2"/>
          <w:szCs w:val="2"/>
          <w:rtl/>
        </w:rPr>
      </w:pPr>
      <w:r w:rsidRPr="00015728">
        <w:rPr>
          <w:rStyle w:val="default"/>
          <w:rFonts w:cs="FrankRuehl" w:hint="cs"/>
          <w:b/>
          <w:bCs/>
          <w:vanish/>
          <w:szCs w:val="20"/>
          <w:shd w:val="clear" w:color="auto" w:fill="FFFF99"/>
          <w:rtl/>
        </w:rPr>
        <w:t>הוספת תקנת משנה 7(א1)</w:t>
      </w:r>
      <w:bookmarkEnd w:id="8"/>
    </w:p>
    <w:p w14:paraId="54B9E196" w14:textId="77777777" w:rsidR="001F340C" w:rsidRDefault="001F340C">
      <w:pPr>
        <w:pStyle w:val="P00"/>
        <w:spacing w:before="72"/>
        <w:ind w:left="0" w:right="1134"/>
        <w:rPr>
          <w:rStyle w:val="default"/>
          <w:rFonts w:cs="FrankRuehl" w:hint="cs"/>
          <w:rtl/>
        </w:rPr>
      </w:pPr>
      <w:bookmarkStart w:id="9" w:name="Seif7"/>
      <w:bookmarkEnd w:id="9"/>
      <w:r w:rsidRPr="001E7FC9">
        <w:rPr>
          <w:rFonts w:cs="Miriam"/>
          <w:szCs w:val="32"/>
          <w:rtl/>
          <w:lang w:val="he-IL"/>
        </w:rPr>
        <w:pict w14:anchorId="2FF081E1">
          <v:shape id="_x0000_s1076" type="#_x0000_t202" style="position:absolute;left:0;text-align:left;margin-left:462pt;margin-top:4.2pt;width:80.25pt;height:23.1pt;z-index:251657216" filled="f" stroked="f">
            <v:textbox style="mso-next-textbox:#_x0000_s1076" inset="1mm,,1mm">
              <w:txbxContent>
                <w:p w14:paraId="09656A68" w14:textId="77777777" w:rsidR="001F340C" w:rsidRDefault="001F340C">
                  <w:pPr>
                    <w:spacing w:line="160" w:lineRule="exact"/>
                    <w:jc w:val="left"/>
                    <w:rPr>
                      <w:rFonts w:cs="Miriam" w:hint="cs"/>
                      <w:szCs w:val="18"/>
                      <w:rtl/>
                    </w:rPr>
                  </w:pPr>
                  <w:r>
                    <w:rPr>
                      <w:rFonts w:cs="Miriam" w:hint="cs"/>
                      <w:szCs w:val="18"/>
                      <w:rtl/>
                    </w:rPr>
                    <w:t>פטור מסימון קדימון</w:t>
                  </w:r>
                </w:p>
                <w:p w14:paraId="12AFC890" w14:textId="77777777" w:rsidR="001F340C" w:rsidRDefault="001F340C">
                  <w:pPr>
                    <w:spacing w:line="160" w:lineRule="exact"/>
                    <w:jc w:val="left"/>
                    <w:rPr>
                      <w:rFonts w:cs="Miriam" w:hint="cs"/>
                      <w:szCs w:val="18"/>
                      <w:rtl/>
                    </w:rPr>
                  </w:pPr>
                  <w:r>
                    <w:rPr>
                      <w:rFonts w:cs="Miriam" w:hint="cs"/>
                      <w:szCs w:val="18"/>
                      <w:rtl/>
                    </w:rPr>
                    <w:t>תק' תשס"ד-2003</w:t>
                  </w:r>
                </w:p>
              </w:txbxContent>
            </v:textbox>
            <w10:anchorlock/>
          </v:shape>
        </w:pict>
      </w:r>
      <w:r w:rsidRPr="001E7FC9">
        <w:rPr>
          <w:rStyle w:val="default"/>
          <w:rFonts w:cs="Miriam" w:hint="cs"/>
          <w:sz w:val="32"/>
          <w:szCs w:val="32"/>
          <w:rtl/>
        </w:rPr>
        <w:t>8</w:t>
      </w:r>
      <w:r>
        <w:rPr>
          <w:rStyle w:val="default"/>
          <w:rFonts w:cs="FrankRuehl" w:hint="cs"/>
          <w:rtl/>
        </w:rPr>
        <w:t>.</w:t>
      </w:r>
      <w:r>
        <w:rPr>
          <w:rStyle w:val="default"/>
          <w:rFonts w:cs="FrankRuehl" w:hint="cs"/>
          <w:rtl/>
        </w:rPr>
        <w:tab/>
        <w:t>(א)</w:t>
      </w:r>
      <w:r>
        <w:rPr>
          <w:rStyle w:val="default"/>
          <w:rFonts w:cs="FrankRuehl" w:hint="cs"/>
          <w:rtl/>
        </w:rPr>
        <w:tab/>
        <w:t>קדימון למישדר שיש לסמנו יהיה פטור מחובת הסימון הקבועה בחוק, אם משכו קצר מ-5 שניות.</w:t>
      </w:r>
    </w:p>
    <w:p w14:paraId="7A101BBE" w14:textId="77777777" w:rsidR="001F340C" w:rsidRDefault="00015728">
      <w:pPr>
        <w:pStyle w:val="P00"/>
        <w:spacing w:before="72"/>
        <w:ind w:left="0" w:right="1134"/>
        <w:rPr>
          <w:rStyle w:val="default"/>
          <w:rFonts w:cs="FrankRuehl" w:hint="cs"/>
          <w:rtl/>
        </w:rPr>
      </w:pPr>
      <w:r>
        <w:rPr>
          <w:rFonts w:hint="cs"/>
          <w:rtl/>
          <w:lang w:eastAsia="en-US"/>
        </w:rPr>
        <w:pict w14:anchorId="38B36297">
          <v:shape id="_x0000_s1088" type="#_x0000_t202" style="position:absolute;left:0;text-align:left;margin-left:470.25pt;margin-top:7.1pt;width:1in;height:9.65pt;z-index:251665408" filled="f" stroked="f">
            <v:textbox inset="1mm,0,1mm,0">
              <w:txbxContent>
                <w:p w14:paraId="030A4C56" w14:textId="77777777" w:rsidR="00015728" w:rsidRDefault="00015728" w:rsidP="00015728">
                  <w:pPr>
                    <w:spacing w:line="160" w:lineRule="exact"/>
                    <w:jc w:val="left"/>
                    <w:rPr>
                      <w:rFonts w:cs="Miriam" w:hint="cs"/>
                      <w:szCs w:val="18"/>
                      <w:rtl/>
                    </w:rPr>
                  </w:pPr>
                  <w:r>
                    <w:rPr>
                      <w:rFonts w:cs="Miriam" w:hint="cs"/>
                      <w:szCs w:val="18"/>
                      <w:rtl/>
                    </w:rPr>
                    <w:t>תק' תשס"ד-2003</w:t>
                  </w:r>
                </w:p>
              </w:txbxContent>
            </v:textbox>
            <w10:anchorlock/>
          </v:shape>
        </w:pict>
      </w:r>
      <w:r w:rsidR="001F340C">
        <w:rPr>
          <w:rStyle w:val="default"/>
          <w:rFonts w:cs="FrankRuehl" w:hint="cs"/>
          <w:rtl/>
        </w:rPr>
        <w:tab/>
        <w:t>(ב)</w:t>
      </w:r>
      <w:r w:rsidR="001F340C">
        <w:rPr>
          <w:rStyle w:val="default"/>
          <w:rFonts w:cs="FrankRuehl" w:hint="cs"/>
          <w:rtl/>
        </w:rPr>
        <w:tab/>
        <w:t>קדימון למישדר אשר לולא תורגם היה נחשב מישדר חוץ, יהיה פטור מחובת הסימון הקבועה בחוק.</w:t>
      </w:r>
    </w:p>
    <w:p w14:paraId="57054993" w14:textId="77777777" w:rsidR="0017385A" w:rsidRPr="00015728" w:rsidRDefault="0017385A" w:rsidP="0017385A">
      <w:pPr>
        <w:pStyle w:val="footnote"/>
        <w:tabs>
          <w:tab w:val="left" w:pos="624"/>
          <w:tab w:val="left" w:pos="1021"/>
          <w:tab w:val="left" w:pos="1474"/>
          <w:tab w:val="left" w:pos="1928"/>
          <w:tab w:val="left" w:pos="2381"/>
          <w:tab w:val="left" w:pos="2835"/>
          <w:tab w:val="right" w:leader="dot" w:pos="6259"/>
        </w:tabs>
        <w:ind w:left="0" w:right="1134"/>
        <w:rPr>
          <w:rFonts w:hint="cs"/>
          <w:vanish/>
          <w:color w:val="FF0000"/>
          <w:sz w:val="20"/>
          <w:szCs w:val="20"/>
          <w:shd w:val="clear" w:color="auto" w:fill="FFFF99"/>
          <w:rtl/>
        </w:rPr>
      </w:pPr>
      <w:bookmarkStart w:id="10" w:name="Rov13"/>
      <w:r w:rsidRPr="00015728">
        <w:rPr>
          <w:rFonts w:hint="cs"/>
          <w:vanish/>
          <w:color w:val="FF0000"/>
          <w:sz w:val="20"/>
          <w:szCs w:val="20"/>
          <w:shd w:val="clear" w:color="auto" w:fill="FFFF99"/>
          <w:rtl/>
        </w:rPr>
        <w:t>מיום 1.10.2003</w:t>
      </w:r>
    </w:p>
    <w:p w14:paraId="00E4687E" w14:textId="77777777" w:rsidR="0017385A" w:rsidRPr="00015728" w:rsidRDefault="0017385A" w:rsidP="0017385A">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015728">
        <w:rPr>
          <w:rFonts w:hint="cs"/>
          <w:b/>
          <w:bCs/>
          <w:vanish/>
          <w:sz w:val="20"/>
          <w:szCs w:val="20"/>
          <w:shd w:val="clear" w:color="auto" w:fill="FFFF99"/>
          <w:rtl/>
        </w:rPr>
        <w:t>תק' תשס"ד-2003</w:t>
      </w:r>
    </w:p>
    <w:p w14:paraId="55896651" w14:textId="77777777" w:rsidR="0017385A" w:rsidRPr="00015728" w:rsidRDefault="0017385A" w:rsidP="0017385A">
      <w:pPr>
        <w:pStyle w:val="P00"/>
        <w:spacing w:before="0"/>
        <w:ind w:left="0" w:right="1134"/>
        <w:rPr>
          <w:rStyle w:val="default"/>
          <w:rFonts w:cs="FrankRuehl" w:hint="cs"/>
          <w:vanish/>
          <w:shd w:val="clear" w:color="auto" w:fill="FFFF99"/>
          <w:rtl/>
        </w:rPr>
      </w:pPr>
      <w:hyperlink r:id="rId8" w:history="1">
        <w:r w:rsidRPr="00015728">
          <w:rPr>
            <w:rStyle w:val="Hyperlink"/>
            <w:rFonts w:hint="cs"/>
            <w:vanish/>
            <w:szCs w:val="20"/>
            <w:shd w:val="clear" w:color="auto" w:fill="FFFF99"/>
            <w:rtl/>
          </w:rPr>
          <w:t>ק"ת תשס"ד מס' 6269</w:t>
        </w:r>
      </w:hyperlink>
      <w:r w:rsidRPr="00015728">
        <w:rPr>
          <w:rFonts w:hint="cs"/>
          <w:vanish/>
          <w:szCs w:val="20"/>
          <w:shd w:val="clear" w:color="auto" w:fill="FFFF99"/>
          <w:rtl/>
        </w:rPr>
        <w:t xml:space="preserve"> מיום 9.10.2003 עמ' 10</w:t>
      </w:r>
    </w:p>
    <w:p w14:paraId="13270247" w14:textId="77777777" w:rsidR="0017385A" w:rsidRPr="00015728" w:rsidRDefault="0017385A" w:rsidP="00F06CA7">
      <w:pPr>
        <w:pStyle w:val="P00"/>
        <w:ind w:left="0" w:right="1134"/>
        <w:rPr>
          <w:rStyle w:val="default"/>
          <w:rFonts w:cs="FrankRuehl" w:hint="cs"/>
          <w:vanish/>
          <w:sz w:val="22"/>
          <w:szCs w:val="22"/>
          <w:shd w:val="clear" w:color="auto" w:fill="FFFF99"/>
          <w:rtl/>
        </w:rPr>
      </w:pPr>
      <w:r w:rsidRPr="00015728">
        <w:rPr>
          <w:rStyle w:val="default"/>
          <w:rFonts w:cs="FrankRuehl" w:hint="cs"/>
          <w:vanish/>
          <w:sz w:val="22"/>
          <w:szCs w:val="22"/>
          <w:shd w:val="clear" w:color="auto" w:fill="FFFF99"/>
          <w:rtl/>
        </w:rPr>
        <w:t>8.</w:t>
      </w:r>
      <w:r w:rsidRPr="00015728">
        <w:rPr>
          <w:rStyle w:val="default"/>
          <w:rFonts w:cs="FrankRuehl" w:hint="cs"/>
          <w:vanish/>
          <w:sz w:val="22"/>
          <w:szCs w:val="22"/>
          <w:shd w:val="clear" w:color="auto" w:fill="FFFF99"/>
          <w:rtl/>
        </w:rPr>
        <w:tab/>
      </w:r>
      <w:r w:rsidRPr="00015728">
        <w:rPr>
          <w:rStyle w:val="default"/>
          <w:rFonts w:cs="FrankRuehl" w:hint="cs"/>
          <w:vanish/>
          <w:sz w:val="22"/>
          <w:szCs w:val="22"/>
          <w:u w:val="single"/>
          <w:shd w:val="clear" w:color="auto" w:fill="FFFF99"/>
          <w:rtl/>
        </w:rPr>
        <w:t>(א)</w:t>
      </w:r>
      <w:r w:rsidRPr="00015728">
        <w:rPr>
          <w:rStyle w:val="default"/>
          <w:rFonts w:cs="FrankRuehl" w:hint="cs"/>
          <w:vanish/>
          <w:sz w:val="22"/>
          <w:szCs w:val="22"/>
          <w:shd w:val="clear" w:color="auto" w:fill="FFFF99"/>
          <w:rtl/>
        </w:rPr>
        <w:tab/>
        <w:t>קדימון למישדר שיש לסמנו יהיה פטור מחובת הסימון הקבועה בחוק, אם משכו קצר מ-5 שניות.</w:t>
      </w:r>
    </w:p>
    <w:p w14:paraId="5A8F1C5B" w14:textId="77777777" w:rsidR="0017385A" w:rsidRPr="00DF65A4" w:rsidRDefault="0017385A" w:rsidP="00DF65A4">
      <w:pPr>
        <w:pStyle w:val="P00"/>
        <w:spacing w:before="0"/>
        <w:ind w:left="0" w:right="1134"/>
        <w:rPr>
          <w:rStyle w:val="default"/>
          <w:rFonts w:cs="FrankRuehl" w:hint="cs"/>
          <w:sz w:val="2"/>
          <w:szCs w:val="2"/>
          <w:rtl/>
        </w:rPr>
      </w:pPr>
      <w:r w:rsidRPr="00015728">
        <w:rPr>
          <w:rStyle w:val="default"/>
          <w:rFonts w:cs="FrankRuehl" w:hint="cs"/>
          <w:vanish/>
          <w:sz w:val="22"/>
          <w:szCs w:val="22"/>
          <w:shd w:val="clear" w:color="auto" w:fill="FFFF99"/>
          <w:rtl/>
        </w:rPr>
        <w:tab/>
      </w:r>
      <w:r w:rsidRPr="00015728">
        <w:rPr>
          <w:rStyle w:val="default"/>
          <w:rFonts w:cs="FrankRuehl" w:hint="cs"/>
          <w:vanish/>
          <w:sz w:val="22"/>
          <w:szCs w:val="22"/>
          <w:u w:val="single"/>
          <w:shd w:val="clear" w:color="auto" w:fill="FFFF99"/>
          <w:rtl/>
        </w:rPr>
        <w:t>(ב)</w:t>
      </w:r>
      <w:r w:rsidRPr="00015728">
        <w:rPr>
          <w:rStyle w:val="default"/>
          <w:rFonts w:cs="FrankRuehl" w:hint="cs"/>
          <w:vanish/>
          <w:sz w:val="22"/>
          <w:szCs w:val="22"/>
          <w:u w:val="single"/>
          <w:shd w:val="clear" w:color="auto" w:fill="FFFF99"/>
          <w:rtl/>
        </w:rPr>
        <w:tab/>
        <w:t>קדימון למישדר אשר לולא תורגם היה נחשב מישדר חוץ, יהיה פטור מחובת הסימון הקבועה בחוק</w:t>
      </w:r>
      <w:r w:rsidRPr="00015728">
        <w:rPr>
          <w:rStyle w:val="default"/>
          <w:rFonts w:cs="FrankRuehl" w:hint="cs"/>
          <w:vanish/>
          <w:sz w:val="22"/>
          <w:szCs w:val="22"/>
          <w:shd w:val="clear" w:color="auto" w:fill="FFFF99"/>
          <w:rtl/>
        </w:rPr>
        <w:t>.</w:t>
      </w:r>
      <w:bookmarkEnd w:id="10"/>
    </w:p>
    <w:p w14:paraId="3F3FC299" w14:textId="77777777" w:rsidR="001F340C" w:rsidRDefault="001F340C">
      <w:pPr>
        <w:pStyle w:val="P00"/>
        <w:spacing w:before="72"/>
        <w:ind w:left="0" w:right="1134"/>
        <w:rPr>
          <w:rStyle w:val="default"/>
          <w:rFonts w:cs="FrankRuehl" w:hint="cs"/>
          <w:rtl/>
        </w:rPr>
      </w:pPr>
      <w:bookmarkStart w:id="11" w:name="Seif8"/>
      <w:bookmarkEnd w:id="11"/>
      <w:r>
        <w:rPr>
          <w:rFonts w:cs="Miriam"/>
          <w:szCs w:val="32"/>
          <w:rtl/>
          <w:lang w:val="he-IL"/>
        </w:rPr>
        <w:pict w14:anchorId="54DA0A21">
          <v:shape id="_x0000_s1077" type="#_x0000_t202" style="position:absolute;left:0;text-align:left;margin-left:470.25pt;margin-top:4.9pt;width:1in;height:16.8pt;z-index:251658240" filled="f" stroked="f">
            <v:textbox inset="1mm,,1mm">
              <w:txbxContent>
                <w:p w14:paraId="2D84F7FD" w14:textId="77777777" w:rsidR="001F340C" w:rsidRDefault="001F340C">
                  <w:pPr>
                    <w:spacing w:line="160" w:lineRule="exact"/>
                    <w:jc w:val="left"/>
                    <w:rPr>
                      <w:rFonts w:cs="Miriam" w:hint="cs"/>
                      <w:szCs w:val="18"/>
                      <w:rtl/>
                    </w:rPr>
                  </w:pPr>
                  <w:r>
                    <w:rPr>
                      <w:rFonts w:cs="Miriam" w:hint="cs"/>
                      <w:szCs w:val="18"/>
                      <w:rtl/>
                    </w:rPr>
                    <w:t>תחילה</w:t>
                  </w:r>
                </w:p>
              </w:txbxContent>
            </v:textbox>
            <w10:anchorlock/>
          </v:shape>
        </w:pict>
      </w:r>
      <w:r>
        <w:rPr>
          <w:rStyle w:val="default"/>
          <w:rFonts w:cs="Miriam" w:hint="cs"/>
          <w:sz w:val="32"/>
          <w:szCs w:val="32"/>
          <w:rtl/>
        </w:rPr>
        <w:t>9</w:t>
      </w:r>
      <w:r>
        <w:rPr>
          <w:rStyle w:val="default"/>
          <w:rFonts w:cs="FrankRuehl" w:hint="cs"/>
          <w:rtl/>
        </w:rPr>
        <w:t>.</w:t>
      </w:r>
      <w:r>
        <w:rPr>
          <w:rStyle w:val="default"/>
          <w:rFonts w:cs="FrankRuehl" w:hint="cs"/>
          <w:rtl/>
        </w:rPr>
        <w:tab/>
        <w:t xml:space="preserve">תחילתן של תקנות אלה </w:t>
      </w:r>
      <w:r>
        <w:rPr>
          <w:rStyle w:val="default"/>
          <w:rFonts w:cs="FrankRuehl"/>
          <w:rtl/>
        </w:rPr>
        <w:t>–</w:t>
      </w:r>
    </w:p>
    <w:p w14:paraId="0C1944DF" w14:textId="77777777" w:rsidR="001F340C" w:rsidRDefault="001F340C" w:rsidP="00581DB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לענין שידורי הטלוויזיה הלימודית, שידורים על פי חוק רשות השידור, התשכ"ה-1965, ושידורים על פי חוק הרשות השניה </w:t>
      </w:r>
      <w:r>
        <w:rPr>
          <w:rStyle w:val="default"/>
          <w:rFonts w:cs="FrankRuehl"/>
          <w:rtl/>
        </w:rPr>
        <w:t>–</w:t>
      </w:r>
      <w:r>
        <w:rPr>
          <w:rStyle w:val="default"/>
          <w:rFonts w:cs="FrankRuehl" w:hint="cs"/>
          <w:rtl/>
        </w:rPr>
        <w:t xml:space="preserve"> 90 ימים מיום פרסומן;</w:t>
      </w:r>
    </w:p>
    <w:p w14:paraId="4073D7F5" w14:textId="77777777" w:rsidR="001F340C" w:rsidRDefault="001F340C" w:rsidP="00581DB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לענין שידורים על פי חוק הבזק </w:t>
      </w:r>
      <w:r>
        <w:rPr>
          <w:rStyle w:val="default"/>
          <w:rFonts w:cs="FrankRuehl"/>
          <w:rtl/>
        </w:rPr>
        <w:t>–</w:t>
      </w:r>
      <w:r>
        <w:rPr>
          <w:rStyle w:val="default"/>
          <w:rFonts w:cs="FrankRuehl" w:hint="cs"/>
          <w:rtl/>
        </w:rPr>
        <w:t xml:space="preserve"> 270 ימים מיום פרסומן.</w:t>
      </w:r>
    </w:p>
    <w:p w14:paraId="3730ADA4" w14:textId="77777777" w:rsidR="001F340C" w:rsidRDefault="001F340C">
      <w:pPr>
        <w:pStyle w:val="P00"/>
        <w:spacing w:before="72"/>
        <w:ind w:left="0" w:right="1134"/>
        <w:rPr>
          <w:rStyle w:val="default"/>
          <w:rFonts w:cs="FrankRuehl" w:hint="cs"/>
          <w:rtl/>
        </w:rPr>
      </w:pPr>
    </w:p>
    <w:p w14:paraId="61824C09" w14:textId="77777777" w:rsidR="001F340C" w:rsidRPr="00581DB5" w:rsidRDefault="001F340C" w:rsidP="00581DB5">
      <w:pPr>
        <w:pStyle w:val="medium2-header"/>
        <w:keepLines w:val="0"/>
        <w:spacing w:before="72"/>
        <w:ind w:left="0" w:right="1134"/>
        <w:rPr>
          <w:rFonts w:hint="cs"/>
          <w:noProof/>
          <w:sz w:val="20"/>
          <w:rtl/>
        </w:rPr>
      </w:pPr>
      <w:r w:rsidRPr="00581DB5">
        <w:rPr>
          <w:rFonts w:hint="cs"/>
          <w:noProof/>
          <w:sz w:val="20"/>
          <w:rtl/>
        </w:rPr>
        <w:t>תוספת</w:t>
      </w:r>
    </w:p>
    <w:p w14:paraId="5EABDED8" w14:textId="77777777" w:rsidR="001F340C" w:rsidRDefault="001F340C">
      <w:pPr>
        <w:pStyle w:val="P00"/>
        <w:spacing w:before="72"/>
        <w:ind w:left="0" w:right="1134"/>
        <w:jc w:val="center"/>
        <w:rPr>
          <w:rStyle w:val="default"/>
          <w:rFonts w:cs="FrankRuehl" w:hint="cs"/>
          <w:sz w:val="24"/>
          <w:szCs w:val="24"/>
          <w:rtl/>
        </w:rPr>
      </w:pPr>
      <w:r>
        <w:rPr>
          <w:szCs w:val="24"/>
          <w:rtl/>
          <w:lang w:val="he-IL"/>
        </w:rPr>
        <w:pict w14:anchorId="4BC37492">
          <v:shape id="_x0000_s1078" type="#_x0000_t202" style="position:absolute;left:0;text-align:left;margin-left:470.25pt;margin-top:3.6pt;width:1in;height:16.8pt;z-index:251659264" filled="f" stroked="f">
            <v:textbox inset="1mm,,1mm">
              <w:txbxContent>
                <w:p w14:paraId="43AFF84E" w14:textId="77777777" w:rsidR="001F340C" w:rsidRDefault="001F340C">
                  <w:pPr>
                    <w:spacing w:line="160" w:lineRule="exact"/>
                    <w:jc w:val="left"/>
                    <w:rPr>
                      <w:rFonts w:cs="Miriam" w:hint="cs"/>
                      <w:szCs w:val="18"/>
                      <w:rtl/>
                    </w:rPr>
                  </w:pPr>
                  <w:r>
                    <w:rPr>
                      <w:rFonts w:cs="Miriam" w:hint="cs"/>
                      <w:szCs w:val="18"/>
                      <w:rtl/>
                    </w:rPr>
                    <w:t>ת"ט תשס"ג-2003</w:t>
                  </w:r>
                </w:p>
              </w:txbxContent>
            </v:textbox>
          </v:shape>
        </w:pict>
      </w:r>
      <w:r>
        <w:rPr>
          <w:rStyle w:val="default"/>
          <w:rFonts w:cs="FrankRuehl" w:hint="cs"/>
          <w:sz w:val="24"/>
          <w:szCs w:val="24"/>
          <w:rtl/>
        </w:rPr>
        <w:t xml:space="preserve">לוח א' </w:t>
      </w:r>
      <w:r>
        <w:rPr>
          <w:rStyle w:val="default"/>
          <w:rFonts w:cs="FrankRuehl"/>
          <w:sz w:val="24"/>
          <w:szCs w:val="24"/>
          <w:rtl/>
        </w:rPr>
        <w:t>–</w:t>
      </w:r>
      <w:r>
        <w:rPr>
          <w:rStyle w:val="default"/>
          <w:rFonts w:cs="FrankRuehl" w:hint="cs"/>
          <w:sz w:val="24"/>
          <w:szCs w:val="24"/>
          <w:rtl/>
        </w:rPr>
        <w:t xml:space="preserve"> טבלת הסימנים</w:t>
      </w:r>
    </w:p>
    <w:p w14:paraId="0290DBB0" w14:textId="77777777" w:rsidR="001F340C" w:rsidRDefault="001F340C">
      <w:pPr>
        <w:pStyle w:val="P00"/>
        <w:spacing w:before="72"/>
        <w:ind w:left="0" w:right="1134"/>
        <w:jc w:val="center"/>
        <w:rPr>
          <w:rStyle w:val="default"/>
          <w:rFonts w:cs="FrankRuehl" w:hint="cs"/>
          <w:sz w:val="24"/>
          <w:szCs w:val="24"/>
          <w:rtl/>
        </w:rPr>
      </w:pPr>
      <w:r>
        <w:rPr>
          <w:rStyle w:val="default"/>
          <w:rFonts w:cs="FrankRuehl" w:hint="cs"/>
          <w:sz w:val="24"/>
          <w:szCs w:val="24"/>
          <w:rtl/>
        </w:rPr>
        <w:t>(תקנה 1)</w:t>
      </w:r>
    </w:p>
    <w:p w14:paraId="0A48B2E7" w14:textId="77777777" w:rsidR="001F340C" w:rsidRDefault="001F340C">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hint="cs"/>
          <w:sz w:val="22"/>
          <w:szCs w:val="22"/>
          <w:rtl/>
        </w:rPr>
      </w:pPr>
      <w:r>
        <w:rPr>
          <w:rStyle w:val="default"/>
          <w:rFonts w:cs="FrankRuehl" w:hint="cs"/>
          <w:sz w:val="22"/>
          <w:szCs w:val="22"/>
          <w:rtl/>
        </w:rPr>
        <w:t>הסוג לפי לוח א'</w:t>
      </w:r>
      <w:r>
        <w:rPr>
          <w:rStyle w:val="default"/>
          <w:rFonts w:cs="FrankRuehl" w:hint="cs"/>
          <w:sz w:val="22"/>
          <w:szCs w:val="22"/>
          <w:rtl/>
        </w:rPr>
        <w:tab/>
        <w:t>הסימן</w:t>
      </w:r>
    </w:p>
    <w:p w14:paraId="2203F1BC" w14:textId="77777777" w:rsidR="001F340C" w:rsidRPr="00015728" w:rsidRDefault="000C3288" w:rsidP="00B33834">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hint="cs"/>
          <w:rtl/>
        </w:rPr>
      </w:pPr>
      <w:r w:rsidRPr="00015728">
        <w:rPr>
          <w:rtl/>
          <w:lang w:eastAsia="zh-CN"/>
        </w:rPr>
        <w:pict w14:anchorId="245BE40D">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_x0000_s1084" type="#_x0000_t57" style="position:absolute;left:0;text-align:left;margin-left:181.5pt;margin-top:1.25pt;width:24.75pt;height:16.8pt;z-index:251662336"/>
        </w:pict>
      </w:r>
      <w:r w:rsidR="001F340C" w:rsidRPr="00015728">
        <w:rPr>
          <w:rStyle w:val="default"/>
          <w:rFonts w:cs="FrankRuehl" w:hint="cs"/>
          <w:rtl/>
        </w:rPr>
        <w:t>המישדר אינו ראוי לצפיה לגילאי 8 ומטה</w:t>
      </w:r>
      <w:r w:rsidRPr="00015728">
        <w:rPr>
          <w:rStyle w:val="default"/>
          <w:rFonts w:cs="FrankRuehl" w:hint="cs"/>
          <w:rtl/>
        </w:rPr>
        <w:tab/>
      </w:r>
      <w:r w:rsidRPr="00015728">
        <w:rPr>
          <w:rStyle w:val="default"/>
          <w:rFonts w:cs="FrankRuehl" w:hint="cs"/>
          <w:b/>
          <w:bCs/>
          <w:rtl/>
        </w:rPr>
        <w:t>8</w:t>
      </w:r>
    </w:p>
    <w:p w14:paraId="0C5D6B0B" w14:textId="77777777" w:rsidR="001F340C" w:rsidRPr="00015728" w:rsidRDefault="000C3288">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hint="cs"/>
          <w:rtl/>
        </w:rPr>
      </w:pPr>
      <w:r w:rsidRPr="00015728">
        <w:rPr>
          <w:rtl/>
          <w:lang w:eastAsia="zh-CN"/>
        </w:rPr>
        <w:pict w14:anchorId="7448867C">
          <v:shape id="_x0000_s1085" type="#_x0000_t57" style="position:absolute;left:0;text-align:left;margin-left:181.5pt;margin-top:1.45pt;width:24.75pt;height:16.8pt;z-index:251663360"/>
        </w:pict>
      </w:r>
      <w:r w:rsidR="001F340C" w:rsidRPr="00015728">
        <w:rPr>
          <w:rStyle w:val="default"/>
          <w:rFonts w:cs="FrankRuehl" w:hint="cs"/>
          <w:rtl/>
        </w:rPr>
        <w:t>המישדר אינו ראוי לצפיה לגילאי 14 ומטה</w:t>
      </w:r>
      <w:r w:rsidRPr="00015728">
        <w:rPr>
          <w:rStyle w:val="default"/>
          <w:rFonts w:cs="FrankRuehl" w:hint="cs"/>
          <w:rtl/>
        </w:rPr>
        <w:tab/>
      </w:r>
      <w:r w:rsidRPr="00015728">
        <w:rPr>
          <w:rStyle w:val="default"/>
          <w:rFonts w:cs="FrankRuehl" w:hint="cs"/>
          <w:b/>
          <w:bCs/>
          <w:rtl/>
        </w:rPr>
        <w:t>14</w:t>
      </w:r>
    </w:p>
    <w:p w14:paraId="76E04099" w14:textId="77777777" w:rsidR="001F340C" w:rsidRDefault="000C3288">
      <w:pPr>
        <w:pStyle w:val="P00"/>
        <w:pBdr>
          <w:bottom w:val="single" w:sz="4" w:space="1" w:color="auto"/>
        </w:pBdr>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hint="cs"/>
          <w:rtl/>
        </w:rPr>
      </w:pPr>
      <w:r w:rsidRPr="00015728">
        <w:rPr>
          <w:rtl/>
          <w:lang w:eastAsia="zh-CN"/>
        </w:rPr>
        <w:pict w14:anchorId="1D5C32FE">
          <v:shape id="_x0000_s1086" type="#_x0000_t57" style="position:absolute;left:0;text-align:left;margin-left:181.5pt;margin-top:1.65pt;width:24.75pt;height:16.8pt;z-index:251664384"/>
        </w:pict>
      </w:r>
      <w:r w:rsidR="001F340C" w:rsidRPr="00015728">
        <w:rPr>
          <w:rStyle w:val="default"/>
          <w:rFonts w:cs="FrankRuehl" w:hint="cs"/>
          <w:rtl/>
        </w:rPr>
        <w:t>המישדר אינו ראוי לצפיה לגילאוי 18 ומטה</w:t>
      </w:r>
      <w:r w:rsidRPr="00015728">
        <w:rPr>
          <w:rStyle w:val="default"/>
          <w:rFonts w:cs="FrankRuehl" w:hint="cs"/>
          <w:rtl/>
        </w:rPr>
        <w:tab/>
      </w:r>
      <w:r w:rsidRPr="00015728">
        <w:rPr>
          <w:rStyle w:val="default"/>
          <w:rFonts w:cs="FrankRuehl" w:hint="cs"/>
          <w:b/>
          <w:bCs/>
          <w:rtl/>
        </w:rPr>
        <w:t>18</w:t>
      </w:r>
    </w:p>
    <w:p w14:paraId="141B2D9A" w14:textId="77777777" w:rsidR="00015728" w:rsidRPr="00015728" w:rsidRDefault="00015728" w:rsidP="00015728">
      <w:pPr>
        <w:pStyle w:val="footnote"/>
        <w:tabs>
          <w:tab w:val="left" w:pos="624"/>
          <w:tab w:val="left" w:pos="1021"/>
          <w:tab w:val="left" w:pos="1474"/>
          <w:tab w:val="left" w:pos="1928"/>
          <w:tab w:val="left" w:pos="2381"/>
          <w:tab w:val="left" w:pos="2835"/>
          <w:tab w:val="right" w:leader="dot" w:pos="6259"/>
        </w:tabs>
        <w:ind w:left="0" w:right="1134"/>
        <w:rPr>
          <w:rFonts w:hint="cs"/>
          <w:vanish/>
          <w:color w:val="FF0000"/>
          <w:sz w:val="20"/>
          <w:szCs w:val="20"/>
          <w:shd w:val="clear" w:color="auto" w:fill="FFFF99"/>
          <w:rtl/>
        </w:rPr>
      </w:pPr>
      <w:bookmarkStart w:id="12" w:name="Rov14"/>
      <w:r w:rsidRPr="00015728">
        <w:rPr>
          <w:rFonts w:hint="cs"/>
          <w:vanish/>
          <w:color w:val="FF0000"/>
          <w:sz w:val="20"/>
          <w:szCs w:val="20"/>
          <w:shd w:val="clear" w:color="auto" w:fill="FFFF99"/>
          <w:rtl/>
        </w:rPr>
        <w:t>מיום 16.1.2003</w:t>
      </w:r>
    </w:p>
    <w:p w14:paraId="71B11A20" w14:textId="77777777" w:rsidR="00015728" w:rsidRPr="00015728" w:rsidRDefault="00015728" w:rsidP="00015728">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015728">
        <w:rPr>
          <w:rFonts w:hint="cs"/>
          <w:b/>
          <w:bCs/>
          <w:vanish/>
          <w:sz w:val="20"/>
          <w:szCs w:val="20"/>
          <w:shd w:val="clear" w:color="auto" w:fill="FFFF99"/>
          <w:rtl/>
        </w:rPr>
        <w:t>ת"ט תשס"ג-2003</w:t>
      </w:r>
    </w:p>
    <w:p w14:paraId="32442BC5" w14:textId="77777777" w:rsidR="00015728" w:rsidRPr="00015728" w:rsidRDefault="00015728" w:rsidP="00015728">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9" w:history="1">
        <w:r w:rsidRPr="00015728">
          <w:rPr>
            <w:rStyle w:val="Hyperlink"/>
            <w:rFonts w:hint="cs"/>
            <w:vanish/>
            <w:sz w:val="20"/>
            <w:szCs w:val="20"/>
            <w:shd w:val="clear" w:color="auto" w:fill="FFFF99"/>
            <w:rtl/>
          </w:rPr>
          <w:t>ק"ת תשס"ג מס' 6221</w:t>
        </w:r>
      </w:hyperlink>
      <w:r w:rsidRPr="00015728">
        <w:rPr>
          <w:rFonts w:hint="cs"/>
          <w:vanish/>
          <w:sz w:val="20"/>
          <w:szCs w:val="20"/>
          <w:shd w:val="clear" w:color="auto" w:fill="FFFF99"/>
          <w:rtl/>
        </w:rPr>
        <w:t xml:space="preserve"> מיום 16.1.2003 עמ' 440</w:t>
      </w:r>
    </w:p>
    <w:p w14:paraId="7C4FFF00" w14:textId="77777777" w:rsidR="00015728" w:rsidRPr="004D4C03" w:rsidRDefault="00015728" w:rsidP="00015728">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015728">
        <w:rPr>
          <w:rFonts w:hint="cs"/>
          <w:b/>
          <w:bCs/>
          <w:vanish/>
          <w:sz w:val="20"/>
          <w:szCs w:val="20"/>
          <w:shd w:val="clear" w:color="auto" w:fill="FFFF99"/>
          <w:rtl/>
        </w:rPr>
        <w:t>הוספת סימנים בלוח א'</w:t>
      </w:r>
      <w:bookmarkEnd w:id="12"/>
    </w:p>
    <w:p w14:paraId="23F6AC6C" w14:textId="77777777" w:rsidR="001F340C" w:rsidRDefault="001F340C">
      <w:pPr>
        <w:pStyle w:val="P00"/>
        <w:spacing w:before="72"/>
        <w:ind w:left="0" w:right="1134"/>
        <w:rPr>
          <w:rStyle w:val="default"/>
          <w:rFonts w:cs="FrankRuehl" w:hint="cs"/>
          <w:rtl/>
        </w:rPr>
      </w:pPr>
    </w:p>
    <w:p w14:paraId="494163CE" w14:textId="77777777" w:rsidR="001F340C" w:rsidRDefault="001F340C">
      <w:pPr>
        <w:pStyle w:val="P00"/>
        <w:spacing w:before="72"/>
        <w:ind w:left="0" w:right="1134"/>
        <w:jc w:val="center"/>
        <w:rPr>
          <w:rStyle w:val="default"/>
          <w:rFonts w:cs="FrankRuehl" w:hint="cs"/>
          <w:sz w:val="24"/>
          <w:szCs w:val="24"/>
          <w:rtl/>
        </w:rPr>
      </w:pPr>
      <w:r>
        <w:rPr>
          <w:rStyle w:val="default"/>
          <w:rFonts w:cs="FrankRuehl" w:hint="cs"/>
          <w:sz w:val="24"/>
          <w:szCs w:val="24"/>
          <w:rtl/>
        </w:rPr>
        <w:t xml:space="preserve">לוח ב' </w:t>
      </w:r>
      <w:r>
        <w:rPr>
          <w:rStyle w:val="default"/>
          <w:rFonts w:cs="FrankRuehl"/>
          <w:sz w:val="24"/>
          <w:szCs w:val="24"/>
          <w:rtl/>
        </w:rPr>
        <w:t>–</w:t>
      </w:r>
      <w:r>
        <w:rPr>
          <w:rStyle w:val="default"/>
          <w:rFonts w:cs="FrankRuehl" w:hint="cs"/>
          <w:sz w:val="24"/>
          <w:szCs w:val="24"/>
          <w:rtl/>
        </w:rPr>
        <w:t xml:space="preserve"> סיווג</w:t>
      </w:r>
    </w:p>
    <w:p w14:paraId="6C9EB4FE" w14:textId="77777777" w:rsidR="001F340C" w:rsidRDefault="001F340C">
      <w:pPr>
        <w:pStyle w:val="P00"/>
        <w:spacing w:before="72"/>
        <w:ind w:left="0" w:right="1134"/>
        <w:jc w:val="center"/>
        <w:rPr>
          <w:rStyle w:val="default"/>
          <w:rFonts w:cs="FrankRuehl" w:hint="cs"/>
          <w:sz w:val="24"/>
          <w:szCs w:val="24"/>
          <w:rtl/>
        </w:rPr>
      </w:pPr>
      <w:r>
        <w:rPr>
          <w:rStyle w:val="default"/>
          <w:rFonts w:cs="FrankRuehl" w:hint="cs"/>
          <w:sz w:val="24"/>
          <w:szCs w:val="24"/>
          <w:rtl/>
        </w:rPr>
        <w:t>(תקנה 2)</w:t>
      </w:r>
    </w:p>
    <w:tbl>
      <w:tblPr>
        <w:tblStyle w:val="a8"/>
        <w:bidiVisual/>
        <w:tblW w:w="7938" w:type="dxa"/>
        <w:tblInd w:w="113" w:type="dxa"/>
        <w:tblLook w:val="01E0" w:firstRow="1" w:lastRow="1" w:firstColumn="1" w:lastColumn="1" w:noHBand="0" w:noVBand="0"/>
      </w:tblPr>
      <w:tblGrid>
        <w:gridCol w:w="1985"/>
        <w:gridCol w:w="1985"/>
        <w:gridCol w:w="1984"/>
        <w:gridCol w:w="1984"/>
      </w:tblGrid>
      <w:tr w:rsidR="00015728" w:rsidRPr="00015728" w14:paraId="4EB99304" w14:textId="77777777">
        <w:tc>
          <w:tcPr>
            <w:tcW w:w="7938" w:type="dxa"/>
            <w:gridSpan w:val="4"/>
            <w:vAlign w:val="bottom"/>
          </w:tcPr>
          <w:p w14:paraId="1F926857" w14:textId="77777777" w:rsidR="00015728" w:rsidRPr="00015728" w:rsidRDefault="00015728" w:rsidP="00015728">
            <w:pPr>
              <w:pStyle w:val="P00"/>
              <w:spacing w:before="0" w:line="240" w:lineRule="auto"/>
              <w:ind w:left="0"/>
              <w:jc w:val="center"/>
              <w:rPr>
                <w:rStyle w:val="default"/>
                <w:rFonts w:cs="FrankRuehl" w:hint="cs"/>
                <w:szCs w:val="24"/>
                <w:rtl/>
              </w:rPr>
            </w:pPr>
            <w:r>
              <w:rPr>
                <w:rStyle w:val="default"/>
                <w:rFonts w:cs="FrankRuehl" w:hint="cs"/>
                <w:sz w:val="22"/>
                <w:szCs w:val="22"/>
                <w:rtl/>
              </w:rPr>
              <w:t>מאפייני הסוג</w:t>
            </w:r>
            <w:r>
              <w:rPr>
                <w:rStyle w:val="default"/>
                <w:rFonts w:cs="FrankRuehl" w:hint="cs"/>
                <w:szCs w:val="24"/>
                <w:rtl/>
              </w:rPr>
              <w:t xml:space="preserve"> (*)</w:t>
            </w:r>
          </w:p>
        </w:tc>
      </w:tr>
      <w:tr w:rsidR="00015728" w:rsidRPr="00015728" w14:paraId="606FF1C9" w14:textId="77777777">
        <w:tc>
          <w:tcPr>
            <w:tcW w:w="1985" w:type="dxa"/>
            <w:vAlign w:val="bottom"/>
          </w:tcPr>
          <w:p w14:paraId="4049F03F" w14:textId="77777777" w:rsidR="00015728" w:rsidRPr="00015728" w:rsidRDefault="00015728" w:rsidP="00015728">
            <w:pPr>
              <w:pStyle w:val="P00"/>
              <w:spacing w:before="0" w:line="240" w:lineRule="auto"/>
              <w:ind w:left="0"/>
              <w:jc w:val="center"/>
              <w:rPr>
                <w:rStyle w:val="default"/>
                <w:rFonts w:cs="FrankRuehl" w:hint="cs"/>
                <w:szCs w:val="24"/>
                <w:rtl/>
              </w:rPr>
            </w:pPr>
            <w:r>
              <w:rPr>
                <w:rStyle w:val="default"/>
                <w:rFonts w:cs="FrankRuehl" w:hint="cs"/>
                <w:sz w:val="22"/>
                <w:szCs w:val="22"/>
                <w:rtl/>
              </w:rPr>
              <w:t>רמת סיווג</w:t>
            </w:r>
          </w:p>
        </w:tc>
        <w:tc>
          <w:tcPr>
            <w:tcW w:w="1985" w:type="dxa"/>
            <w:vAlign w:val="bottom"/>
          </w:tcPr>
          <w:p w14:paraId="6F927B06" w14:textId="77777777" w:rsidR="00015728" w:rsidRPr="00015728" w:rsidRDefault="00015728" w:rsidP="00015728">
            <w:pPr>
              <w:pStyle w:val="P00"/>
              <w:spacing w:before="0" w:line="240" w:lineRule="auto"/>
              <w:ind w:left="0"/>
              <w:jc w:val="center"/>
              <w:rPr>
                <w:rStyle w:val="default"/>
                <w:rFonts w:cs="FrankRuehl" w:hint="cs"/>
                <w:szCs w:val="24"/>
                <w:rtl/>
              </w:rPr>
            </w:pPr>
            <w:r>
              <w:rPr>
                <w:rStyle w:val="default"/>
                <w:rFonts w:cs="FrankRuehl" w:hint="cs"/>
                <w:sz w:val="22"/>
                <w:szCs w:val="22"/>
                <w:rtl/>
              </w:rPr>
              <w:t>מין ופורנוגרפיה</w:t>
            </w:r>
          </w:p>
        </w:tc>
        <w:tc>
          <w:tcPr>
            <w:tcW w:w="1984" w:type="dxa"/>
            <w:vAlign w:val="bottom"/>
          </w:tcPr>
          <w:p w14:paraId="618682B9" w14:textId="77777777" w:rsidR="00015728" w:rsidRPr="00015728" w:rsidRDefault="00015728" w:rsidP="00015728">
            <w:pPr>
              <w:pStyle w:val="P00"/>
              <w:spacing w:before="0" w:line="240" w:lineRule="auto"/>
              <w:ind w:left="0"/>
              <w:jc w:val="center"/>
              <w:rPr>
                <w:rStyle w:val="default"/>
                <w:rFonts w:cs="FrankRuehl" w:hint="cs"/>
                <w:szCs w:val="24"/>
                <w:rtl/>
              </w:rPr>
            </w:pPr>
            <w:r>
              <w:rPr>
                <w:rStyle w:val="default"/>
                <w:rFonts w:cs="FrankRuehl" w:hint="cs"/>
                <w:sz w:val="22"/>
                <w:szCs w:val="22"/>
                <w:rtl/>
              </w:rPr>
              <w:t>אלימות (**) ואכזריות</w:t>
            </w:r>
          </w:p>
        </w:tc>
        <w:tc>
          <w:tcPr>
            <w:tcW w:w="1984" w:type="dxa"/>
            <w:vAlign w:val="bottom"/>
          </w:tcPr>
          <w:p w14:paraId="0051E2A1" w14:textId="77777777" w:rsidR="00015728" w:rsidRPr="00015728" w:rsidRDefault="00015728" w:rsidP="00015728">
            <w:pPr>
              <w:pStyle w:val="P00"/>
              <w:spacing w:before="0" w:line="240" w:lineRule="auto"/>
              <w:ind w:left="0"/>
              <w:jc w:val="center"/>
              <w:rPr>
                <w:rStyle w:val="default"/>
                <w:rFonts w:cs="FrankRuehl" w:hint="cs"/>
                <w:szCs w:val="24"/>
                <w:rtl/>
              </w:rPr>
            </w:pPr>
            <w:r>
              <w:rPr>
                <w:rStyle w:val="default"/>
                <w:rFonts w:cs="FrankRuehl" w:hint="cs"/>
                <w:sz w:val="22"/>
                <w:szCs w:val="22"/>
                <w:rtl/>
              </w:rPr>
              <w:t>חשש לעידוד עבריינות או שימוש בסמים מסוכנים</w:t>
            </w:r>
          </w:p>
        </w:tc>
      </w:tr>
      <w:tr w:rsidR="00015728" w:rsidRPr="00015728" w14:paraId="323A21D5" w14:textId="77777777">
        <w:tc>
          <w:tcPr>
            <w:tcW w:w="1985" w:type="dxa"/>
          </w:tcPr>
          <w:p w14:paraId="419B87CF" w14:textId="77777777" w:rsidR="00015728" w:rsidRPr="00015728" w:rsidRDefault="00015728" w:rsidP="00015728">
            <w:pPr>
              <w:pStyle w:val="P00"/>
              <w:spacing w:before="0" w:line="240" w:lineRule="auto"/>
              <w:ind w:left="0"/>
              <w:jc w:val="left"/>
              <w:rPr>
                <w:rStyle w:val="default"/>
                <w:rFonts w:cs="FrankRuehl" w:hint="cs"/>
                <w:szCs w:val="24"/>
                <w:rtl/>
              </w:rPr>
            </w:pPr>
            <w:r>
              <w:rPr>
                <w:rStyle w:val="default"/>
                <w:rFonts w:cs="FrankRuehl" w:hint="cs"/>
                <w:rtl/>
              </w:rPr>
              <w:t>המישדר אינו ראוי לצפיה לגילאי 8 ומטה</w:t>
            </w:r>
          </w:p>
        </w:tc>
        <w:tc>
          <w:tcPr>
            <w:tcW w:w="1985" w:type="dxa"/>
          </w:tcPr>
          <w:p w14:paraId="06B5E59F" w14:textId="77777777" w:rsidR="00015728" w:rsidRPr="00015728" w:rsidRDefault="00015728" w:rsidP="00015728">
            <w:pPr>
              <w:pStyle w:val="P00"/>
              <w:spacing w:before="0" w:line="240" w:lineRule="auto"/>
              <w:ind w:left="0"/>
              <w:jc w:val="left"/>
              <w:rPr>
                <w:rStyle w:val="default"/>
                <w:rFonts w:cs="FrankRuehl" w:hint="cs"/>
                <w:szCs w:val="24"/>
                <w:rtl/>
              </w:rPr>
            </w:pPr>
            <w:r>
              <w:rPr>
                <w:rStyle w:val="default"/>
                <w:rFonts w:cs="FrankRuehl" w:hint="cs"/>
                <w:rtl/>
              </w:rPr>
              <w:t>המישדר כולל עירום בהקשר מיני או פעילות מינית, במרומז.</w:t>
            </w:r>
          </w:p>
        </w:tc>
        <w:tc>
          <w:tcPr>
            <w:tcW w:w="1984" w:type="dxa"/>
          </w:tcPr>
          <w:p w14:paraId="0B36BAF0" w14:textId="77777777" w:rsidR="00015728" w:rsidRPr="00015728" w:rsidRDefault="00015728" w:rsidP="00015728">
            <w:pPr>
              <w:pStyle w:val="P00"/>
              <w:spacing w:before="0" w:line="240" w:lineRule="auto"/>
              <w:ind w:left="0"/>
              <w:jc w:val="left"/>
              <w:rPr>
                <w:rStyle w:val="default"/>
                <w:rFonts w:cs="FrankRuehl" w:hint="cs"/>
                <w:szCs w:val="24"/>
                <w:rtl/>
              </w:rPr>
            </w:pPr>
            <w:r>
              <w:rPr>
                <w:rStyle w:val="default"/>
                <w:rFonts w:cs="FrankRuehl" w:hint="cs"/>
                <w:rtl/>
              </w:rPr>
              <w:t>המישדר כולל הצגה כלשהי של סצינות אכזריות ואלימות.</w:t>
            </w:r>
          </w:p>
        </w:tc>
        <w:tc>
          <w:tcPr>
            <w:tcW w:w="1984" w:type="dxa"/>
          </w:tcPr>
          <w:p w14:paraId="4DAE492D" w14:textId="77777777" w:rsidR="00015728" w:rsidRPr="00015728" w:rsidRDefault="00015728" w:rsidP="00015728">
            <w:pPr>
              <w:pStyle w:val="P00"/>
              <w:spacing w:before="0" w:line="240" w:lineRule="auto"/>
              <w:ind w:left="0"/>
              <w:jc w:val="left"/>
              <w:rPr>
                <w:rStyle w:val="default"/>
                <w:rFonts w:cs="FrankRuehl" w:hint="cs"/>
                <w:szCs w:val="24"/>
                <w:rtl/>
              </w:rPr>
            </w:pPr>
            <w:r>
              <w:rPr>
                <w:rStyle w:val="default"/>
                <w:rFonts w:cs="FrankRuehl" w:hint="cs"/>
                <w:rtl/>
              </w:rPr>
              <w:t>המישדר כולל התייחסות כלשהי לשימוש בסמים, אף בלא פירוט אופן השימוש, לרבות בהקשר ביקורתי.</w:t>
            </w:r>
          </w:p>
        </w:tc>
      </w:tr>
      <w:tr w:rsidR="00015728" w:rsidRPr="00015728" w14:paraId="0842D889" w14:textId="77777777">
        <w:tc>
          <w:tcPr>
            <w:tcW w:w="1985" w:type="dxa"/>
          </w:tcPr>
          <w:p w14:paraId="7B30C416" w14:textId="77777777" w:rsidR="00015728" w:rsidRPr="00015728" w:rsidRDefault="00015728" w:rsidP="00015728">
            <w:pPr>
              <w:pStyle w:val="P00"/>
              <w:spacing w:before="0" w:line="240" w:lineRule="auto"/>
              <w:ind w:left="0"/>
              <w:jc w:val="left"/>
              <w:rPr>
                <w:rStyle w:val="default"/>
                <w:rFonts w:cs="FrankRuehl" w:hint="cs"/>
                <w:szCs w:val="24"/>
                <w:rtl/>
              </w:rPr>
            </w:pPr>
            <w:r>
              <w:rPr>
                <w:rStyle w:val="default"/>
                <w:rFonts w:cs="FrankRuehl" w:hint="cs"/>
                <w:rtl/>
              </w:rPr>
              <w:t>המישדר אינו ראוי לצפיה לגילאי 14 ומטה</w:t>
            </w:r>
          </w:p>
        </w:tc>
        <w:tc>
          <w:tcPr>
            <w:tcW w:w="1985" w:type="dxa"/>
          </w:tcPr>
          <w:p w14:paraId="18DF8CC9" w14:textId="77777777" w:rsidR="00015728" w:rsidRPr="00015728" w:rsidRDefault="00015728" w:rsidP="00015728">
            <w:pPr>
              <w:pStyle w:val="P00"/>
              <w:spacing w:before="0" w:line="240" w:lineRule="auto"/>
              <w:ind w:left="0"/>
              <w:jc w:val="left"/>
              <w:rPr>
                <w:rStyle w:val="default"/>
                <w:rFonts w:cs="FrankRuehl" w:hint="cs"/>
                <w:szCs w:val="24"/>
                <w:rtl/>
              </w:rPr>
            </w:pPr>
            <w:r>
              <w:rPr>
                <w:rStyle w:val="default"/>
                <w:rFonts w:cs="FrankRuehl" w:hint="cs"/>
                <w:rtl/>
              </w:rPr>
              <w:t>המישדר כולל עירום בהקשר מיני או פעילות מינית מפורטים, או אלימות מינית במרומז.</w:t>
            </w:r>
          </w:p>
        </w:tc>
        <w:tc>
          <w:tcPr>
            <w:tcW w:w="1984" w:type="dxa"/>
          </w:tcPr>
          <w:p w14:paraId="5328BA2F" w14:textId="77777777" w:rsidR="00015728" w:rsidRPr="00015728" w:rsidRDefault="00015728" w:rsidP="00015728">
            <w:pPr>
              <w:pStyle w:val="P00"/>
              <w:spacing w:before="0" w:line="240" w:lineRule="auto"/>
              <w:ind w:left="0"/>
              <w:jc w:val="left"/>
              <w:rPr>
                <w:rStyle w:val="default"/>
                <w:rFonts w:cs="FrankRuehl" w:hint="cs"/>
                <w:szCs w:val="24"/>
                <w:rtl/>
              </w:rPr>
            </w:pPr>
            <w:r>
              <w:rPr>
                <w:rStyle w:val="default"/>
                <w:rFonts w:cs="FrankRuehl" w:hint="cs"/>
                <w:rtl/>
              </w:rPr>
              <w:t>המישדר כולל סצינות אכזריות ואלימות, גם אם באופן שאינו מעודד אכזריות או אלימות, שלא בהקשר ביקורתי.</w:t>
            </w:r>
          </w:p>
        </w:tc>
        <w:tc>
          <w:tcPr>
            <w:tcW w:w="1984" w:type="dxa"/>
          </w:tcPr>
          <w:p w14:paraId="5C7B7BA2" w14:textId="77777777" w:rsidR="00015728" w:rsidRPr="00015728" w:rsidRDefault="00015728" w:rsidP="00015728">
            <w:pPr>
              <w:pStyle w:val="P00"/>
              <w:spacing w:before="0" w:line="240" w:lineRule="auto"/>
              <w:ind w:left="0"/>
              <w:jc w:val="left"/>
              <w:rPr>
                <w:rStyle w:val="default"/>
                <w:rFonts w:cs="FrankRuehl" w:hint="cs"/>
                <w:szCs w:val="24"/>
                <w:rtl/>
              </w:rPr>
            </w:pPr>
            <w:r>
              <w:rPr>
                <w:rStyle w:val="default"/>
                <w:rFonts w:cs="FrankRuehl" w:hint="cs"/>
                <w:rtl/>
              </w:rPr>
              <w:t>המישדר כולל סצינות הכוללות שימוש בסמים, גם אם באופן שאינו מעודד שימוש בהם, למעט בהקשר ביקורתי.</w:t>
            </w:r>
          </w:p>
        </w:tc>
      </w:tr>
      <w:tr w:rsidR="00015728" w:rsidRPr="00015728" w14:paraId="0E2D0ED5" w14:textId="77777777">
        <w:tc>
          <w:tcPr>
            <w:tcW w:w="1985" w:type="dxa"/>
          </w:tcPr>
          <w:p w14:paraId="0779BBB7" w14:textId="77777777" w:rsidR="00015728" w:rsidRPr="00015728" w:rsidRDefault="00015728" w:rsidP="00015728">
            <w:pPr>
              <w:pStyle w:val="P00"/>
              <w:spacing w:before="0" w:line="240" w:lineRule="auto"/>
              <w:ind w:left="0"/>
              <w:jc w:val="left"/>
              <w:rPr>
                <w:rStyle w:val="default"/>
                <w:rFonts w:cs="FrankRuehl" w:hint="cs"/>
                <w:szCs w:val="24"/>
                <w:rtl/>
              </w:rPr>
            </w:pPr>
            <w:r>
              <w:rPr>
                <w:rStyle w:val="default"/>
                <w:rFonts w:cs="FrankRuehl" w:hint="cs"/>
                <w:rtl/>
              </w:rPr>
              <w:t>המישדר אינו ראוי לצפיה לגילאי 18 ומטה</w:t>
            </w:r>
          </w:p>
        </w:tc>
        <w:tc>
          <w:tcPr>
            <w:tcW w:w="1985" w:type="dxa"/>
          </w:tcPr>
          <w:p w14:paraId="64231AF1" w14:textId="77777777" w:rsidR="00015728" w:rsidRPr="00015728" w:rsidRDefault="00015728" w:rsidP="00015728">
            <w:pPr>
              <w:pStyle w:val="P00"/>
              <w:spacing w:before="0" w:line="240" w:lineRule="auto"/>
              <w:ind w:left="0"/>
              <w:jc w:val="left"/>
              <w:rPr>
                <w:rStyle w:val="default"/>
                <w:rFonts w:cs="FrankRuehl" w:hint="cs"/>
                <w:szCs w:val="24"/>
                <w:rtl/>
              </w:rPr>
            </w:pPr>
            <w:r>
              <w:rPr>
                <w:rStyle w:val="default"/>
                <w:rFonts w:cs="FrankRuehl" w:hint="cs"/>
                <w:rtl/>
              </w:rPr>
              <w:t>המישדר כולל אלימות מינית או תכנים פורנוגרפיים המיועדים במהותם לעודד גירוי מיני, לרבות הצגה מפורשת של יחסי מין מלאים או חלקיים.</w:t>
            </w:r>
          </w:p>
        </w:tc>
        <w:tc>
          <w:tcPr>
            <w:tcW w:w="1984" w:type="dxa"/>
          </w:tcPr>
          <w:p w14:paraId="31CD89FC" w14:textId="77777777" w:rsidR="00015728" w:rsidRPr="00015728" w:rsidRDefault="00015728" w:rsidP="00015728">
            <w:pPr>
              <w:pStyle w:val="P00"/>
              <w:spacing w:before="0" w:line="240" w:lineRule="auto"/>
              <w:ind w:left="0"/>
              <w:jc w:val="left"/>
              <w:rPr>
                <w:rStyle w:val="default"/>
                <w:rFonts w:cs="FrankRuehl" w:hint="cs"/>
                <w:szCs w:val="24"/>
                <w:rtl/>
              </w:rPr>
            </w:pPr>
            <w:r>
              <w:rPr>
                <w:rStyle w:val="default"/>
                <w:rFonts w:cs="FrankRuehl" w:hint="cs"/>
                <w:rtl/>
              </w:rPr>
              <w:t>המישדר כולל סצינות אלימות ואכזריות ברמה ובהיקף ניכרים, או סצינות שיש בהן כדי לעודד אכזריות או אלימות.</w:t>
            </w:r>
          </w:p>
        </w:tc>
        <w:tc>
          <w:tcPr>
            <w:tcW w:w="1984" w:type="dxa"/>
          </w:tcPr>
          <w:p w14:paraId="35335ABF" w14:textId="77777777" w:rsidR="00015728" w:rsidRPr="00015728" w:rsidRDefault="00015728" w:rsidP="00015728">
            <w:pPr>
              <w:pStyle w:val="P00"/>
              <w:spacing w:before="0" w:line="240" w:lineRule="auto"/>
              <w:ind w:left="0"/>
              <w:jc w:val="left"/>
              <w:rPr>
                <w:rStyle w:val="default"/>
                <w:rFonts w:cs="FrankRuehl" w:hint="cs"/>
                <w:szCs w:val="24"/>
                <w:rtl/>
              </w:rPr>
            </w:pPr>
            <w:r>
              <w:rPr>
                <w:rStyle w:val="default"/>
                <w:rFonts w:cs="FrankRuehl" w:hint="cs"/>
                <w:rtl/>
              </w:rPr>
              <w:t>המישדר כולל תכנים אשר יש חשש סביר כי יעודדו עבריינות או שימוש בסמים.</w:t>
            </w:r>
          </w:p>
        </w:tc>
      </w:tr>
    </w:tbl>
    <w:p w14:paraId="719EB2C1" w14:textId="77777777" w:rsidR="001F340C" w:rsidRDefault="001F340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Fonts w:hint="cs"/>
          <w:rtl/>
        </w:rPr>
        <w:t>(*) בהתייחס לביטויים חזותיים, מילוליים או קוליים הנכללים במישדר.</w:t>
      </w:r>
    </w:p>
    <w:p w14:paraId="703C8AD9" w14:textId="77777777" w:rsidR="001F340C" w:rsidRDefault="001F340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Fonts w:hint="cs"/>
          <w:rtl/>
        </w:rPr>
        <w:t>(**) "אלימות" – לרבות שימוש באלימות מילולית (שפה בוטה).</w:t>
      </w:r>
    </w:p>
    <w:p w14:paraId="5DA7A708" w14:textId="77777777" w:rsidR="001F340C" w:rsidRDefault="001F340C">
      <w:pPr>
        <w:pStyle w:val="P00"/>
        <w:spacing w:before="72"/>
        <w:ind w:left="0" w:right="1134"/>
        <w:rPr>
          <w:rStyle w:val="default"/>
          <w:rFonts w:cs="FrankRuehl" w:hint="cs"/>
          <w:rtl/>
        </w:rPr>
      </w:pPr>
    </w:p>
    <w:p w14:paraId="03BFD605" w14:textId="77777777" w:rsidR="001F340C" w:rsidRDefault="001F340C">
      <w:pPr>
        <w:pStyle w:val="P00"/>
        <w:spacing w:before="72"/>
        <w:ind w:left="0" w:right="1134"/>
        <w:rPr>
          <w:rStyle w:val="default"/>
          <w:rFonts w:cs="FrankRuehl" w:hint="cs"/>
          <w:rtl/>
        </w:rPr>
      </w:pPr>
    </w:p>
    <w:p w14:paraId="718237CF" w14:textId="77777777" w:rsidR="001F340C" w:rsidRDefault="001F340C">
      <w:pPr>
        <w:pStyle w:val="P00"/>
        <w:tabs>
          <w:tab w:val="clear" w:pos="624"/>
          <w:tab w:val="clear" w:pos="1021"/>
          <w:tab w:val="clear" w:pos="1474"/>
          <w:tab w:val="clear" w:pos="1928"/>
          <w:tab w:val="clear" w:pos="2381"/>
          <w:tab w:val="clear" w:pos="2835"/>
          <w:tab w:val="clear" w:pos="6259"/>
          <w:tab w:val="center" w:pos="5670"/>
        </w:tabs>
        <w:spacing w:before="72"/>
        <w:ind w:left="0" w:right="1134"/>
        <w:rPr>
          <w:sz w:val="26"/>
          <w:rtl/>
        </w:rPr>
      </w:pPr>
      <w:r>
        <w:rPr>
          <w:rStyle w:val="default"/>
          <w:rFonts w:cs="FrankRuehl" w:hint="cs"/>
          <w:rtl/>
        </w:rPr>
        <w:t>י"ז בטבת התשס"ג (22 בדצמבר 2002)</w:t>
      </w:r>
      <w:r>
        <w:rPr>
          <w:rStyle w:val="default"/>
          <w:rFonts w:cs="FrankRuehl" w:hint="cs"/>
          <w:rtl/>
        </w:rPr>
        <w:tab/>
      </w:r>
      <w:r w:rsidRPr="00581DB5">
        <w:rPr>
          <w:rFonts w:hint="cs"/>
          <w:sz w:val="26"/>
          <w:rtl/>
        </w:rPr>
        <w:t>ראובן ריבלין</w:t>
      </w:r>
    </w:p>
    <w:p w14:paraId="2BA3F0AB" w14:textId="77777777" w:rsidR="001F340C" w:rsidRDefault="001F340C">
      <w:pPr>
        <w:pStyle w:val="sig-1"/>
        <w:widowControl/>
        <w:tabs>
          <w:tab w:val="clear" w:pos="851"/>
          <w:tab w:val="clear" w:pos="2835"/>
          <w:tab w:val="clear" w:pos="4820"/>
          <w:tab w:val="center" w:pos="5670"/>
        </w:tabs>
        <w:ind w:left="0" w:right="1134"/>
        <w:rPr>
          <w:rFonts w:hint="cs"/>
          <w:rtl/>
        </w:rPr>
      </w:pPr>
      <w:r>
        <w:rPr>
          <w:rtl/>
        </w:rPr>
        <w:tab/>
      </w:r>
      <w:r>
        <w:rPr>
          <w:rFonts w:hint="cs"/>
          <w:rtl/>
        </w:rPr>
        <w:t>שר התקשורת</w:t>
      </w:r>
    </w:p>
    <w:p w14:paraId="4B549C53" w14:textId="77777777" w:rsidR="001F340C" w:rsidRPr="00015728" w:rsidRDefault="001F340C">
      <w:pPr>
        <w:pStyle w:val="P00"/>
        <w:spacing w:before="72"/>
        <w:ind w:left="0" w:right="1134"/>
        <w:rPr>
          <w:rStyle w:val="default"/>
          <w:rFonts w:cs="FrankRuehl" w:hint="cs"/>
          <w:rtl/>
        </w:rPr>
      </w:pPr>
    </w:p>
    <w:p w14:paraId="07FDEB95" w14:textId="77777777" w:rsidR="00015728" w:rsidRPr="00015728" w:rsidRDefault="00015728">
      <w:pPr>
        <w:pStyle w:val="P00"/>
        <w:spacing w:before="72"/>
        <w:ind w:left="0" w:right="1134"/>
        <w:rPr>
          <w:rStyle w:val="default"/>
          <w:rFonts w:cs="FrankRuehl"/>
          <w:rtl/>
        </w:rPr>
      </w:pPr>
    </w:p>
    <w:p w14:paraId="334354EC" w14:textId="77777777" w:rsidR="001F340C" w:rsidRPr="00015728" w:rsidRDefault="001F340C" w:rsidP="00015728">
      <w:pPr>
        <w:pStyle w:val="P00"/>
        <w:spacing w:before="72"/>
        <w:ind w:left="0" w:right="1134"/>
        <w:rPr>
          <w:rStyle w:val="default"/>
          <w:rFonts w:cs="FrankRuehl"/>
          <w:rtl/>
        </w:rPr>
      </w:pPr>
      <w:bookmarkStart w:id="13" w:name="LawPartEnd"/>
    </w:p>
    <w:bookmarkEnd w:id="13"/>
    <w:p w14:paraId="391DB881" w14:textId="77777777" w:rsidR="001F340C" w:rsidRPr="00015728" w:rsidRDefault="001F340C" w:rsidP="00015728">
      <w:pPr>
        <w:pStyle w:val="P00"/>
        <w:spacing w:before="72"/>
        <w:ind w:left="0" w:right="1134"/>
        <w:rPr>
          <w:rStyle w:val="default"/>
          <w:rFonts w:cs="FrankRuehl"/>
          <w:rtl/>
        </w:rPr>
      </w:pPr>
    </w:p>
    <w:sectPr w:rsidR="001F340C" w:rsidRPr="00015728">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BE305" w14:textId="77777777" w:rsidR="00A66D42" w:rsidRDefault="00A66D42">
      <w:r>
        <w:separator/>
      </w:r>
    </w:p>
  </w:endnote>
  <w:endnote w:type="continuationSeparator" w:id="0">
    <w:p w14:paraId="6FF6C67B" w14:textId="77777777" w:rsidR="00A66D42" w:rsidRDefault="00A66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93D9D" w14:textId="77777777" w:rsidR="001F340C" w:rsidRDefault="001F340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78D7677" w14:textId="77777777" w:rsidR="001F340C" w:rsidRDefault="001F340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906A98A" w14:textId="77777777" w:rsidR="001F340C" w:rsidRDefault="001F340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707BE">
      <w:rPr>
        <w:rFonts w:cs="TopType Jerushalmi"/>
        <w:noProof/>
        <w:color w:val="000000"/>
        <w:sz w:val="14"/>
        <w:szCs w:val="14"/>
      </w:rPr>
      <w:t>D:\Yael\hakika\Revadim\999_080.doc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2C875" w14:textId="77777777" w:rsidR="001F340C" w:rsidRDefault="001F340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81DB5">
      <w:rPr>
        <w:rFonts w:hAnsi="FrankRuehl" w:cs="FrankRuehl"/>
        <w:noProof/>
        <w:sz w:val="24"/>
        <w:szCs w:val="24"/>
        <w:rtl/>
      </w:rPr>
      <w:t>2</w:t>
    </w:r>
    <w:r>
      <w:rPr>
        <w:rFonts w:hAnsi="FrankRuehl" w:cs="FrankRuehl"/>
        <w:sz w:val="24"/>
        <w:szCs w:val="24"/>
        <w:rtl/>
      </w:rPr>
      <w:fldChar w:fldCharType="end"/>
    </w:r>
  </w:p>
  <w:p w14:paraId="04A11A02" w14:textId="77777777" w:rsidR="001F340C" w:rsidRDefault="001F340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36F689D" w14:textId="77777777" w:rsidR="001F340C" w:rsidRDefault="001F340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707BE">
      <w:rPr>
        <w:rFonts w:cs="TopType Jerushalmi"/>
        <w:noProof/>
        <w:color w:val="000000"/>
        <w:sz w:val="14"/>
        <w:szCs w:val="14"/>
      </w:rPr>
      <w:t>D:\Yael\hakika\Revadim\999_080.doc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CFC22" w14:textId="77777777" w:rsidR="00A66D42" w:rsidRDefault="00A66D42" w:rsidP="005707BE">
      <w:pPr>
        <w:spacing w:before="60" w:line="240" w:lineRule="auto"/>
        <w:ind w:right="1134"/>
      </w:pPr>
      <w:r>
        <w:separator/>
      </w:r>
    </w:p>
  </w:footnote>
  <w:footnote w:type="continuationSeparator" w:id="0">
    <w:p w14:paraId="7C2163C7" w14:textId="77777777" w:rsidR="00A66D42" w:rsidRDefault="00A66D42">
      <w:r>
        <w:continuationSeparator/>
      </w:r>
    </w:p>
  </w:footnote>
  <w:footnote w:id="1">
    <w:p w14:paraId="5346FCA9" w14:textId="77777777" w:rsidR="005707BE" w:rsidRDefault="001F340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8F652C">
          <w:rPr>
            <w:rStyle w:val="Hyperlink"/>
            <w:rFonts w:hint="cs"/>
            <w:sz w:val="20"/>
            <w:rtl/>
          </w:rPr>
          <w:t>ק"ת תשס"ג מס' 6217</w:t>
        </w:r>
      </w:hyperlink>
      <w:r>
        <w:rPr>
          <w:rFonts w:hint="cs"/>
          <w:sz w:val="20"/>
          <w:rtl/>
        </w:rPr>
        <w:t xml:space="preserve"> מיום 31.</w:t>
      </w:r>
      <w:r w:rsidR="005707BE">
        <w:rPr>
          <w:rFonts w:hint="cs"/>
          <w:sz w:val="20"/>
          <w:rtl/>
        </w:rPr>
        <w:t>12.2002 עמ' 361.</w:t>
      </w:r>
    </w:p>
    <w:p w14:paraId="6557C7EB" w14:textId="77777777" w:rsidR="001F340C" w:rsidRDefault="001F340C" w:rsidP="0001572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ת"ט </w:t>
      </w:r>
      <w:hyperlink r:id="rId2" w:history="1">
        <w:r w:rsidRPr="00C01DFC">
          <w:rPr>
            <w:rStyle w:val="Hyperlink"/>
            <w:rFonts w:hint="cs"/>
            <w:sz w:val="20"/>
            <w:rtl/>
          </w:rPr>
          <w:t>ק"ת תשס"ג מס' 6221</w:t>
        </w:r>
      </w:hyperlink>
      <w:r>
        <w:rPr>
          <w:rFonts w:hint="cs"/>
          <w:sz w:val="20"/>
          <w:rtl/>
        </w:rPr>
        <w:t xml:space="preserve"> מיום 16.1.2003 עמ' 440.</w:t>
      </w:r>
    </w:p>
    <w:p w14:paraId="739D6B1E" w14:textId="77777777" w:rsidR="001F340C" w:rsidRDefault="001F340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3" w:history="1">
        <w:r w:rsidRPr="00305FA1">
          <w:rPr>
            <w:rStyle w:val="Hyperlink"/>
            <w:rFonts w:hint="cs"/>
            <w:sz w:val="20"/>
            <w:rtl/>
          </w:rPr>
          <w:t>ק"ת תשס"ד מס' 6269</w:t>
        </w:r>
      </w:hyperlink>
      <w:r>
        <w:rPr>
          <w:rFonts w:hint="cs"/>
          <w:sz w:val="20"/>
          <w:rtl/>
        </w:rPr>
        <w:t xml:space="preserve"> מיום 9.10.2003 עמ' 10 </w:t>
      </w:r>
      <w:r>
        <w:rPr>
          <w:sz w:val="20"/>
          <w:rtl/>
        </w:rPr>
        <w:t>–</w:t>
      </w:r>
      <w:r>
        <w:rPr>
          <w:rFonts w:hint="cs"/>
          <w:sz w:val="20"/>
          <w:rtl/>
        </w:rPr>
        <w:t xml:space="preserve"> תק' תשס"ד-2003; תחילתן ביום 1.10.2003.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33DF0" w14:textId="77777777" w:rsidR="001F340C" w:rsidRDefault="001F340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14:paraId="101C239D" w14:textId="77777777" w:rsidR="001F340C" w:rsidRDefault="001F340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28F0897" w14:textId="77777777" w:rsidR="001F340C" w:rsidRDefault="001F340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24A0D" w14:textId="77777777" w:rsidR="001F340C" w:rsidRDefault="001F340C">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סיווג, סימון ואיסור שידורים מזיקים, תשס"ג-2002</w:t>
    </w:r>
  </w:p>
  <w:p w14:paraId="5A6FC99C" w14:textId="77777777" w:rsidR="001F340C" w:rsidRDefault="001F340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D964D4D" w14:textId="77777777" w:rsidR="001F340C" w:rsidRDefault="001F340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F652C"/>
    <w:rsid w:val="00015728"/>
    <w:rsid w:val="00017D39"/>
    <w:rsid w:val="00066E44"/>
    <w:rsid w:val="000C3288"/>
    <w:rsid w:val="0013170C"/>
    <w:rsid w:val="0017385A"/>
    <w:rsid w:val="001E7FC9"/>
    <w:rsid w:val="001F340C"/>
    <w:rsid w:val="00237A56"/>
    <w:rsid w:val="002D7374"/>
    <w:rsid w:val="00305FA1"/>
    <w:rsid w:val="003A181A"/>
    <w:rsid w:val="003C24EA"/>
    <w:rsid w:val="004D4C03"/>
    <w:rsid w:val="004E146F"/>
    <w:rsid w:val="00510734"/>
    <w:rsid w:val="005707BE"/>
    <w:rsid w:val="00581DB5"/>
    <w:rsid w:val="005C359D"/>
    <w:rsid w:val="007145B0"/>
    <w:rsid w:val="007154F0"/>
    <w:rsid w:val="00823AB0"/>
    <w:rsid w:val="008306F9"/>
    <w:rsid w:val="008B1512"/>
    <w:rsid w:val="008C5750"/>
    <w:rsid w:val="008F652C"/>
    <w:rsid w:val="00A552E1"/>
    <w:rsid w:val="00A66D42"/>
    <w:rsid w:val="00A87406"/>
    <w:rsid w:val="00A95DEA"/>
    <w:rsid w:val="00AB24C4"/>
    <w:rsid w:val="00B33834"/>
    <w:rsid w:val="00B40BAD"/>
    <w:rsid w:val="00C01DFC"/>
    <w:rsid w:val="00D22F10"/>
    <w:rsid w:val="00DC5F29"/>
    <w:rsid w:val="00DF65A4"/>
    <w:rsid w:val="00E20C8B"/>
    <w:rsid w:val="00ED35DD"/>
    <w:rsid w:val="00F06CA7"/>
    <w:rsid w:val="00F06FA9"/>
    <w:rsid w:val="00F84A0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9CECC55"/>
  <w15:chartTrackingRefBased/>
  <w15:docId w15:val="{AD317784-088C-4648-AC0E-DA8F6F1C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table" w:styleId="a8">
    <w:name w:val="Table Grid"/>
    <w:basedOn w:val="a1"/>
    <w:rsid w:val="00015728"/>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2-header">
    <w:name w:val="medium2-header"/>
    <w:basedOn w:val="a"/>
    <w:rsid w:val="00581DB5"/>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269.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6269.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269.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6221.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269.pdf" TargetMode="External"/><Relationship Id="rId2" Type="http://schemas.openxmlformats.org/officeDocument/2006/relationships/hyperlink" Target="http://www.nevo.co.il/Law_word/law06/TAK-6221.pdf" TargetMode="External"/><Relationship Id="rId1" Type="http://schemas.openxmlformats.org/officeDocument/2006/relationships/hyperlink" Target="http://www.nevo.co.il/Law_word/law06/TAK-621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6983</CharactersWithSpaces>
  <SharedDoc>false</SharedDoc>
  <HLinks>
    <vt:vector size="96" baseType="variant">
      <vt:variant>
        <vt:i4>8192011</vt:i4>
      </vt:variant>
      <vt:variant>
        <vt:i4>63</vt:i4>
      </vt:variant>
      <vt:variant>
        <vt:i4>0</vt:i4>
      </vt:variant>
      <vt:variant>
        <vt:i4>5</vt:i4>
      </vt:variant>
      <vt:variant>
        <vt:lpwstr>http://www.nevo.co.il/Law_word/law06/TAK-6221.pdf</vt:lpwstr>
      </vt:variant>
      <vt:variant>
        <vt:lpwstr/>
      </vt:variant>
      <vt:variant>
        <vt:i4>7929859</vt:i4>
      </vt:variant>
      <vt:variant>
        <vt:i4>60</vt:i4>
      </vt:variant>
      <vt:variant>
        <vt:i4>0</vt:i4>
      </vt:variant>
      <vt:variant>
        <vt:i4>5</vt:i4>
      </vt:variant>
      <vt:variant>
        <vt:lpwstr>http://www.nevo.co.il/Law_word/law06/TAK-6269.pdf</vt:lpwstr>
      </vt:variant>
      <vt:variant>
        <vt:lpwstr/>
      </vt:variant>
      <vt:variant>
        <vt:i4>7929859</vt:i4>
      </vt:variant>
      <vt:variant>
        <vt:i4>57</vt:i4>
      </vt:variant>
      <vt:variant>
        <vt:i4>0</vt:i4>
      </vt:variant>
      <vt:variant>
        <vt:i4>5</vt:i4>
      </vt:variant>
      <vt:variant>
        <vt:lpwstr>http://www.nevo.co.il/Law_word/law06/TAK-6269.pdf</vt:lpwstr>
      </vt:variant>
      <vt:variant>
        <vt:lpwstr/>
      </vt:variant>
      <vt:variant>
        <vt:i4>7929859</vt:i4>
      </vt:variant>
      <vt:variant>
        <vt:i4>54</vt:i4>
      </vt:variant>
      <vt:variant>
        <vt:i4>0</vt:i4>
      </vt:variant>
      <vt:variant>
        <vt:i4>5</vt:i4>
      </vt:variant>
      <vt:variant>
        <vt:lpwstr>http://www.nevo.co.il/Law_word/law06/TAK-6269.pdf</vt:lpwstr>
      </vt:variant>
      <vt:variant>
        <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7929859</vt:i4>
      </vt:variant>
      <vt:variant>
        <vt:i4>6</vt:i4>
      </vt:variant>
      <vt:variant>
        <vt:i4>0</vt:i4>
      </vt:variant>
      <vt:variant>
        <vt:i4>5</vt:i4>
      </vt:variant>
      <vt:variant>
        <vt:lpwstr>http://www.nevo.co.il/Law_word/law06/TAK-6269.pdf</vt:lpwstr>
      </vt:variant>
      <vt:variant>
        <vt:lpwstr/>
      </vt:variant>
      <vt:variant>
        <vt:i4>8192011</vt:i4>
      </vt:variant>
      <vt:variant>
        <vt:i4>3</vt:i4>
      </vt:variant>
      <vt:variant>
        <vt:i4>0</vt:i4>
      </vt:variant>
      <vt:variant>
        <vt:i4>5</vt:i4>
      </vt:variant>
      <vt:variant>
        <vt:lpwstr>http://www.nevo.co.il/Law_word/law06/TAK-6221.pdf</vt:lpwstr>
      </vt:variant>
      <vt:variant>
        <vt:lpwstr/>
      </vt:variant>
      <vt:variant>
        <vt:i4>8257549</vt:i4>
      </vt:variant>
      <vt:variant>
        <vt:i4>0</vt:i4>
      </vt:variant>
      <vt:variant>
        <vt:i4>0</vt:i4>
      </vt:variant>
      <vt:variant>
        <vt:i4>5</vt:i4>
      </vt:variant>
      <vt:variant>
        <vt:lpwstr>http://www.nevo.co.il/Law_word/law06/TAK-6217.pdf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Yael &amp; Uri Ilan</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סיווג, סימון ואיסור שידורים מזיקים, תשס"ג-2002</vt:lpwstr>
  </property>
  <property fmtid="{D5CDD505-2E9C-101B-9397-08002B2CF9AE}" pid="4" name="LAWNUMBER">
    <vt:lpwstr>0080</vt:lpwstr>
  </property>
  <property fmtid="{D5CDD505-2E9C-101B-9397-08002B2CF9AE}" pid="5" name="TYPE">
    <vt:lpwstr>01</vt:lpwstr>
  </property>
  <property fmtid="{D5CDD505-2E9C-101B-9397-08002B2CF9AE}" pid="6" name="MEKOR_NAME1">
    <vt:lpwstr>חוק סיווג</vt:lpwstr>
  </property>
  <property fmtid="{D5CDD505-2E9C-101B-9397-08002B2CF9AE}" pid="7" name="MEKOR_SAIF1">
    <vt:lpwstr>2XבX;3XבX;6X;4XבX</vt:lpwstr>
  </property>
  <property fmtid="{D5CDD505-2E9C-101B-9397-08002B2CF9AE}" pid="8" name="NOSE11">
    <vt:lpwstr>רשויות ומשפט מנהלי</vt:lpwstr>
  </property>
  <property fmtid="{D5CDD505-2E9C-101B-9397-08002B2CF9AE}" pid="9" name="NOSE21">
    <vt:lpwstr>תקשורת</vt:lpwstr>
  </property>
  <property fmtid="{D5CDD505-2E9C-101B-9397-08002B2CF9AE}" pid="10" name="NOSE31">
    <vt:lpwstr>הרשות השנייה</vt:lpwstr>
  </property>
  <property fmtid="{D5CDD505-2E9C-101B-9397-08002B2CF9AE}" pid="11" name="NOSE41">
    <vt:lpwstr>שידורים מזיקים</vt:lpwstr>
  </property>
  <property fmtid="{D5CDD505-2E9C-101B-9397-08002B2CF9AE}" pid="12" name="NOSE12">
    <vt:lpwstr/>
  </property>
  <property fmtid="{D5CDD505-2E9C-101B-9397-08002B2CF9AE}" pid="13" name="NOSE22">
    <vt:lpwstr/>
  </property>
  <property fmtid="{D5CDD505-2E9C-101B-9397-08002B2CF9AE}" pid="14" name="NOSE32">
    <vt:lpwstr/>
  </property>
  <property fmtid="{D5CDD505-2E9C-101B-9397-08002B2CF9AE}" pid="15" name="NOSE42">
    <vt:lpwstr/>
  </property>
  <property fmtid="{D5CDD505-2E9C-101B-9397-08002B2CF9AE}" pid="16" name="NOSE13">
    <vt:lpwstr/>
  </property>
  <property fmtid="{D5CDD505-2E9C-101B-9397-08002B2CF9AE}" pid="17" name="NOSE23">
    <vt:lpwstr/>
  </property>
  <property fmtid="{D5CDD505-2E9C-101B-9397-08002B2CF9AE}" pid="18" name="NOSE33">
    <vt:lpwstr/>
  </property>
  <property fmtid="{D5CDD505-2E9C-101B-9397-08002B2CF9AE}" pid="19" name="NOSE43">
    <vt:lpwstr/>
  </property>
  <property fmtid="{D5CDD505-2E9C-101B-9397-08002B2CF9AE}" pid="20" name="NOSE14">
    <vt:lpwstr/>
  </property>
  <property fmtid="{D5CDD505-2E9C-101B-9397-08002B2CF9AE}" pid="21" name="NOSE24">
    <vt:lpwstr/>
  </property>
  <property fmtid="{D5CDD505-2E9C-101B-9397-08002B2CF9AE}" pid="22" name="NOSE34">
    <vt:lpwstr/>
  </property>
  <property fmtid="{D5CDD505-2E9C-101B-9397-08002B2CF9AE}" pid="23" name="NOSE44">
    <vt:lpwstr/>
  </property>
  <property fmtid="{D5CDD505-2E9C-101B-9397-08002B2CF9AE}" pid="24" name="NOSE15">
    <vt:lpwstr/>
  </property>
  <property fmtid="{D5CDD505-2E9C-101B-9397-08002B2CF9AE}" pid="25" name="NOSE25">
    <vt:lpwstr/>
  </property>
  <property fmtid="{D5CDD505-2E9C-101B-9397-08002B2CF9AE}" pid="26" name="NOSE35">
    <vt:lpwstr/>
  </property>
  <property fmtid="{D5CDD505-2E9C-101B-9397-08002B2CF9AE}" pid="27" name="NOSE45">
    <vt:lpwstr/>
  </property>
  <property fmtid="{D5CDD505-2E9C-101B-9397-08002B2CF9AE}" pid="28" name="NOSE16">
    <vt:lpwstr/>
  </property>
  <property fmtid="{D5CDD505-2E9C-101B-9397-08002B2CF9AE}" pid="29" name="NOSE26">
    <vt:lpwstr/>
  </property>
  <property fmtid="{D5CDD505-2E9C-101B-9397-08002B2CF9AE}" pid="30" name="NOSE36">
    <vt:lpwstr/>
  </property>
  <property fmtid="{D5CDD505-2E9C-101B-9397-08002B2CF9AE}" pid="31" name="NOSE46">
    <vt:lpwstr/>
  </property>
  <property fmtid="{D5CDD505-2E9C-101B-9397-08002B2CF9AE}" pid="32" name="NOSE17">
    <vt:lpwstr/>
  </property>
  <property fmtid="{D5CDD505-2E9C-101B-9397-08002B2CF9AE}" pid="33" name="NOSE27">
    <vt:lpwstr/>
  </property>
  <property fmtid="{D5CDD505-2E9C-101B-9397-08002B2CF9AE}" pid="34" name="NOSE37">
    <vt:lpwstr/>
  </property>
  <property fmtid="{D5CDD505-2E9C-101B-9397-08002B2CF9AE}" pid="35" name="NOSE47">
    <vt:lpwstr/>
  </property>
  <property fmtid="{D5CDD505-2E9C-101B-9397-08002B2CF9AE}" pid="36" name="NOSE18">
    <vt:lpwstr/>
  </property>
  <property fmtid="{D5CDD505-2E9C-101B-9397-08002B2CF9AE}" pid="37" name="NOSE28">
    <vt:lpwstr/>
  </property>
  <property fmtid="{D5CDD505-2E9C-101B-9397-08002B2CF9AE}" pid="38" name="NOSE38">
    <vt:lpwstr/>
  </property>
  <property fmtid="{D5CDD505-2E9C-101B-9397-08002B2CF9AE}" pid="39" name="NOSE48">
    <vt:lpwstr/>
  </property>
  <property fmtid="{D5CDD505-2E9C-101B-9397-08002B2CF9AE}" pid="40" name="NOSE19">
    <vt:lpwstr/>
  </property>
  <property fmtid="{D5CDD505-2E9C-101B-9397-08002B2CF9AE}" pid="41" name="NOSE29">
    <vt:lpwstr/>
  </property>
  <property fmtid="{D5CDD505-2E9C-101B-9397-08002B2CF9AE}" pid="42" name="NOSE39">
    <vt:lpwstr/>
  </property>
  <property fmtid="{D5CDD505-2E9C-101B-9397-08002B2CF9AE}" pid="43" name="NOSE49">
    <vt:lpwstr/>
  </property>
  <property fmtid="{D5CDD505-2E9C-101B-9397-08002B2CF9AE}" pid="44" name="NOSE110">
    <vt:lpwstr/>
  </property>
  <property fmtid="{D5CDD505-2E9C-101B-9397-08002B2CF9AE}" pid="45" name="NOSE210">
    <vt:lpwstr/>
  </property>
  <property fmtid="{D5CDD505-2E9C-101B-9397-08002B2CF9AE}" pid="46" name="NOSE310">
    <vt:lpwstr/>
  </property>
  <property fmtid="{D5CDD505-2E9C-101B-9397-08002B2CF9AE}" pid="47" name="NOSE410">
    <vt:lpwstr/>
  </property>
</Properties>
</file>