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430C" w:rsidRDefault="008F430C" w:rsidP="003F1D4F">
      <w:pPr>
        <w:pStyle w:val="big-header"/>
        <w:ind w:left="0" w:right="1134"/>
        <w:rPr>
          <w:rFonts w:cs="FrankRuehl"/>
          <w:sz w:val="32"/>
        </w:rPr>
      </w:pPr>
      <w:r>
        <w:rPr>
          <w:rFonts w:cs="FrankRuehl"/>
          <w:sz w:val="32"/>
          <w:rtl/>
        </w:rPr>
        <w:t>תקנות סימני מסחר (ערעו</w:t>
      </w:r>
      <w:r w:rsidR="00300C09">
        <w:rPr>
          <w:rFonts w:cs="FrankRuehl"/>
          <w:sz w:val="32"/>
          <w:rtl/>
        </w:rPr>
        <w:t xml:space="preserve">ר </w:t>
      </w:r>
      <w:r w:rsidR="003F1D4F">
        <w:rPr>
          <w:rFonts w:cs="FrankRuehl" w:hint="cs"/>
          <w:sz w:val="32"/>
          <w:rtl/>
        </w:rPr>
        <w:t>לפני בית משפט מחוזי</w:t>
      </w:r>
      <w:r w:rsidR="00300C09">
        <w:rPr>
          <w:rFonts w:cs="FrankRuehl"/>
          <w:sz w:val="32"/>
          <w:rtl/>
        </w:rPr>
        <w:t>), תשמ"ח</w:t>
      </w:r>
      <w:r w:rsidR="00975134">
        <w:rPr>
          <w:rFonts w:cs="FrankRuehl" w:hint="cs"/>
          <w:sz w:val="32"/>
          <w:rtl/>
        </w:rPr>
        <w:t>-</w:t>
      </w:r>
      <w:r>
        <w:rPr>
          <w:rFonts w:cs="FrankRuehl"/>
          <w:sz w:val="32"/>
          <w:rtl/>
        </w:rPr>
        <w:t>1987</w:t>
      </w:r>
    </w:p>
    <w:p w:rsidR="007E065B" w:rsidRPr="007E065B" w:rsidRDefault="007E065B" w:rsidP="007E065B">
      <w:pPr>
        <w:spacing w:line="320" w:lineRule="auto"/>
        <w:jc w:val="left"/>
        <w:rPr>
          <w:rFonts w:cs="FrankRuehl"/>
          <w:szCs w:val="26"/>
          <w:rtl/>
        </w:rPr>
      </w:pPr>
    </w:p>
    <w:p w:rsidR="007E065B" w:rsidRDefault="007E065B" w:rsidP="007E065B">
      <w:pPr>
        <w:spacing w:line="320" w:lineRule="auto"/>
        <w:jc w:val="left"/>
        <w:rPr>
          <w:rtl/>
        </w:rPr>
      </w:pPr>
    </w:p>
    <w:p w:rsidR="007E065B" w:rsidRDefault="007E065B" w:rsidP="007E065B">
      <w:pPr>
        <w:spacing w:line="320" w:lineRule="auto"/>
        <w:jc w:val="left"/>
        <w:rPr>
          <w:rFonts w:cs="FrankRuehl"/>
          <w:szCs w:val="26"/>
          <w:rtl/>
        </w:rPr>
      </w:pPr>
      <w:r w:rsidRPr="007E065B">
        <w:rPr>
          <w:rFonts w:cs="Miriam"/>
          <w:szCs w:val="22"/>
          <w:rtl/>
        </w:rPr>
        <w:t>משפט פרטי וכלכלה</w:t>
      </w:r>
      <w:r w:rsidRPr="007E065B">
        <w:rPr>
          <w:rFonts w:cs="FrankRuehl"/>
          <w:szCs w:val="26"/>
          <w:rtl/>
        </w:rPr>
        <w:t xml:space="preserve"> – קניין – קניין רוחני – סימני מסחר</w:t>
      </w:r>
    </w:p>
    <w:p w:rsidR="007E065B" w:rsidRDefault="007E065B" w:rsidP="007E065B">
      <w:pPr>
        <w:spacing w:line="320" w:lineRule="auto"/>
        <w:jc w:val="left"/>
        <w:rPr>
          <w:rFonts w:cs="FrankRuehl"/>
          <w:szCs w:val="26"/>
          <w:rtl/>
        </w:rPr>
      </w:pPr>
      <w:r w:rsidRPr="007E065B">
        <w:rPr>
          <w:rFonts w:cs="Miriam"/>
          <w:szCs w:val="22"/>
          <w:rtl/>
        </w:rPr>
        <w:t>בתי משפט וסדרי דין</w:t>
      </w:r>
      <w:r w:rsidRPr="007E065B">
        <w:rPr>
          <w:rFonts w:cs="FrankRuehl"/>
          <w:szCs w:val="26"/>
          <w:rtl/>
        </w:rPr>
        <w:t xml:space="preserve"> – סדר דין אזרחי – ערעור על החלטות</w:t>
      </w:r>
    </w:p>
    <w:p w:rsidR="007E065B" w:rsidRDefault="007E065B" w:rsidP="007E065B">
      <w:pPr>
        <w:spacing w:line="320" w:lineRule="auto"/>
        <w:jc w:val="left"/>
        <w:rPr>
          <w:rFonts w:cs="FrankRuehl"/>
          <w:szCs w:val="26"/>
          <w:rtl/>
        </w:rPr>
      </w:pPr>
      <w:r w:rsidRPr="007E065B">
        <w:rPr>
          <w:rFonts w:cs="Miriam"/>
          <w:szCs w:val="22"/>
          <w:rtl/>
        </w:rPr>
        <w:t>בתי משפט וסדרי דין</w:t>
      </w:r>
      <w:r w:rsidRPr="007E065B">
        <w:rPr>
          <w:rFonts w:cs="FrankRuehl"/>
          <w:szCs w:val="26"/>
          <w:rtl/>
        </w:rPr>
        <w:t xml:space="preserve"> – בתי משפט ובתי דין – בג"צ וביהמ"ש העליון</w:t>
      </w:r>
    </w:p>
    <w:p w:rsidR="007E065B" w:rsidRPr="007E065B" w:rsidRDefault="007E065B" w:rsidP="007E065B">
      <w:pPr>
        <w:spacing w:line="320" w:lineRule="auto"/>
        <w:jc w:val="left"/>
        <w:rPr>
          <w:rFonts w:cs="Miriam" w:hint="cs"/>
          <w:szCs w:val="22"/>
          <w:rtl/>
        </w:rPr>
      </w:pPr>
      <w:r w:rsidRPr="007E065B">
        <w:rPr>
          <w:rFonts w:cs="Miriam"/>
          <w:szCs w:val="22"/>
          <w:rtl/>
        </w:rPr>
        <w:t>משפט פרטי וכלכלה</w:t>
      </w:r>
      <w:r w:rsidRPr="007E065B">
        <w:rPr>
          <w:rFonts w:cs="FrankRuehl"/>
          <w:szCs w:val="26"/>
          <w:rtl/>
        </w:rPr>
        <w:t xml:space="preserve"> – מסחר  – סחר</w:t>
      </w:r>
    </w:p>
    <w:p w:rsidR="008F430C" w:rsidRDefault="008F430C">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F430C">
        <w:tblPrEx>
          <w:tblCellMar>
            <w:top w:w="0" w:type="dxa"/>
            <w:bottom w:w="0" w:type="dxa"/>
          </w:tblCellMar>
        </w:tblPrEx>
        <w:tc>
          <w:tcPr>
            <w:tcW w:w="850" w:type="dxa"/>
          </w:tcPr>
          <w:p w:rsidR="008F430C" w:rsidRDefault="008F430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975134">
              <w:rPr>
                <w:noProof/>
                <w:sz w:val="24"/>
                <w:rtl/>
              </w:rPr>
              <w:t>2</w:t>
            </w:r>
            <w:r>
              <w:rPr>
                <w:sz w:val="24"/>
                <w:rtl/>
              </w:rPr>
              <w:fldChar w:fldCharType="end"/>
            </w:r>
          </w:p>
        </w:tc>
        <w:tc>
          <w:tcPr>
            <w:tcW w:w="567" w:type="dxa"/>
          </w:tcPr>
          <w:p w:rsidR="008F430C" w:rsidRDefault="008F430C">
            <w:pPr>
              <w:spacing w:line="240" w:lineRule="auto"/>
              <w:rPr>
                <w:sz w:val="24"/>
              </w:rPr>
            </w:pPr>
            <w:hyperlink w:anchor="Seif0" w:tooltip="הגדרות" w:history="1">
              <w:r>
                <w:rPr>
                  <w:rStyle w:val="Hyperlink"/>
                </w:rPr>
                <w:t>Go</w:t>
              </w:r>
            </w:hyperlink>
          </w:p>
        </w:tc>
        <w:tc>
          <w:tcPr>
            <w:tcW w:w="5669" w:type="dxa"/>
          </w:tcPr>
          <w:p w:rsidR="008F430C" w:rsidRDefault="008F430C">
            <w:pPr>
              <w:spacing w:line="240" w:lineRule="auto"/>
              <w:rPr>
                <w:sz w:val="24"/>
                <w:rtl/>
              </w:rPr>
            </w:pPr>
            <w:r>
              <w:rPr>
                <w:sz w:val="24"/>
                <w:rtl/>
              </w:rPr>
              <w:t>הגדרות</w:t>
            </w:r>
          </w:p>
        </w:tc>
        <w:tc>
          <w:tcPr>
            <w:tcW w:w="1247" w:type="dxa"/>
          </w:tcPr>
          <w:p w:rsidR="008F430C" w:rsidRDefault="008F430C">
            <w:pPr>
              <w:spacing w:line="240" w:lineRule="auto"/>
              <w:rPr>
                <w:sz w:val="24"/>
              </w:rPr>
            </w:pPr>
            <w:r>
              <w:rPr>
                <w:sz w:val="24"/>
                <w:rtl/>
              </w:rPr>
              <w:t xml:space="preserve">סעיף 1 </w:t>
            </w:r>
          </w:p>
        </w:tc>
      </w:tr>
      <w:tr w:rsidR="008F430C">
        <w:tblPrEx>
          <w:tblCellMar>
            <w:top w:w="0" w:type="dxa"/>
            <w:bottom w:w="0" w:type="dxa"/>
          </w:tblCellMar>
        </w:tblPrEx>
        <w:tc>
          <w:tcPr>
            <w:tcW w:w="850" w:type="dxa"/>
          </w:tcPr>
          <w:p w:rsidR="008F430C" w:rsidRDefault="008F430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975134">
              <w:rPr>
                <w:noProof/>
                <w:sz w:val="24"/>
                <w:rtl/>
              </w:rPr>
              <w:t>2</w:t>
            </w:r>
            <w:r>
              <w:rPr>
                <w:sz w:val="24"/>
                <w:rtl/>
              </w:rPr>
              <w:fldChar w:fldCharType="end"/>
            </w:r>
          </w:p>
        </w:tc>
        <w:tc>
          <w:tcPr>
            <w:tcW w:w="567" w:type="dxa"/>
          </w:tcPr>
          <w:p w:rsidR="008F430C" w:rsidRDefault="008F430C">
            <w:pPr>
              <w:spacing w:line="240" w:lineRule="auto"/>
              <w:rPr>
                <w:sz w:val="24"/>
              </w:rPr>
            </w:pPr>
            <w:hyperlink w:anchor="Seif1" w:tooltip="הגשת ערעור" w:history="1">
              <w:r>
                <w:rPr>
                  <w:rStyle w:val="Hyperlink"/>
                </w:rPr>
                <w:t>Go</w:t>
              </w:r>
            </w:hyperlink>
          </w:p>
        </w:tc>
        <w:tc>
          <w:tcPr>
            <w:tcW w:w="5669" w:type="dxa"/>
          </w:tcPr>
          <w:p w:rsidR="008F430C" w:rsidRDefault="008F430C">
            <w:pPr>
              <w:spacing w:line="240" w:lineRule="auto"/>
              <w:rPr>
                <w:sz w:val="24"/>
                <w:rtl/>
              </w:rPr>
            </w:pPr>
            <w:r>
              <w:rPr>
                <w:sz w:val="24"/>
                <w:rtl/>
              </w:rPr>
              <w:t>הגשת ערעור</w:t>
            </w:r>
          </w:p>
        </w:tc>
        <w:tc>
          <w:tcPr>
            <w:tcW w:w="1247" w:type="dxa"/>
          </w:tcPr>
          <w:p w:rsidR="008F430C" w:rsidRDefault="008F430C">
            <w:pPr>
              <w:spacing w:line="240" w:lineRule="auto"/>
              <w:rPr>
                <w:sz w:val="24"/>
              </w:rPr>
            </w:pPr>
            <w:r>
              <w:rPr>
                <w:sz w:val="24"/>
                <w:rtl/>
              </w:rPr>
              <w:t xml:space="preserve">סעיף 2 </w:t>
            </w:r>
          </w:p>
        </w:tc>
      </w:tr>
      <w:tr w:rsidR="008F430C">
        <w:tblPrEx>
          <w:tblCellMar>
            <w:top w:w="0" w:type="dxa"/>
            <w:bottom w:w="0" w:type="dxa"/>
          </w:tblCellMar>
        </w:tblPrEx>
        <w:tc>
          <w:tcPr>
            <w:tcW w:w="850" w:type="dxa"/>
          </w:tcPr>
          <w:p w:rsidR="008F430C" w:rsidRDefault="008F430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975134">
              <w:rPr>
                <w:noProof/>
                <w:sz w:val="24"/>
                <w:rtl/>
              </w:rPr>
              <w:t>2</w:t>
            </w:r>
            <w:r>
              <w:rPr>
                <w:sz w:val="24"/>
                <w:rtl/>
              </w:rPr>
              <w:fldChar w:fldCharType="end"/>
            </w:r>
          </w:p>
        </w:tc>
        <w:tc>
          <w:tcPr>
            <w:tcW w:w="567" w:type="dxa"/>
          </w:tcPr>
          <w:p w:rsidR="008F430C" w:rsidRDefault="008F430C">
            <w:pPr>
              <w:spacing w:line="240" w:lineRule="auto"/>
              <w:rPr>
                <w:sz w:val="24"/>
              </w:rPr>
            </w:pPr>
            <w:hyperlink w:anchor="Seif2" w:tooltip="סדרי שמיעת ערעור" w:history="1">
              <w:r>
                <w:rPr>
                  <w:rStyle w:val="Hyperlink"/>
                </w:rPr>
                <w:t>Go</w:t>
              </w:r>
            </w:hyperlink>
          </w:p>
        </w:tc>
        <w:tc>
          <w:tcPr>
            <w:tcW w:w="5669" w:type="dxa"/>
          </w:tcPr>
          <w:p w:rsidR="008F430C" w:rsidRDefault="008F430C">
            <w:pPr>
              <w:spacing w:line="240" w:lineRule="auto"/>
              <w:rPr>
                <w:sz w:val="24"/>
                <w:rtl/>
              </w:rPr>
            </w:pPr>
            <w:r>
              <w:rPr>
                <w:sz w:val="24"/>
                <w:rtl/>
              </w:rPr>
              <w:t>סדרי שמיעת ערעור</w:t>
            </w:r>
          </w:p>
        </w:tc>
        <w:tc>
          <w:tcPr>
            <w:tcW w:w="1247" w:type="dxa"/>
          </w:tcPr>
          <w:p w:rsidR="008F430C" w:rsidRDefault="008F430C">
            <w:pPr>
              <w:spacing w:line="240" w:lineRule="auto"/>
              <w:rPr>
                <w:sz w:val="24"/>
              </w:rPr>
            </w:pPr>
            <w:r>
              <w:rPr>
                <w:sz w:val="24"/>
                <w:rtl/>
              </w:rPr>
              <w:t xml:space="preserve">סעיף 3 </w:t>
            </w:r>
          </w:p>
        </w:tc>
      </w:tr>
      <w:tr w:rsidR="008F430C">
        <w:tblPrEx>
          <w:tblCellMar>
            <w:top w:w="0" w:type="dxa"/>
            <w:bottom w:w="0" w:type="dxa"/>
          </w:tblCellMar>
        </w:tblPrEx>
        <w:tc>
          <w:tcPr>
            <w:tcW w:w="850" w:type="dxa"/>
          </w:tcPr>
          <w:p w:rsidR="008F430C" w:rsidRDefault="008F430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975134">
              <w:rPr>
                <w:noProof/>
                <w:sz w:val="24"/>
                <w:rtl/>
              </w:rPr>
              <w:t>2</w:t>
            </w:r>
            <w:r>
              <w:rPr>
                <w:sz w:val="24"/>
                <w:rtl/>
              </w:rPr>
              <w:fldChar w:fldCharType="end"/>
            </w:r>
          </w:p>
        </w:tc>
        <w:tc>
          <w:tcPr>
            <w:tcW w:w="567" w:type="dxa"/>
          </w:tcPr>
          <w:p w:rsidR="008F430C" w:rsidRDefault="008F430C">
            <w:pPr>
              <w:spacing w:line="240" w:lineRule="auto"/>
              <w:rPr>
                <w:sz w:val="24"/>
              </w:rPr>
            </w:pPr>
            <w:hyperlink w:anchor="Seif3" w:tooltip="ביטול" w:history="1">
              <w:r>
                <w:rPr>
                  <w:rStyle w:val="Hyperlink"/>
                </w:rPr>
                <w:t>Go</w:t>
              </w:r>
            </w:hyperlink>
          </w:p>
        </w:tc>
        <w:tc>
          <w:tcPr>
            <w:tcW w:w="5669" w:type="dxa"/>
          </w:tcPr>
          <w:p w:rsidR="008F430C" w:rsidRDefault="008F430C">
            <w:pPr>
              <w:spacing w:line="240" w:lineRule="auto"/>
              <w:rPr>
                <w:sz w:val="24"/>
                <w:rtl/>
              </w:rPr>
            </w:pPr>
            <w:r>
              <w:rPr>
                <w:sz w:val="24"/>
                <w:rtl/>
              </w:rPr>
              <w:t>ביטול</w:t>
            </w:r>
          </w:p>
        </w:tc>
        <w:tc>
          <w:tcPr>
            <w:tcW w:w="1247" w:type="dxa"/>
          </w:tcPr>
          <w:p w:rsidR="008F430C" w:rsidRDefault="008F430C">
            <w:pPr>
              <w:spacing w:line="240" w:lineRule="auto"/>
              <w:rPr>
                <w:sz w:val="24"/>
              </w:rPr>
            </w:pPr>
            <w:r>
              <w:rPr>
                <w:sz w:val="24"/>
                <w:rtl/>
              </w:rPr>
              <w:t xml:space="preserve">סעיף 4 </w:t>
            </w:r>
          </w:p>
        </w:tc>
      </w:tr>
      <w:tr w:rsidR="008F430C">
        <w:tblPrEx>
          <w:tblCellMar>
            <w:top w:w="0" w:type="dxa"/>
            <w:bottom w:w="0" w:type="dxa"/>
          </w:tblCellMar>
        </w:tblPrEx>
        <w:tc>
          <w:tcPr>
            <w:tcW w:w="850" w:type="dxa"/>
          </w:tcPr>
          <w:p w:rsidR="008F430C" w:rsidRDefault="008F430C">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975134">
              <w:rPr>
                <w:noProof/>
                <w:sz w:val="24"/>
                <w:rtl/>
              </w:rPr>
              <w:t>2</w:t>
            </w:r>
            <w:r>
              <w:rPr>
                <w:sz w:val="24"/>
                <w:rtl/>
              </w:rPr>
              <w:fldChar w:fldCharType="end"/>
            </w:r>
          </w:p>
        </w:tc>
        <w:tc>
          <w:tcPr>
            <w:tcW w:w="567" w:type="dxa"/>
          </w:tcPr>
          <w:p w:rsidR="008F430C" w:rsidRDefault="008F430C">
            <w:pPr>
              <w:spacing w:line="240" w:lineRule="auto"/>
              <w:rPr>
                <w:sz w:val="24"/>
              </w:rPr>
            </w:pPr>
            <w:hyperlink w:anchor="Seif4" w:tooltip="תחילה  והוראות מעבר" w:history="1">
              <w:r>
                <w:rPr>
                  <w:rStyle w:val="Hyperlink"/>
                </w:rPr>
                <w:t>Go</w:t>
              </w:r>
            </w:hyperlink>
          </w:p>
        </w:tc>
        <w:tc>
          <w:tcPr>
            <w:tcW w:w="5669" w:type="dxa"/>
          </w:tcPr>
          <w:p w:rsidR="008F430C" w:rsidRDefault="008F430C">
            <w:pPr>
              <w:spacing w:line="240" w:lineRule="auto"/>
              <w:rPr>
                <w:sz w:val="24"/>
                <w:rtl/>
              </w:rPr>
            </w:pPr>
            <w:r>
              <w:rPr>
                <w:sz w:val="24"/>
                <w:rtl/>
              </w:rPr>
              <w:t>תחילה  והוראות מעבר</w:t>
            </w:r>
          </w:p>
        </w:tc>
        <w:tc>
          <w:tcPr>
            <w:tcW w:w="1247" w:type="dxa"/>
          </w:tcPr>
          <w:p w:rsidR="008F430C" w:rsidRDefault="008F430C">
            <w:pPr>
              <w:spacing w:line="240" w:lineRule="auto"/>
              <w:rPr>
                <w:sz w:val="24"/>
              </w:rPr>
            </w:pPr>
            <w:r>
              <w:rPr>
                <w:sz w:val="24"/>
                <w:rtl/>
              </w:rPr>
              <w:t xml:space="preserve">סעיף 5 </w:t>
            </w:r>
          </w:p>
        </w:tc>
      </w:tr>
    </w:tbl>
    <w:p w:rsidR="008F430C" w:rsidRDefault="008F430C">
      <w:pPr>
        <w:pStyle w:val="big-header"/>
        <w:ind w:left="0" w:right="1134"/>
        <w:rPr>
          <w:rFonts w:cs="FrankRuehl"/>
          <w:sz w:val="32"/>
          <w:rtl/>
        </w:rPr>
      </w:pPr>
    </w:p>
    <w:p w:rsidR="003F1D4F" w:rsidRDefault="008F430C" w:rsidP="003F1D4F">
      <w:pPr>
        <w:pStyle w:val="big-header"/>
        <w:ind w:left="0" w:right="1134"/>
        <w:rPr>
          <w:rFonts w:cs="FrankRuehl" w:hint="cs"/>
          <w:sz w:val="32"/>
          <w:rtl/>
        </w:rPr>
      </w:pPr>
      <w:r>
        <w:rPr>
          <w:rFonts w:cs="FrankRuehl"/>
          <w:sz w:val="32"/>
          <w:rtl/>
        </w:rPr>
        <w:br w:type="page"/>
      </w:r>
      <w:r w:rsidR="003F1D4F">
        <w:rPr>
          <w:rFonts w:cs="FrankRuehl" w:hint="cs"/>
          <w:sz w:val="32"/>
          <w:rtl/>
        </w:rPr>
        <w:lastRenderedPageBreak/>
        <w:t>תקנות</w:t>
      </w:r>
    </w:p>
    <w:p w:rsidR="008F430C" w:rsidRPr="00300C09" w:rsidRDefault="003F1D4F" w:rsidP="003F1D4F">
      <w:pPr>
        <w:pStyle w:val="big-header"/>
        <w:ind w:left="0" w:right="1134"/>
        <w:rPr>
          <w:rStyle w:val="default"/>
          <w:rFonts w:cs="FrankRuehl" w:hint="cs"/>
          <w:sz w:val="32"/>
          <w:szCs w:val="32"/>
          <w:rtl/>
        </w:rPr>
      </w:pPr>
      <w:r>
        <w:rPr>
          <w:rFonts w:cs="FrankRuehl"/>
          <w:sz w:val="32"/>
          <w:rtl/>
          <w:lang w:eastAsia="en-US"/>
        </w:rPr>
        <w:pict>
          <v:shapetype id="_x0000_t202" coordsize="21600,21600" o:spt="202" path="m,l,21600r21600,l21600,xe">
            <v:stroke joinstyle="miter"/>
            <v:path gradientshapeok="t" o:connecttype="rect"/>
          </v:shapetype>
          <v:shape id="_x0000_s1031" type="#_x0000_t202" style="position:absolute;left:0;text-align:left;margin-left:470.25pt;margin-top:25.45pt;width:1in;height:11.2pt;z-index:251659776" filled="f" stroked="f">
            <v:textbox inset="1mm,0,1mm,0">
              <w:txbxContent>
                <w:p w:rsidR="003F1D4F" w:rsidRDefault="003F1D4F" w:rsidP="003F1D4F">
                  <w:pPr>
                    <w:spacing w:line="160" w:lineRule="exact"/>
                    <w:jc w:val="left"/>
                    <w:rPr>
                      <w:rFonts w:cs="Miriam" w:hint="cs"/>
                      <w:noProof/>
                      <w:sz w:val="18"/>
                      <w:szCs w:val="18"/>
                      <w:rtl/>
                    </w:rPr>
                  </w:pPr>
                  <w:r>
                    <w:rPr>
                      <w:rFonts w:cs="Miriam" w:hint="cs"/>
                      <w:sz w:val="18"/>
                      <w:szCs w:val="18"/>
                      <w:rtl/>
                    </w:rPr>
                    <w:t>תק' תשע"א-2011</w:t>
                  </w:r>
                </w:p>
              </w:txbxContent>
            </v:textbox>
            <w10:anchorlock/>
          </v:shape>
        </w:pict>
      </w:r>
      <w:r w:rsidR="008F430C">
        <w:rPr>
          <w:rFonts w:cs="FrankRuehl"/>
          <w:sz w:val="32"/>
          <w:rtl/>
        </w:rPr>
        <w:t>תק</w:t>
      </w:r>
      <w:r w:rsidR="008F430C">
        <w:rPr>
          <w:rFonts w:cs="FrankRuehl" w:hint="cs"/>
          <w:sz w:val="32"/>
          <w:rtl/>
        </w:rPr>
        <w:t xml:space="preserve">נות סימני מסחר (ערעור </w:t>
      </w:r>
      <w:r>
        <w:rPr>
          <w:rFonts w:cs="FrankRuehl" w:hint="cs"/>
          <w:sz w:val="32"/>
          <w:rtl/>
        </w:rPr>
        <w:t>לפני בית משפט מחוזי</w:t>
      </w:r>
      <w:r w:rsidR="008F430C">
        <w:rPr>
          <w:rFonts w:cs="FrankRuehl" w:hint="cs"/>
          <w:sz w:val="32"/>
          <w:rtl/>
        </w:rPr>
        <w:t>), תשמ"ח</w:t>
      </w:r>
      <w:r w:rsidR="00975134">
        <w:rPr>
          <w:rFonts w:cs="FrankRuehl" w:hint="cs"/>
          <w:sz w:val="32"/>
          <w:rtl/>
        </w:rPr>
        <w:t>-</w:t>
      </w:r>
      <w:r w:rsidR="008F430C">
        <w:rPr>
          <w:rFonts w:cs="FrankRuehl" w:hint="cs"/>
          <w:sz w:val="32"/>
          <w:rtl/>
        </w:rPr>
        <w:t>1987</w:t>
      </w:r>
      <w:r w:rsidR="00975134">
        <w:rPr>
          <w:rStyle w:val="a6"/>
          <w:rFonts w:cs="FrankRuehl"/>
          <w:sz w:val="32"/>
          <w:rtl/>
        </w:rPr>
        <w:footnoteReference w:customMarkFollows="1" w:id="1"/>
        <w:t>*</w:t>
      </w:r>
    </w:p>
    <w:p w:rsidR="003F1D4F" w:rsidRPr="0021378F" w:rsidRDefault="003F1D4F" w:rsidP="003F1D4F">
      <w:pPr>
        <w:pStyle w:val="P00"/>
        <w:spacing w:before="0"/>
        <w:ind w:left="0" w:right="1134"/>
        <w:rPr>
          <w:rFonts w:cs="FrankRuehl" w:hint="cs"/>
          <w:vanish/>
          <w:color w:val="FF0000"/>
          <w:szCs w:val="20"/>
          <w:shd w:val="clear" w:color="auto" w:fill="FFFF99"/>
          <w:rtl/>
        </w:rPr>
      </w:pPr>
      <w:bookmarkStart w:id="0" w:name="Rov7"/>
      <w:r w:rsidRPr="0021378F">
        <w:rPr>
          <w:rFonts w:cs="FrankRuehl" w:hint="cs"/>
          <w:vanish/>
          <w:color w:val="FF0000"/>
          <w:szCs w:val="20"/>
          <w:shd w:val="clear" w:color="auto" w:fill="FFFF99"/>
          <w:rtl/>
        </w:rPr>
        <w:t>מיום 1.4.2011</w:t>
      </w:r>
    </w:p>
    <w:p w:rsidR="003F1D4F" w:rsidRPr="0021378F" w:rsidRDefault="003F1D4F" w:rsidP="003F1D4F">
      <w:pPr>
        <w:pStyle w:val="P00"/>
        <w:spacing w:before="0"/>
        <w:ind w:left="0" w:right="1134"/>
        <w:rPr>
          <w:rFonts w:cs="FrankRuehl" w:hint="cs"/>
          <w:vanish/>
          <w:szCs w:val="20"/>
          <w:shd w:val="clear" w:color="auto" w:fill="FFFF99"/>
          <w:rtl/>
        </w:rPr>
      </w:pPr>
      <w:r w:rsidRPr="0021378F">
        <w:rPr>
          <w:rFonts w:cs="FrankRuehl" w:hint="cs"/>
          <w:b/>
          <w:bCs/>
          <w:vanish/>
          <w:szCs w:val="20"/>
          <w:shd w:val="clear" w:color="auto" w:fill="FFFF99"/>
          <w:rtl/>
        </w:rPr>
        <w:t>תק' תשע"א-2011</w:t>
      </w:r>
    </w:p>
    <w:p w:rsidR="003F1D4F" w:rsidRPr="0021378F" w:rsidRDefault="003F1D4F" w:rsidP="003F1D4F">
      <w:pPr>
        <w:pStyle w:val="P00"/>
        <w:spacing w:before="0"/>
        <w:ind w:left="0" w:right="1134"/>
        <w:rPr>
          <w:rFonts w:cs="FrankRuehl" w:hint="cs"/>
          <w:vanish/>
          <w:szCs w:val="20"/>
          <w:shd w:val="clear" w:color="auto" w:fill="FFFF99"/>
          <w:rtl/>
        </w:rPr>
      </w:pPr>
      <w:hyperlink r:id="rId6" w:history="1">
        <w:r w:rsidRPr="0021378F">
          <w:rPr>
            <w:rStyle w:val="Hyperlink"/>
            <w:rFonts w:cs="FrankRuehl" w:hint="cs"/>
            <w:vanish/>
            <w:szCs w:val="20"/>
            <w:shd w:val="clear" w:color="auto" w:fill="FFFF99"/>
            <w:rtl/>
          </w:rPr>
          <w:t>ק"ת תשע"א מס' 6986</w:t>
        </w:r>
      </w:hyperlink>
      <w:r w:rsidRPr="0021378F">
        <w:rPr>
          <w:rFonts w:cs="FrankRuehl" w:hint="cs"/>
          <w:vanish/>
          <w:szCs w:val="20"/>
          <w:shd w:val="clear" w:color="auto" w:fill="FFFF99"/>
          <w:rtl/>
        </w:rPr>
        <w:t xml:space="preserve"> מיום 17.3.2011 עמ' 804</w:t>
      </w:r>
    </w:p>
    <w:p w:rsidR="003F1D4F" w:rsidRPr="0021378F" w:rsidRDefault="003F1D4F" w:rsidP="003F1D4F">
      <w:pPr>
        <w:pStyle w:val="P00"/>
        <w:spacing w:before="0"/>
        <w:ind w:left="0" w:right="1134"/>
        <w:rPr>
          <w:rFonts w:cs="FrankRuehl" w:hint="cs"/>
          <w:vanish/>
          <w:szCs w:val="20"/>
          <w:shd w:val="clear" w:color="auto" w:fill="FFFF99"/>
          <w:rtl/>
        </w:rPr>
      </w:pPr>
      <w:r w:rsidRPr="0021378F">
        <w:rPr>
          <w:rFonts w:cs="FrankRuehl" w:hint="cs"/>
          <w:b/>
          <w:bCs/>
          <w:vanish/>
          <w:szCs w:val="20"/>
          <w:shd w:val="clear" w:color="auto" w:fill="FFFF99"/>
          <w:rtl/>
        </w:rPr>
        <w:t>החלפת שם התקנות</w:t>
      </w:r>
    </w:p>
    <w:p w:rsidR="003F1D4F" w:rsidRPr="0021378F" w:rsidRDefault="003F1D4F" w:rsidP="003F1D4F">
      <w:pPr>
        <w:pStyle w:val="P00"/>
        <w:ind w:left="0" w:right="1134"/>
        <w:rPr>
          <w:rFonts w:cs="FrankRuehl" w:hint="cs"/>
          <w:vanish/>
          <w:szCs w:val="20"/>
          <w:shd w:val="clear" w:color="auto" w:fill="FFFF99"/>
          <w:rtl/>
        </w:rPr>
      </w:pPr>
      <w:r w:rsidRPr="0021378F">
        <w:rPr>
          <w:rFonts w:cs="FrankRuehl" w:hint="cs"/>
          <w:vanish/>
          <w:szCs w:val="20"/>
          <w:shd w:val="clear" w:color="auto" w:fill="FFFF99"/>
          <w:rtl/>
        </w:rPr>
        <w:t>הנוסח הקודם:</w:t>
      </w:r>
    </w:p>
    <w:p w:rsidR="003F1D4F" w:rsidRPr="003F1D4F" w:rsidRDefault="003F1D4F" w:rsidP="003F1D4F">
      <w:pPr>
        <w:pStyle w:val="P00"/>
        <w:spacing w:before="0"/>
        <w:ind w:left="0" w:right="1134"/>
        <w:rPr>
          <w:rFonts w:cs="FrankRuehl" w:hint="cs"/>
          <w:sz w:val="2"/>
          <w:szCs w:val="2"/>
          <w:rtl/>
        </w:rPr>
      </w:pPr>
      <w:r w:rsidRPr="0021378F">
        <w:rPr>
          <w:rFonts w:cs="FrankRuehl" w:hint="cs"/>
          <w:strike/>
          <w:vanish/>
          <w:sz w:val="22"/>
          <w:szCs w:val="22"/>
          <w:shd w:val="clear" w:color="auto" w:fill="FFFF99"/>
          <w:rtl/>
        </w:rPr>
        <w:t>תקנות סימני המסחר (ערעור בפני בית המשפט העליון), תשמ"ח-1987</w:t>
      </w:r>
      <w:bookmarkEnd w:id="0"/>
    </w:p>
    <w:p w:rsidR="008F430C" w:rsidRDefault="008F430C">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71 לפקודת סי</w:t>
      </w:r>
      <w:r w:rsidR="00975134">
        <w:rPr>
          <w:rStyle w:val="default"/>
          <w:rFonts w:cs="FrankRuehl" w:hint="cs"/>
          <w:rtl/>
        </w:rPr>
        <w:t>מני מסחר [נוסח חדש], תשל"ב-1972</w:t>
      </w:r>
      <w:r>
        <w:rPr>
          <w:rStyle w:val="default"/>
          <w:rFonts w:cs="FrankRuehl" w:hint="cs"/>
          <w:rtl/>
        </w:rPr>
        <w:t xml:space="preserve"> (להלן </w:t>
      </w:r>
      <w:r w:rsidR="0021378F">
        <w:rPr>
          <w:rStyle w:val="default"/>
          <w:rFonts w:cs="FrankRuehl"/>
          <w:rtl/>
        </w:rPr>
        <w:t>–</w:t>
      </w:r>
      <w:r>
        <w:rPr>
          <w:rStyle w:val="default"/>
          <w:rFonts w:cs="FrankRuehl" w:hint="cs"/>
          <w:rtl/>
        </w:rPr>
        <w:t xml:space="preserve"> הפקודה), סעיף 108 לחוק בתי</w:t>
      </w:r>
      <w:r w:rsidR="00975134">
        <w:rPr>
          <w:rStyle w:val="default"/>
          <w:rFonts w:cs="FrankRuehl" w:hint="cs"/>
          <w:rtl/>
        </w:rPr>
        <w:t xml:space="preserve"> המשפט [נוסח משולב], תשמ"ד-1984</w:t>
      </w:r>
      <w:r>
        <w:rPr>
          <w:rStyle w:val="default"/>
          <w:rFonts w:cs="FrankRuehl" w:hint="cs"/>
          <w:rtl/>
        </w:rPr>
        <w:t>, ושאר הסמכויות הנתונות לי לפי כל דין,</w:t>
      </w:r>
      <w:r>
        <w:rPr>
          <w:rStyle w:val="default"/>
          <w:rFonts w:cs="FrankRuehl"/>
          <w:rtl/>
        </w:rPr>
        <w:t xml:space="preserve"> א</w:t>
      </w:r>
      <w:r>
        <w:rPr>
          <w:rStyle w:val="default"/>
          <w:rFonts w:cs="FrankRuehl" w:hint="cs"/>
          <w:rtl/>
        </w:rPr>
        <w:t>ני מתקין תקנות אלה:</w:t>
      </w:r>
    </w:p>
    <w:p w:rsidR="008F430C" w:rsidRDefault="008F430C">
      <w:pPr>
        <w:pStyle w:val="P00"/>
        <w:spacing w:before="72"/>
        <w:ind w:left="0" w:right="1134"/>
        <w:rPr>
          <w:rStyle w:val="default"/>
          <w:rFonts w:cs="FrankRuehl"/>
          <w:rtl/>
        </w:rPr>
      </w:pPr>
      <w:bookmarkStart w:id="1" w:name="Seif0"/>
      <w:bookmarkEnd w:id="1"/>
      <w:r>
        <w:rPr>
          <w:lang w:val="he-IL"/>
        </w:rPr>
        <w:pict>
          <v:rect id="_x0000_s1026" style="position:absolute;left:0;text-align:left;margin-left:464.5pt;margin-top:8.05pt;width:75.05pt;height:20pt;z-index:251654656" o:allowincell="f" filled="f" stroked="f" strokecolor="lime" strokeweight=".25pt">
            <v:textbox inset="0,0,0,0">
              <w:txbxContent>
                <w:p w:rsidR="008F430C" w:rsidRDefault="008F430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21378F">
        <w:rPr>
          <w:rStyle w:val="default"/>
          <w:rFonts w:cs="FrankRuehl"/>
          <w:rtl/>
        </w:rPr>
        <w:t>–</w:t>
      </w:r>
    </w:p>
    <w:p w:rsidR="008F430C" w:rsidRDefault="008F430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רשם" </w:t>
      </w:r>
      <w:r w:rsidR="0021378F">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הגדרתו בסעיף 5 לפקודה;</w:t>
      </w:r>
    </w:p>
    <w:p w:rsidR="008F430C" w:rsidRDefault="003F1D4F" w:rsidP="003F1D4F">
      <w:pPr>
        <w:pStyle w:val="P00"/>
        <w:spacing w:before="72"/>
        <w:ind w:left="0" w:right="1134"/>
        <w:rPr>
          <w:rStyle w:val="default"/>
          <w:rFonts w:cs="FrankRuehl" w:hint="cs"/>
          <w:rtl/>
        </w:rPr>
      </w:pPr>
      <w:r>
        <w:rPr>
          <w:rFonts w:cs="FrankRuehl"/>
          <w:sz w:val="26"/>
          <w:rtl/>
          <w:lang w:eastAsia="en-US"/>
        </w:rPr>
        <w:pict>
          <v:shape id="_x0000_s1032" type="#_x0000_t202" style="position:absolute;left:0;text-align:left;margin-left:470.25pt;margin-top:7.1pt;width:1in;height:11.2pt;z-index:251660800" filled="f" stroked="f">
            <v:textbox inset="1mm,0,1mm,0">
              <w:txbxContent>
                <w:p w:rsidR="003F1D4F" w:rsidRDefault="003F1D4F" w:rsidP="003F1D4F">
                  <w:pPr>
                    <w:spacing w:line="160" w:lineRule="exact"/>
                    <w:jc w:val="left"/>
                    <w:rPr>
                      <w:rFonts w:cs="Miriam" w:hint="cs"/>
                      <w:noProof/>
                      <w:sz w:val="18"/>
                      <w:szCs w:val="18"/>
                      <w:rtl/>
                    </w:rPr>
                  </w:pPr>
                  <w:r>
                    <w:rPr>
                      <w:rFonts w:cs="Miriam" w:hint="cs"/>
                      <w:sz w:val="18"/>
                      <w:szCs w:val="18"/>
                      <w:rtl/>
                    </w:rPr>
                    <w:t>תק' תשע"א-2011</w:t>
                  </w:r>
                </w:p>
              </w:txbxContent>
            </v:textbox>
            <w10:anchorlock/>
          </v:shape>
        </w:pict>
      </w:r>
      <w:r w:rsidR="008F430C">
        <w:rPr>
          <w:rFonts w:cs="FrankRuehl"/>
          <w:sz w:val="26"/>
          <w:rtl/>
        </w:rPr>
        <w:tab/>
      </w:r>
      <w:r w:rsidR="008F430C">
        <w:rPr>
          <w:rStyle w:val="default"/>
          <w:rFonts w:cs="FrankRuehl"/>
          <w:rtl/>
        </w:rPr>
        <w:t>"ע</w:t>
      </w:r>
      <w:r w:rsidR="008F430C">
        <w:rPr>
          <w:rStyle w:val="default"/>
          <w:rFonts w:cs="FrankRuehl" w:hint="cs"/>
          <w:rtl/>
        </w:rPr>
        <w:t xml:space="preserve">רעור" </w:t>
      </w:r>
      <w:r w:rsidR="0021378F">
        <w:rPr>
          <w:rStyle w:val="default"/>
          <w:rFonts w:cs="FrankRuehl"/>
          <w:rtl/>
        </w:rPr>
        <w:t>–</w:t>
      </w:r>
      <w:r w:rsidR="008F430C">
        <w:rPr>
          <w:rStyle w:val="default"/>
          <w:rFonts w:cs="FrankRuehl" w:hint="cs"/>
          <w:rtl/>
        </w:rPr>
        <w:t xml:space="preserve"> ערעור לפי סעיף 19, 25, 29</w:t>
      </w:r>
      <w:r>
        <w:rPr>
          <w:rStyle w:val="default"/>
          <w:rFonts w:cs="FrankRuehl" w:hint="cs"/>
          <w:rtl/>
        </w:rPr>
        <w:t>(ב)</w:t>
      </w:r>
      <w:r w:rsidR="008F430C">
        <w:rPr>
          <w:rStyle w:val="default"/>
          <w:rFonts w:cs="FrankRuehl" w:hint="cs"/>
          <w:rtl/>
        </w:rPr>
        <w:t>, 30(ב), 36(ב), 38(ב), 41(ה), 45(א) ו-(ב), 49(ב), או 53</w:t>
      </w:r>
      <w:r>
        <w:rPr>
          <w:rStyle w:val="default"/>
          <w:rFonts w:cs="FrankRuehl" w:hint="cs"/>
          <w:rtl/>
        </w:rPr>
        <w:t>(א)</w:t>
      </w:r>
      <w:r w:rsidR="008F430C">
        <w:rPr>
          <w:rStyle w:val="default"/>
          <w:rFonts w:cs="FrankRuehl" w:hint="cs"/>
          <w:rtl/>
        </w:rPr>
        <w:t xml:space="preserve"> לפקודה, לפי הענין.</w:t>
      </w:r>
    </w:p>
    <w:p w:rsidR="003F1D4F" w:rsidRPr="0021378F" w:rsidRDefault="003F1D4F" w:rsidP="003F1D4F">
      <w:pPr>
        <w:pStyle w:val="P00"/>
        <w:spacing w:before="0"/>
        <w:ind w:left="0" w:right="1134"/>
        <w:rPr>
          <w:rFonts w:cs="FrankRuehl" w:hint="cs"/>
          <w:vanish/>
          <w:color w:val="FF0000"/>
          <w:szCs w:val="20"/>
          <w:shd w:val="clear" w:color="auto" w:fill="FFFF99"/>
          <w:rtl/>
        </w:rPr>
      </w:pPr>
      <w:bookmarkStart w:id="2" w:name="Rov8"/>
      <w:r w:rsidRPr="0021378F">
        <w:rPr>
          <w:rFonts w:cs="FrankRuehl" w:hint="cs"/>
          <w:vanish/>
          <w:color w:val="FF0000"/>
          <w:szCs w:val="20"/>
          <w:shd w:val="clear" w:color="auto" w:fill="FFFF99"/>
          <w:rtl/>
        </w:rPr>
        <w:t>מיום 1.4.2011</w:t>
      </w:r>
    </w:p>
    <w:p w:rsidR="003F1D4F" w:rsidRPr="0021378F" w:rsidRDefault="003F1D4F" w:rsidP="003F1D4F">
      <w:pPr>
        <w:pStyle w:val="P00"/>
        <w:spacing w:before="0"/>
        <w:ind w:left="0" w:right="1134"/>
        <w:rPr>
          <w:rFonts w:cs="FrankRuehl" w:hint="cs"/>
          <w:vanish/>
          <w:szCs w:val="20"/>
          <w:shd w:val="clear" w:color="auto" w:fill="FFFF99"/>
          <w:rtl/>
        </w:rPr>
      </w:pPr>
      <w:r w:rsidRPr="0021378F">
        <w:rPr>
          <w:rFonts w:cs="FrankRuehl" w:hint="cs"/>
          <w:b/>
          <w:bCs/>
          <w:vanish/>
          <w:szCs w:val="20"/>
          <w:shd w:val="clear" w:color="auto" w:fill="FFFF99"/>
          <w:rtl/>
        </w:rPr>
        <w:t>תק' תשע"א-2011</w:t>
      </w:r>
    </w:p>
    <w:p w:rsidR="003F1D4F" w:rsidRPr="0021378F" w:rsidRDefault="003F1D4F" w:rsidP="003F1D4F">
      <w:pPr>
        <w:pStyle w:val="P00"/>
        <w:spacing w:before="0"/>
        <w:ind w:left="0" w:right="1134"/>
        <w:rPr>
          <w:rFonts w:cs="FrankRuehl" w:hint="cs"/>
          <w:vanish/>
          <w:szCs w:val="20"/>
          <w:shd w:val="clear" w:color="auto" w:fill="FFFF99"/>
          <w:rtl/>
        </w:rPr>
      </w:pPr>
      <w:hyperlink r:id="rId7" w:history="1">
        <w:r w:rsidRPr="0021378F">
          <w:rPr>
            <w:rStyle w:val="Hyperlink"/>
            <w:rFonts w:cs="FrankRuehl" w:hint="cs"/>
            <w:vanish/>
            <w:szCs w:val="20"/>
            <w:shd w:val="clear" w:color="auto" w:fill="FFFF99"/>
            <w:rtl/>
          </w:rPr>
          <w:t>ק"ת תשע"א מס' 6986</w:t>
        </w:r>
      </w:hyperlink>
      <w:r w:rsidRPr="0021378F">
        <w:rPr>
          <w:rFonts w:cs="FrankRuehl" w:hint="cs"/>
          <w:vanish/>
          <w:szCs w:val="20"/>
          <w:shd w:val="clear" w:color="auto" w:fill="FFFF99"/>
          <w:rtl/>
        </w:rPr>
        <w:t xml:space="preserve"> מיום 17.3.2011 עמ' 804</w:t>
      </w:r>
    </w:p>
    <w:p w:rsidR="003F1D4F" w:rsidRPr="003F1D4F" w:rsidRDefault="003F1D4F" w:rsidP="003F1D4F">
      <w:pPr>
        <w:pStyle w:val="P00"/>
        <w:ind w:left="0" w:right="1134"/>
        <w:rPr>
          <w:rStyle w:val="default"/>
          <w:rFonts w:cs="FrankRuehl" w:hint="cs"/>
          <w:sz w:val="2"/>
          <w:szCs w:val="2"/>
          <w:rtl/>
        </w:rPr>
      </w:pPr>
      <w:r w:rsidRPr="0021378F">
        <w:rPr>
          <w:rFonts w:cs="FrankRuehl"/>
          <w:vanish/>
          <w:sz w:val="22"/>
          <w:szCs w:val="22"/>
          <w:shd w:val="clear" w:color="auto" w:fill="FFFF99"/>
          <w:rtl/>
        </w:rPr>
        <w:tab/>
      </w:r>
      <w:r w:rsidRPr="0021378F">
        <w:rPr>
          <w:rStyle w:val="default"/>
          <w:rFonts w:cs="FrankRuehl"/>
          <w:vanish/>
          <w:sz w:val="22"/>
          <w:szCs w:val="22"/>
          <w:shd w:val="clear" w:color="auto" w:fill="FFFF99"/>
          <w:rtl/>
        </w:rPr>
        <w:t>"ע</w:t>
      </w:r>
      <w:r w:rsidRPr="0021378F">
        <w:rPr>
          <w:rStyle w:val="default"/>
          <w:rFonts w:cs="FrankRuehl" w:hint="cs"/>
          <w:vanish/>
          <w:sz w:val="22"/>
          <w:szCs w:val="22"/>
          <w:shd w:val="clear" w:color="auto" w:fill="FFFF99"/>
          <w:rtl/>
        </w:rPr>
        <w:t xml:space="preserve">רעור" </w:t>
      </w:r>
      <w:r w:rsidR="0021378F" w:rsidRPr="0021378F">
        <w:rPr>
          <w:rStyle w:val="default"/>
          <w:rFonts w:cs="FrankRuehl"/>
          <w:vanish/>
          <w:sz w:val="22"/>
          <w:szCs w:val="22"/>
          <w:shd w:val="clear" w:color="auto" w:fill="FFFF99"/>
          <w:rtl/>
        </w:rPr>
        <w:t>–</w:t>
      </w:r>
      <w:r w:rsidRPr="0021378F">
        <w:rPr>
          <w:rStyle w:val="default"/>
          <w:rFonts w:cs="FrankRuehl" w:hint="cs"/>
          <w:vanish/>
          <w:sz w:val="22"/>
          <w:szCs w:val="22"/>
          <w:shd w:val="clear" w:color="auto" w:fill="FFFF99"/>
          <w:rtl/>
        </w:rPr>
        <w:t xml:space="preserve"> ערעור לפי סעיף 19, 25, </w:t>
      </w:r>
      <w:r w:rsidRPr="0021378F">
        <w:rPr>
          <w:rStyle w:val="default"/>
          <w:rFonts w:cs="FrankRuehl" w:hint="cs"/>
          <w:strike/>
          <w:vanish/>
          <w:sz w:val="22"/>
          <w:szCs w:val="22"/>
          <w:shd w:val="clear" w:color="auto" w:fill="FFFF99"/>
          <w:rtl/>
        </w:rPr>
        <w:t>29</w:t>
      </w:r>
      <w:r w:rsidRPr="0021378F">
        <w:rPr>
          <w:rStyle w:val="default"/>
          <w:rFonts w:cs="FrankRuehl" w:hint="cs"/>
          <w:vanish/>
          <w:sz w:val="22"/>
          <w:szCs w:val="22"/>
          <w:shd w:val="clear" w:color="auto" w:fill="FFFF99"/>
          <w:rtl/>
        </w:rPr>
        <w:t xml:space="preserve"> </w:t>
      </w:r>
      <w:r w:rsidRPr="0021378F">
        <w:rPr>
          <w:rStyle w:val="default"/>
          <w:rFonts w:cs="FrankRuehl" w:hint="cs"/>
          <w:vanish/>
          <w:sz w:val="22"/>
          <w:szCs w:val="22"/>
          <w:u w:val="single"/>
          <w:shd w:val="clear" w:color="auto" w:fill="FFFF99"/>
          <w:rtl/>
        </w:rPr>
        <w:t>29(ב)</w:t>
      </w:r>
      <w:r w:rsidRPr="0021378F">
        <w:rPr>
          <w:rStyle w:val="default"/>
          <w:rFonts w:cs="FrankRuehl" w:hint="cs"/>
          <w:vanish/>
          <w:sz w:val="22"/>
          <w:szCs w:val="22"/>
          <w:shd w:val="clear" w:color="auto" w:fill="FFFF99"/>
          <w:rtl/>
        </w:rPr>
        <w:t xml:space="preserve">, 30(ב), 36(ב), </w:t>
      </w:r>
      <w:r w:rsidRPr="0021378F">
        <w:rPr>
          <w:rStyle w:val="default"/>
          <w:rFonts w:cs="FrankRuehl" w:hint="cs"/>
          <w:strike/>
          <w:vanish/>
          <w:sz w:val="22"/>
          <w:szCs w:val="22"/>
          <w:shd w:val="clear" w:color="auto" w:fill="FFFF99"/>
          <w:rtl/>
        </w:rPr>
        <w:t>37(ב),</w:t>
      </w:r>
      <w:r w:rsidRPr="0021378F">
        <w:rPr>
          <w:rStyle w:val="default"/>
          <w:rFonts w:cs="FrankRuehl" w:hint="cs"/>
          <w:vanish/>
          <w:sz w:val="22"/>
          <w:szCs w:val="22"/>
          <w:shd w:val="clear" w:color="auto" w:fill="FFFF99"/>
          <w:rtl/>
        </w:rPr>
        <w:t xml:space="preserve"> 38(ב), 41(ה), 45(א) ו-(ב), 49(ב), או </w:t>
      </w:r>
      <w:r w:rsidRPr="0021378F">
        <w:rPr>
          <w:rStyle w:val="default"/>
          <w:rFonts w:cs="FrankRuehl" w:hint="cs"/>
          <w:strike/>
          <w:vanish/>
          <w:sz w:val="22"/>
          <w:szCs w:val="22"/>
          <w:shd w:val="clear" w:color="auto" w:fill="FFFF99"/>
          <w:rtl/>
        </w:rPr>
        <w:t>53</w:t>
      </w:r>
      <w:r w:rsidRPr="0021378F">
        <w:rPr>
          <w:rStyle w:val="default"/>
          <w:rFonts w:cs="FrankRuehl" w:hint="cs"/>
          <w:vanish/>
          <w:sz w:val="22"/>
          <w:szCs w:val="22"/>
          <w:shd w:val="clear" w:color="auto" w:fill="FFFF99"/>
          <w:rtl/>
        </w:rPr>
        <w:t xml:space="preserve"> </w:t>
      </w:r>
      <w:r w:rsidRPr="0021378F">
        <w:rPr>
          <w:rStyle w:val="default"/>
          <w:rFonts w:cs="FrankRuehl" w:hint="cs"/>
          <w:vanish/>
          <w:sz w:val="22"/>
          <w:szCs w:val="22"/>
          <w:u w:val="single"/>
          <w:shd w:val="clear" w:color="auto" w:fill="FFFF99"/>
          <w:rtl/>
        </w:rPr>
        <w:t>53(א)</w:t>
      </w:r>
      <w:r w:rsidRPr="0021378F">
        <w:rPr>
          <w:rStyle w:val="default"/>
          <w:rFonts w:cs="FrankRuehl" w:hint="cs"/>
          <w:vanish/>
          <w:sz w:val="22"/>
          <w:szCs w:val="22"/>
          <w:shd w:val="clear" w:color="auto" w:fill="FFFF99"/>
          <w:rtl/>
        </w:rPr>
        <w:t xml:space="preserve"> לפקודה, לפי הענין.</w:t>
      </w:r>
      <w:bookmarkEnd w:id="2"/>
    </w:p>
    <w:p w:rsidR="008F430C" w:rsidRDefault="008F430C" w:rsidP="003F1D4F">
      <w:pPr>
        <w:pStyle w:val="P00"/>
        <w:spacing w:before="72"/>
        <w:ind w:left="0" w:right="1134"/>
        <w:rPr>
          <w:rStyle w:val="default"/>
          <w:rFonts w:cs="FrankRuehl" w:hint="cs"/>
          <w:rtl/>
        </w:rPr>
      </w:pPr>
      <w:bookmarkStart w:id="3" w:name="Seif1"/>
      <w:bookmarkEnd w:id="3"/>
      <w:r>
        <w:rPr>
          <w:lang w:val="he-IL"/>
        </w:rPr>
        <w:pict>
          <v:rect id="_x0000_s1027" style="position:absolute;left:0;text-align:left;margin-left:464.5pt;margin-top:8.05pt;width:75.05pt;height:20pt;z-index:251655680" o:allowincell="f" filled="f" stroked="f" strokecolor="lime" strokeweight=".25pt">
            <v:textbox inset="0,0,0,0">
              <w:txbxContent>
                <w:p w:rsidR="008F430C" w:rsidRDefault="008F430C">
                  <w:pPr>
                    <w:spacing w:line="160" w:lineRule="exact"/>
                    <w:jc w:val="left"/>
                    <w:rPr>
                      <w:rFonts w:cs="Miriam" w:hint="cs"/>
                      <w:noProof/>
                      <w:sz w:val="18"/>
                      <w:szCs w:val="18"/>
                      <w:rtl/>
                    </w:rPr>
                  </w:pPr>
                  <w:r>
                    <w:rPr>
                      <w:rFonts w:cs="Miriam"/>
                      <w:sz w:val="18"/>
                      <w:szCs w:val="18"/>
                      <w:rtl/>
                    </w:rPr>
                    <w:t>הג</w:t>
                  </w:r>
                  <w:r>
                    <w:rPr>
                      <w:rFonts w:cs="Miriam" w:hint="cs"/>
                      <w:sz w:val="18"/>
                      <w:szCs w:val="18"/>
                      <w:rtl/>
                    </w:rPr>
                    <w:t>שת ערעור</w:t>
                  </w:r>
                </w:p>
                <w:p w:rsidR="003F1D4F" w:rsidRDefault="003F1D4F" w:rsidP="003F1D4F">
                  <w:pPr>
                    <w:spacing w:line="160" w:lineRule="exact"/>
                    <w:jc w:val="left"/>
                    <w:rPr>
                      <w:rFonts w:cs="Miriam" w:hint="cs"/>
                      <w:noProof/>
                      <w:sz w:val="18"/>
                      <w:szCs w:val="18"/>
                      <w:rtl/>
                    </w:rPr>
                  </w:pPr>
                  <w:r>
                    <w:rPr>
                      <w:rFonts w:cs="Miriam" w:hint="cs"/>
                      <w:sz w:val="18"/>
                      <w:szCs w:val="18"/>
                      <w:rtl/>
                    </w:rPr>
                    <w:t>תק' תשע"א-2011</w:t>
                  </w:r>
                </w:p>
              </w:txbxContent>
            </v:textbox>
            <w10:anchorlock/>
          </v:rect>
        </w:pict>
      </w:r>
      <w:r>
        <w:rPr>
          <w:rStyle w:val="big-number"/>
          <w:rFonts w:cs="Miriam"/>
          <w:rtl/>
        </w:rPr>
        <w:t>2.</w:t>
      </w:r>
      <w:r>
        <w:rPr>
          <w:rStyle w:val="big-number"/>
          <w:rFonts w:cs="Miriam"/>
          <w:rtl/>
        </w:rPr>
        <w:tab/>
      </w:r>
      <w:r>
        <w:rPr>
          <w:rStyle w:val="default"/>
          <w:rFonts w:cs="FrankRuehl"/>
          <w:rtl/>
        </w:rPr>
        <w:t>ער</w:t>
      </w:r>
      <w:r>
        <w:rPr>
          <w:rStyle w:val="default"/>
          <w:rFonts w:cs="FrankRuehl" w:hint="cs"/>
          <w:rtl/>
        </w:rPr>
        <w:t xml:space="preserve">עור יהיה בכתב ויוגש למשרד הרישום של בית משפט </w:t>
      </w:r>
      <w:r w:rsidR="003F1D4F">
        <w:rPr>
          <w:rStyle w:val="default"/>
          <w:rFonts w:cs="FrankRuehl" w:hint="cs"/>
          <w:rtl/>
        </w:rPr>
        <w:t>מחוזי</w:t>
      </w:r>
      <w:r>
        <w:rPr>
          <w:rStyle w:val="default"/>
          <w:rFonts w:cs="FrankRuehl" w:hint="cs"/>
          <w:rtl/>
        </w:rPr>
        <w:t xml:space="preserve"> תוך ש</w:t>
      </w:r>
      <w:r>
        <w:rPr>
          <w:rStyle w:val="default"/>
          <w:rFonts w:cs="FrankRuehl"/>
          <w:rtl/>
        </w:rPr>
        <w:t>לו</w:t>
      </w:r>
      <w:r>
        <w:rPr>
          <w:rStyle w:val="default"/>
          <w:rFonts w:cs="FrankRuehl" w:hint="cs"/>
          <w:rtl/>
        </w:rPr>
        <w:t>שים ימים מיום החלטת הרשם שעליה מערערים.</w:t>
      </w:r>
    </w:p>
    <w:p w:rsidR="003F1D4F" w:rsidRPr="0021378F" w:rsidRDefault="003F1D4F" w:rsidP="003F1D4F">
      <w:pPr>
        <w:pStyle w:val="P00"/>
        <w:spacing w:before="0"/>
        <w:ind w:left="0" w:right="1134"/>
        <w:rPr>
          <w:rFonts w:cs="FrankRuehl" w:hint="cs"/>
          <w:vanish/>
          <w:color w:val="FF0000"/>
          <w:szCs w:val="20"/>
          <w:shd w:val="clear" w:color="auto" w:fill="FFFF99"/>
          <w:rtl/>
        </w:rPr>
      </w:pPr>
      <w:bookmarkStart w:id="4" w:name="Rov9"/>
      <w:r w:rsidRPr="0021378F">
        <w:rPr>
          <w:rFonts w:cs="FrankRuehl" w:hint="cs"/>
          <w:vanish/>
          <w:color w:val="FF0000"/>
          <w:szCs w:val="20"/>
          <w:shd w:val="clear" w:color="auto" w:fill="FFFF99"/>
          <w:rtl/>
        </w:rPr>
        <w:t>מיום 1.4.2011</w:t>
      </w:r>
    </w:p>
    <w:p w:rsidR="003F1D4F" w:rsidRPr="0021378F" w:rsidRDefault="003F1D4F" w:rsidP="003F1D4F">
      <w:pPr>
        <w:pStyle w:val="P00"/>
        <w:spacing w:before="0"/>
        <w:ind w:left="0" w:right="1134"/>
        <w:rPr>
          <w:rFonts w:cs="FrankRuehl" w:hint="cs"/>
          <w:vanish/>
          <w:szCs w:val="20"/>
          <w:shd w:val="clear" w:color="auto" w:fill="FFFF99"/>
          <w:rtl/>
        </w:rPr>
      </w:pPr>
      <w:r w:rsidRPr="0021378F">
        <w:rPr>
          <w:rFonts w:cs="FrankRuehl" w:hint="cs"/>
          <w:b/>
          <w:bCs/>
          <w:vanish/>
          <w:szCs w:val="20"/>
          <w:shd w:val="clear" w:color="auto" w:fill="FFFF99"/>
          <w:rtl/>
        </w:rPr>
        <w:t>תק' תשע"א-2011</w:t>
      </w:r>
    </w:p>
    <w:p w:rsidR="003F1D4F" w:rsidRPr="0021378F" w:rsidRDefault="003F1D4F" w:rsidP="003F1D4F">
      <w:pPr>
        <w:pStyle w:val="P00"/>
        <w:spacing w:before="0"/>
        <w:ind w:left="0" w:right="1134"/>
        <w:rPr>
          <w:rFonts w:cs="FrankRuehl" w:hint="cs"/>
          <w:vanish/>
          <w:szCs w:val="20"/>
          <w:shd w:val="clear" w:color="auto" w:fill="FFFF99"/>
          <w:rtl/>
        </w:rPr>
      </w:pPr>
      <w:hyperlink r:id="rId8" w:history="1">
        <w:r w:rsidRPr="0021378F">
          <w:rPr>
            <w:rStyle w:val="Hyperlink"/>
            <w:rFonts w:cs="FrankRuehl" w:hint="cs"/>
            <w:vanish/>
            <w:szCs w:val="20"/>
            <w:shd w:val="clear" w:color="auto" w:fill="FFFF99"/>
            <w:rtl/>
          </w:rPr>
          <w:t>ק"ת תשע"א מס' 6986</w:t>
        </w:r>
      </w:hyperlink>
      <w:r w:rsidRPr="0021378F">
        <w:rPr>
          <w:rFonts w:cs="FrankRuehl" w:hint="cs"/>
          <w:vanish/>
          <w:szCs w:val="20"/>
          <w:shd w:val="clear" w:color="auto" w:fill="FFFF99"/>
          <w:rtl/>
        </w:rPr>
        <w:t xml:space="preserve"> מיום 17.3.2011 עמ' 804</w:t>
      </w:r>
    </w:p>
    <w:p w:rsidR="003F1D4F" w:rsidRPr="003F1D4F" w:rsidRDefault="003F1D4F" w:rsidP="003F1D4F">
      <w:pPr>
        <w:pStyle w:val="P00"/>
        <w:ind w:left="0" w:right="1134"/>
        <w:rPr>
          <w:rStyle w:val="default"/>
          <w:rFonts w:cs="FrankRuehl" w:hint="cs"/>
          <w:sz w:val="2"/>
          <w:szCs w:val="2"/>
          <w:rtl/>
        </w:rPr>
      </w:pPr>
      <w:r w:rsidRPr="0021378F">
        <w:rPr>
          <w:rStyle w:val="big-number"/>
          <w:rFonts w:cs="FrankRuehl"/>
          <w:vanish/>
          <w:sz w:val="22"/>
          <w:szCs w:val="22"/>
          <w:shd w:val="clear" w:color="auto" w:fill="FFFF99"/>
          <w:rtl/>
        </w:rPr>
        <w:t>2.</w:t>
      </w:r>
      <w:r w:rsidRPr="0021378F">
        <w:rPr>
          <w:rStyle w:val="big-number"/>
          <w:rFonts w:cs="FrankRuehl"/>
          <w:vanish/>
          <w:sz w:val="22"/>
          <w:szCs w:val="22"/>
          <w:shd w:val="clear" w:color="auto" w:fill="FFFF99"/>
          <w:rtl/>
        </w:rPr>
        <w:tab/>
      </w:r>
      <w:r w:rsidRPr="0021378F">
        <w:rPr>
          <w:rStyle w:val="default"/>
          <w:rFonts w:cs="FrankRuehl"/>
          <w:vanish/>
          <w:sz w:val="22"/>
          <w:szCs w:val="22"/>
          <w:shd w:val="clear" w:color="auto" w:fill="FFFF99"/>
          <w:rtl/>
        </w:rPr>
        <w:t>ער</w:t>
      </w:r>
      <w:r w:rsidRPr="0021378F">
        <w:rPr>
          <w:rStyle w:val="default"/>
          <w:rFonts w:cs="FrankRuehl" w:hint="cs"/>
          <w:vanish/>
          <w:sz w:val="22"/>
          <w:szCs w:val="22"/>
          <w:shd w:val="clear" w:color="auto" w:fill="FFFF99"/>
          <w:rtl/>
        </w:rPr>
        <w:t xml:space="preserve">עור יהיה בכתב ויוגש למשרד הרישום של </w:t>
      </w:r>
      <w:r w:rsidRPr="0021378F">
        <w:rPr>
          <w:rStyle w:val="default"/>
          <w:rFonts w:cs="FrankRuehl" w:hint="cs"/>
          <w:strike/>
          <w:vanish/>
          <w:sz w:val="22"/>
          <w:szCs w:val="22"/>
          <w:shd w:val="clear" w:color="auto" w:fill="FFFF99"/>
          <w:rtl/>
        </w:rPr>
        <w:t>בית המשפט העליון</w:t>
      </w:r>
      <w:r w:rsidRPr="0021378F">
        <w:rPr>
          <w:rStyle w:val="default"/>
          <w:rFonts w:cs="FrankRuehl" w:hint="cs"/>
          <w:vanish/>
          <w:sz w:val="22"/>
          <w:szCs w:val="22"/>
          <w:shd w:val="clear" w:color="auto" w:fill="FFFF99"/>
          <w:rtl/>
        </w:rPr>
        <w:t xml:space="preserve"> </w:t>
      </w:r>
      <w:r w:rsidRPr="0021378F">
        <w:rPr>
          <w:rStyle w:val="default"/>
          <w:rFonts w:cs="FrankRuehl" w:hint="cs"/>
          <w:vanish/>
          <w:sz w:val="22"/>
          <w:szCs w:val="22"/>
          <w:u w:val="single"/>
          <w:shd w:val="clear" w:color="auto" w:fill="FFFF99"/>
          <w:rtl/>
        </w:rPr>
        <w:t>בית משפט מחוזי</w:t>
      </w:r>
      <w:r w:rsidRPr="0021378F">
        <w:rPr>
          <w:rStyle w:val="default"/>
          <w:rFonts w:cs="FrankRuehl" w:hint="cs"/>
          <w:vanish/>
          <w:sz w:val="22"/>
          <w:szCs w:val="22"/>
          <w:shd w:val="clear" w:color="auto" w:fill="FFFF99"/>
          <w:rtl/>
        </w:rPr>
        <w:t xml:space="preserve"> תוך ש</w:t>
      </w:r>
      <w:r w:rsidRPr="0021378F">
        <w:rPr>
          <w:rStyle w:val="default"/>
          <w:rFonts w:cs="FrankRuehl"/>
          <w:vanish/>
          <w:sz w:val="22"/>
          <w:szCs w:val="22"/>
          <w:shd w:val="clear" w:color="auto" w:fill="FFFF99"/>
          <w:rtl/>
        </w:rPr>
        <w:t>לו</w:t>
      </w:r>
      <w:r w:rsidRPr="0021378F">
        <w:rPr>
          <w:rStyle w:val="default"/>
          <w:rFonts w:cs="FrankRuehl" w:hint="cs"/>
          <w:vanish/>
          <w:sz w:val="22"/>
          <w:szCs w:val="22"/>
          <w:shd w:val="clear" w:color="auto" w:fill="FFFF99"/>
          <w:rtl/>
        </w:rPr>
        <w:t>שים ימים מיום החלטת הרשם שעליה מערערים.</w:t>
      </w:r>
      <w:bookmarkEnd w:id="4"/>
    </w:p>
    <w:p w:rsidR="008F430C" w:rsidRDefault="008F430C" w:rsidP="00300C09">
      <w:pPr>
        <w:pStyle w:val="P00"/>
        <w:spacing w:before="72"/>
        <w:ind w:left="0" w:right="1134"/>
        <w:rPr>
          <w:rStyle w:val="default"/>
          <w:rFonts w:cs="FrankRuehl"/>
          <w:rtl/>
        </w:rPr>
      </w:pPr>
      <w:bookmarkStart w:id="5" w:name="Seif2"/>
      <w:bookmarkEnd w:id="5"/>
      <w:r>
        <w:rPr>
          <w:lang w:val="he-IL"/>
        </w:rPr>
        <w:pict>
          <v:rect id="_x0000_s1028" style="position:absolute;left:0;text-align:left;margin-left:464.5pt;margin-top:8.05pt;width:75.05pt;height:21.45pt;z-index:251656704" o:allowincell="f" filled="f" stroked="f" strokecolor="lime" strokeweight=".25pt">
            <v:textbox inset="0,0,0,0">
              <w:txbxContent>
                <w:p w:rsidR="008F430C" w:rsidRDefault="008F430C" w:rsidP="00975134">
                  <w:pPr>
                    <w:spacing w:line="160" w:lineRule="exact"/>
                    <w:jc w:val="left"/>
                    <w:rPr>
                      <w:rFonts w:cs="Miriam"/>
                      <w:sz w:val="18"/>
                      <w:szCs w:val="18"/>
                      <w:rtl/>
                    </w:rPr>
                  </w:pPr>
                  <w:r>
                    <w:rPr>
                      <w:rFonts w:cs="Miriam"/>
                      <w:sz w:val="18"/>
                      <w:szCs w:val="18"/>
                      <w:rtl/>
                    </w:rPr>
                    <w:t>סד</w:t>
                  </w:r>
                  <w:r>
                    <w:rPr>
                      <w:rFonts w:cs="Miriam" w:hint="cs"/>
                      <w:sz w:val="18"/>
                      <w:szCs w:val="18"/>
                      <w:rtl/>
                    </w:rPr>
                    <w:t>רי שמיעת</w:t>
                  </w:r>
                  <w:r w:rsidR="00975134">
                    <w:rPr>
                      <w:rFonts w:cs="Miriam" w:hint="cs"/>
                      <w:sz w:val="18"/>
                      <w:szCs w:val="18"/>
                      <w:rtl/>
                    </w:rPr>
                    <w:t xml:space="preserve"> </w:t>
                  </w:r>
                  <w:r>
                    <w:rPr>
                      <w:rFonts w:cs="Miriam"/>
                      <w:sz w:val="18"/>
                      <w:szCs w:val="18"/>
                      <w:rtl/>
                    </w:rPr>
                    <w:t>ער</w:t>
                  </w:r>
                  <w:r>
                    <w:rPr>
                      <w:rFonts w:cs="Miriam" w:hint="cs"/>
                      <w:sz w:val="18"/>
                      <w:szCs w:val="18"/>
                      <w:rtl/>
                    </w:rPr>
                    <w:t>עור</w:t>
                  </w:r>
                </w:p>
                <w:p w:rsidR="0021378F" w:rsidRDefault="0021378F" w:rsidP="00975134">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3.</w:t>
      </w:r>
      <w:r>
        <w:rPr>
          <w:rStyle w:val="big-number"/>
          <w:rFonts w:cs="Miriam"/>
          <w:rtl/>
        </w:rPr>
        <w:tab/>
      </w:r>
      <w:r>
        <w:rPr>
          <w:rStyle w:val="default"/>
          <w:rFonts w:cs="FrankRuehl"/>
          <w:rtl/>
        </w:rPr>
        <w:t>בכ</w:t>
      </w:r>
      <w:r>
        <w:rPr>
          <w:rStyle w:val="default"/>
          <w:rFonts w:cs="FrankRuehl" w:hint="cs"/>
          <w:rtl/>
        </w:rPr>
        <w:t xml:space="preserve">פוף לאמור בתקנות אלה ולשינויים המחוייבים לפי הענין, יחולו על ערעור הוראות </w:t>
      </w:r>
      <w:r w:rsidR="0021378F" w:rsidRPr="0021378F">
        <w:rPr>
          <w:rStyle w:val="default"/>
          <w:rFonts w:cs="FrankRuehl" w:hint="cs"/>
          <w:rtl/>
        </w:rPr>
        <w:t>פרק י"ז בחלק ב' לתקנות סדר הדין האזרחי, התשע"ט-2018, ואולם לעניין תקנות אלה, יקראו בכל מקום בפרק י"ז שבו כתוב "שישים ימים" כאילו כתוב "שלושים ימים"</w:t>
      </w:r>
      <w:r>
        <w:rPr>
          <w:rStyle w:val="default"/>
          <w:rFonts w:cs="FrankRuehl" w:hint="cs"/>
          <w:rtl/>
        </w:rPr>
        <w:t>, ויראו את הרשם כבית המשפט בערכאה הקודמת.</w:t>
      </w:r>
    </w:p>
    <w:p w:rsidR="0021378F" w:rsidRPr="0021378F" w:rsidRDefault="0021378F" w:rsidP="0021378F">
      <w:pPr>
        <w:pStyle w:val="P00"/>
        <w:spacing w:before="0"/>
        <w:ind w:left="0" w:right="1134"/>
        <w:rPr>
          <w:rFonts w:ascii="FrankRuehl" w:hAnsi="FrankRuehl" w:cs="FrankRuehl"/>
          <w:vanish/>
          <w:color w:val="FF0000"/>
          <w:szCs w:val="20"/>
          <w:shd w:val="clear" w:color="auto" w:fill="FFFF99"/>
          <w:rtl/>
        </w:rPr>
      </w:pPr>
      <w:bookmarkStart w:id="6" w:name="Rov10"/>
      <w:r w:rsidRPr="0021378F">
        <w:rPr>
          <w:rFonts w:ascii="FrankRuehl" w:hAnsi="FrankRuehl" w:cs="FrankRuehl" w:hint="cs"/>
          <w:vanish/>
          <w:color w:val="FF0000"/>
          <w:szCs w:val="20"/>
          <w:shd w:val="clear" w:color="auto" w:fill="FFFF99"/>
          <w:rtl/>
        </w:rPr>
        <w:t>מיום 25.2.2021</w:t>
      </w:r>
    </w:p>
    <w:p w:rsidR="0021378F" w:rsidRPr="0021378F" w:rsidRDefault="0021378F" w:rsidP="0021378F">
      <w:pPr>
        <w:pStyle w:val="P00"/>
        <w:spacing w:before="0"/>
        <w:ind w:left="0" w:right="1134"/>
        <w:rPr>
          <w:rFonts w:ascii="FrankRuehl" w:hAnsi="FrankRuehl" w:cs="FrankRuehl"/>
          <w:vanish/>
          <w:szCs w:val="20"/>
          <w:shd w:val="clear" w:color="auto" w:fill="FFFF99"/>
          <w:rtl/>
        </w:rPr>
      </w:pPr>
      <w:r w:rsidRPr="0021378F">
        <w:rPr>
          <w:rFonts w:ascii="FrankRuehl" w:hAnsi="FrankRuehl" w:cs="FrankRuehl" w:hint="cs"/>
          <w:b/>
          <w:bCs/>
          <w:vanish/>
          <w:szCs w:val="20"/>
          <w:shd w:val="clear" w:color="auto" w:fill="FFFF99"/>
          <w:rtl/>
        </w:rPr>
        <w:t>תק' תשפ"א-2021</w:t>
      </w:r>
    </w:p>
    <w:p w:rsidR="0021378F" w:rsidRPr="0021378F" w:rsidRDefault="0021378F" w:rsidP="0021378F">
      <w:pPr>
        <w:pStyle w:val="P00"/>
        <w:spacing w:before="0"/>
        <w:ind w:left="0" w:right="1134"/>
        <w:rPr>
          <w:rFonts w:ascii="FrankRuehl" w:hAnsi="FrankRuehl" w:cs="FrankRuehl"/>
          <w:vanish/>
          <w:szCs w:val="20"/>
          <w:shd w:val="clear" w:color="auto" w:fill="FFFF99"/>
          <w:rtl/>
        </w:rPr>
      </w:pPr>
      <w:hyperlink r:id="rId9" w:history="1">
        <w:r w:rsidRPr="0021378F">
          <w:rPr>
            <w:rStyle w:val="Hyperlink"/>
            <w:rFonts w:ascii="FrankRuehl" w:hAnsi="FrankRuehl" w:cs="FrankRuehl" w:hint="cs"/>
            <w:vanish/>
            <w:szCs w:val="20"/>
            <w:shd w:val="clear" w:color="auto" w:fill="FFFF99"/>
            <w:rtl/>
          </w:rPr>
          <w:t>ק"ת תשפ"א מס' 9213</w:t>
        </w:r>
      </w:hyperlink>
      <w:r w:rsidRPr="0021378F">
        <w:rPr>
          <w:rFonts w:ascii="FrankRuehl" w:hAnsi="FrankRuehl" w:cs="FrankRuehl" w:hint="cs"/>
          <w:vanish/>
          <w:szCs w:val="20"/>
          <w:shd w:val="clear" w:color="auto" w:fill="FFFF99"/>
          <w:rtl/>
        </w:rPr>
        <w:t xml:space="preserve"> מיום 25.2.2021 עמ' 2242</w:t>
      </w:r>
    </w:p>
    <w:p w:rsidR="0021378F" w:rsidRPr="0021378F" w:rsidRDefault="0021378F" w:rsidP="0021378F">
      <w:pPr>
        <w:pStyle w:val="P00"/>
        <w:ind w:left="0" w:right="1134"/>
        <w:rPr>
          <w:rStyle w:val="default"/>
          <w:rFonts w:cs="FrankRuehl"/>
          <w:sz w:val="2"/>
          <w:szCs w:val="2"/>
          <w:shd w:val="clear" w:color="auto" w:fill="FFFF99"/>
          <w:rtl/>
        </w:rPr>
      </w:pPr>
      <w:r w:rsidRPr="0021378F">
        <w:rPr>
          <w:rStyle w:val="default"/>
          <w:rFonts w:cs="FrankRuehl"/>
          <w:vanish/>
          <w:sz w:val="22"/>
          <w:szCs w:val="22"/>
          <w:shd w:val="clear" w:color="auto" w:fill="FFFF99"/>
          <w:rtl/>
        </w:rPr>
        <w:t>3.</w:t>
      </w:r>
      <w:r w:rsidRPr="0021378F">
        <w:rPr>
          <w:rStyle w:val="default"/>
          <w:rFonts w:cs="FrankRuehl"/>
          <w:vanish/>
          <w:sz w:val="22"/>
          <w:szCs w:val="22"/>
          <w:shd w:val="clear" w:color="auto" w:fill="FFFF99"/>
          <w:rtl/>
        </w:rPr>
        <w:tab/>
        <w:t>בכ</w:t>
      </w:r>
      <w:r w:rsidRPr="0021378F">
        <w:rPr>
          <w:rStyle w:val="default"/>
          <w:rFonts w:cs="FrankRuehl" w:hint="cs"/>
          <w:vanish/>
          <w:sz w:val="22"/>
          <w:szCs w:val="22"/>
          <w:shd w:val="clear" w:color="auto" w:fill="FFFF99"/>
          <w:rtl/>
        </w:rPr>
        <w:t xml:space="preserve">פוף לאמור בתקנות אלה ולשינויים המחוייבים לפי הענין, יחולו על ערעור הוראות </w:t>
      </w:r>
      <w:r w:rsidRPr="0021378F">
        <w:rPr>
          <w:rStyle w:val="default"/>
          <w:rFonts w:cs="FrankRuehl" w:hint="cs"/>
          <w:strike/>
          <w:vanish/>
          <w:sz w:val="22"/>
          <w:szCs w:val="22"/>
          <w:shd w:val="clear" w:color="auto" w:fill="FFFF99"/>
          <w:rtl/>
        </w:rPr>
        <w:t>סימנים ג' עד י' שבפרק ל' לתקנות סדר הדין האזרחי, תשמ"ד-1984</w:t>
      </w:r>
      <w:r w:rsidRPr="0021378F">
        <w:rPr>
          <w:rStyle w:val="default"/>
          <w:rFonts w:cs="FrankRuehl" w:hint="cs"/>
          <w:vanish/>
          <w:sz w:val="22"/>
          <w:szCs w:val="22"/>
          <w:shd w:val="clear" w:color="auto" w:fill="FFFF99"/>
          <w:rtl/>
        </w:rPr>
        <w:t xml:space="preserve"> </w:t>
      </w:r>
      <w:r w:rsidRPr="0021378F">
        <w:rPr>
          <w:rStyle w:val="default"/>
          <w:rFonts w:cs="FrankRuehl" w:hint="cs"/>
          <w:vanish/>
          <w:sz w:val="22"/>
          <w:szCs w:val="22"/>
          <w:u w:val="single"/>
          <w:shd w:val="clear" w:color="auto" w:fill="FFFF99"/>
          <w:rtl/>
        </w:rPr>
        <w:t>פרק י"ז בחלק ב' לתקנות סדר הדין האזרחי, התשע"ט-2018, ואולם לעניין תקנות אלה, יקראו בכל מקום בפרק י"ז שבו כתוב "שישים ימים" כאילו כתוב "שלושים ימים"</w:t>
      </w:r>
      <w:r w:rsidRPr="0021378F">
        <w:rPr>
          <w:rStyle w:val="default"/>
          <w:rFonts w:cs="FrankRuehl" w:hint="cs"/>
          <w:vanish/>
          <w:sz w:val="22"/>
          <w:szCs w:val="22"/>
          <w:shd w:val="clear" w:color="auto" w:fill="FFFF99"/>
          <w:rtl/>
        </w:rPr>
        <w:t>, ויראו את הרשם כבית המשפט בערכאה הקודמת.</w:t>
      </w:r>
      <w:bookmarkEnd w:id="6"/>
    </w:p>
    <w:p w:rsidR="008F430C" w:rsidRDefault="008F430C">
      <w:pPr>
        <w:pStyle w:val="P00"/>
        <w:spacing w:before="72"/>
        <w:ind w:left="0" w:right="1134"/>
        <w:rPr>
          <w:rStyle w:val="default"/>
          <w:rFonts w:cs="FrankRuehl"/>
          <w:rtl/>
        </w:rPr>
      </w:pPr>
      <w:bookmarkStart w:id="7" w:name="Seif3"/>
      <w:bookmarkEnd w:id="7"/>
      <w:r>
        <w:rPr>
          <w:lang w:val="he-IL"/>
        </w:rPr>
        <w:pict>
          <v:rect id="_x0000_s1029" style="position:absolute;left:0;text-align:left;margin-left:464.5pt;margin-top:8.05pt;width:75.05pt;height:14.65pt;z-index:251657728" o:allowincell="f" filled="f" stroked="f" strokecolor="lime" strokeweight=".25pt">
            <v:textbox inset="0,0,0,0">
              <w:txbxContent>
                <w:p w:rsidR="008F430C" w:rsidRDefault="008F430C">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4.</w:t>
      </w:r>
      <w:r>
        <w:rPr>
          <w:rStyle w:val="big-number"/>
          <w:rFonts w:cs="Miriam"/>
          <w:rtl/>
        </w:rPr>
        <w:tab/>
      </w:r>
      <w:r>
        <w:rPr>
          <w:rStyle w:val="default"/>
          <w:rFonts w:cs="FrankRuehl"/>
          <w:rtl/>
        </w:rPr>
        <w:t>תק</w:t>
      </w:r>
      <w:r>
        <w:rPr>
          <w:rStyle w:val="default"/>
          <w:rFonts w:cs="FrankRuehl" w:hint="cs"/>
          <w:rtl/>
        </w:rPr>
        <w:t>נות בית המשפט הגבוה (סימני</w:t>
      </w:r>
      <w:r>
        <w:rPr>
          <w:rStyle w:val="default"/>
          <w:rFonts w:cs="FrankRuehl"/>
          <w:rtl/>
        </w:rPr>
        <w:t xml:space="preserve"> ה</w:t>
      </w:r>
      <w:r>
        <w:rPr>
          <w:rStyle w:val="default"/>
          <w:rFonts w:cs="FrankRuehl" w:hint="cs"/>
          <w:rtl/>
        </w:rPr>
        <w:t xml:space="preserve">מסחר), 1937 (להלן </w:t>
      </w:r>
      <w:r w:rsidR="0021378F">
        <w:rPr>
          <w:rStyle w:val="default"/>
          <w:rFonts w:cs="FrankRuehl"/>
          <w:rtl/>
        </w:rPr>
        <w:t>–</w:t>
      </w:r>
      <w:r>
        <w:rPr>
          <w:rStyle w:val="default"/>
          <w:rFonts w:cs="FrankRuehl" w:hint="cs"/>
          <w:rtl/>
        </w:rPr>
        <w:t xml:space="preserve"> התקנות הקודמות) </w:t>
      </w:r>
      <w:r w:rsidR="0021378F">
        <w:rPr>
          <w:rStyle w:val="default"/>
          <w:rFonts w:cs="FrankRuehl"/>
          <w:rtl/>
        </w:rPr>
        <w:t>–</w:t>
      </w:r>
      <w:r>
        <w:rPr>
          <w:rStyle w:val="default"/>
          <w:rFonts w:cs="FrankRuehl" w:hint="cs"/>
          <w:rtl/>
        </w:rPr>
        <w:t xml:space="preserve"> בטלות.</w:t>
      </w:r>
    </w:p>
    <w:p w:rsidR="008F430C" w:rsidRDefault="008F430C">
      <w:pPr>
        <w:pStyle w:val="P00"/>
        <w:spacing w:before="72"/>
        <w:ind w:left="0" w:right="1134"/>
        <w:rPr>
          <w:rStyle w:val="default"/>
          <w:rFonts w:cs="FrankRuehl"/>
          <w:rtl/>
        </w:rPr>
      </w:pPr>
      <w:bookmarkStart w:id="8" w:name="Seif4"/>
      <w:bookmarkEnd w:id="8"/>
      <w:r>
        <w:rPr>
          <w:lang w:val="he-IL"/>
        </w:rPr>
        <w:pict>
          <v:rect id="_x0000_s1030" style="position:absolute;left:0;text-align:left;margin-left:464.5pt;margin-top:8.05pt;width:75.05pt;height:22.7pt;z-index:251658752" o:allowincell="f" filled="f" stroked="f" strokecolor="lime" strokeweight=".25pt">
            <v:textbox inset="0,0,0,0">
              <w:txbxContent>
                <w:p w:rsidR="008F430C" w:rsidRDefault="008F430C" w:rsidP="00975134">
                  <w:pPr>
                    <w:spacing w:line="160" w:lineRule="exact"/>
                    <w:jc w:val="left"/>
                    <w:rPr>
                      <w:rFonts w:cs="Miriam"/>
                      <w:noProof/>
                      <w:sz w:val="18"/>
                      <w:szCs w:val="18"/>
                      <w:rtl/>
                    </w:rPr>
                  </w:pPr>
                  <w:r>
                    <w:rPr>
                      <w:rFonts w:cs="Miriam"/>
                      <w:sz w:val="18"/>
                      <w:szCs w:val="18"/>
                      <w:rtl/>
                    </w:rPr>
                    <w:t>תח</w:t>
                  </w:r>
                  <w:r>
                    <w:rPr>
                      <w:rFonts w:cs="Miriam" w:hint="cs"/>
                      <w:sz w:val="18"/>
                      <w:szCs w:val="18"/>
                      <w:rtl/>
                    </w:rPr>
                    <w:t>ילה ו</w:t>
                  </w:r>
                  <w:r>
                    <w:rPr>
                      <w:rFonts w:cs="Miriam"/>
                      <w:sz w:val="18"/>
                      <w:szCs w:val="18"/>
                      <w:rtl/>
                    </w:rPr>
                    <w:t>ה</w:t>
                  </w:r>
                  <w:r>
                    <w:rPr>
                      <w:rFonts w:cs="Miriam" w:hint="cs"/>
                      <w:sz w:val="18"/>
                      <w:szCs w:val="18"/>
                      <w:rtl/>
                    </w:rPr>
                    <w:t>וראות</w:t>
                  </w:r>
                  <w:r w:rsidR="00975134">
                    <w:rPr>
                      <w:rFonts w:cs="Miriam" w:hint="cs"/>
                      <w:sz w:val="18"/>
                      <w:szCs w:val="18"/>
                      <w:rtl/>
                    </w:rPr>
                    <w:t xml:space="preserve"> </w:t>
                  </w:r>
                  <w:r>
                    <w:rPr>
                      <w:rFonts w:cs="Miriam"/>
                      <w:sz w:val="18"/>
                      <w:szCs w:val="18"/>
                      <w:rtl/>
                    </w:rPr>
                    <w:t>מע</w:t>
                  </w:r>
                  <w:r>
                    <w:rPr>
                      <w:rFonts w:cs="Miriam" w:hint="cs"/>
                      <w:sz w:val="18"/>
                      <w:szCs w:val="18"/>
                      <w:rtl/>
                    </w:rPr>
                    <w:t>בר</w:t>
                  </w:r>
                </w:p>
              </w:txbxContent>
            </v:textbox>
            <w10:anchorlock/>
          </v:rect>
        </w:pict>
      </w:r>
      <w:r>
        <w:rPr>
          <w:rStyle w:val="big-number"/>
          <w:rFonts w:cs="Miriam"/>
          <w:rtl/>
        </w:rPr>
        <w:t>5.</w:t>
      </w:r>
      <w:r>
        <w:rPr>
          <w:rStyle w:val="big-number"/>
          <w:rFonts w:cs="Miriam"/>
          <w:rtl/>
        </w:rPr>
        <w:tab/>
      </w:r>
      <w:r>
        <w:rPr>
          <w:rStyle w:val="default"/>
          <w:rFonts w:cs="FrankRuehl"/>
          <w:rtl/>
        </w:rPr>
        <w:t>תח</w:t>
      </w:r>
      <w:r>
        <w:rPr>
          <w:rStyle w:val="default"/>
          <w:rFonts w:cs="FrankRuehl" w:hint="cs"/>
          <w:rtl/>
        </w:rPr>
        <w:t>ילתן של תקנות אלה שלושים ימים מיום פרסומן, אולם על ערעורים התלויים ועומדים בפני בית המשפט העליון ערב תחילתן של תקנות אלה ימשיכו לחול הוראות התקנות הקודמות, אלא אם קבע בית המשפט אחרת.</w:t>
      </w:r>
    </w:p>
    <w:p w:rsidR="008F430C" w:rsidRDefault="008F430C">
      <w:pPr>
        <w:pStyle w:val="P00"/>
        <w:spacing w:before="72"/>
        <w:ind w:left="0" w:right="1134"/>
        <w:rPr>
          <w:rStyle w:val="default"/>
          <w:rFonts w:cs="FrankRuehl" w:hint="cs"/>
          <w:rtl/>
        </w:rPr>
      </w:pPr>
    </w:p>
    <w:p w:rsidR="00975134" w:rsidRDefault="00975134">
      <w:pPr>
        <w:pStyle w:val="P00"/>
        <w:spacing w:before="72"/>
        <w:ind w:left="0" w:right="1134"/>
        <w:rPr>
          <w:rStyle w:val="default"/>
          <w:rFonts w:cs="FrankRuehl" w:hint="cs"/>
          <w:rtl/>
        </w:rPr>
      </w:pPr>
    </w:p>
    <w:p w:rsidR="008F430C" w:rsidRDefault="008F430C">
      <w:pPr>
        <w:pStyle w:val="sig-0"/>
        <w:ind w:left="0" w:right="1134"/>
        <w:rPr>
          <w:rFonts w:cs="FrankRuehl"/>
          <w:sz w:val="26"/>
          <w:rtl/>
        </w:rPr>
      </w:pPr>
      <w:r>
        <w:rPr>
          <w:rFonts w:cs="FrankRuehl"/>
          <w:sz w:val="26"/>
          <w:rtl/>
        </w:rPr>
        <w:t xml:space="preserve">ט' </w:t>
      </w:r>
      <w:r>
        <w:rPr>
          <w:rFonts w:cs="FrankRuehl" w:hint="cs"/>
          <w:sz w:val="26"/>
          <w:rtl/>
        </w:rPr>
        <w:t>באלול תשמ"ז (3 ב</w:t>
      </w:r>
      <w:r>
        <w:rPr>
          <w:rFonts w:cs="FrankRuehl"/>
          <w:sz w:val="26"/>
          <w:rtl/>
        </w:rPr>
        <w:t>ספ</w:t>
      </w:r>
      <w:r>
        <w:rPr>
          <w:rFonts w:cs="FrankRuehl" w:hint="cs"/>
          <w:sz w:val="26"/>
          <w:rtl/>
        </w:rPr>
        <w:t>טמבר 1987)</w:t>
      </w:r>
      <w:r>
        <w:rPr>
          <w:rFonts w:cs="FrankRuehl"/>
          <w:sz w:val="26"/>
          <w:rtl/>
        </w:rPr>
        <w:tab/>
        <w:t>א</w:t>
      </w:r>
      <w:r>
        <w:rPr>
          <w:rFonts w:cs="FrankRuehl" w:hint="cs"/>
          <w:sz w:val="26"/>
          <w:rtl/>
        </w:rPr>
        <w:t>ברהם שריר</w:t>
      </w:r>
    </w:p>
    <w:p w:rsidR="008F430C" w:rsidRDefault="008F430C">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8F430C" w:rsidRPr="00975134" w:rsidRDefault="008F430C" w:rsidP="00975134">
      <w:pPr>
        <w:pStyle w:val="P00"/>
        <w:spacing w:before="72"/>
        <w:ind w:left="0" w:right="1134"/>
        <w:rPr>
          <w:rStyle w:val="default"/>
          <w:rFonts w:cs="FrankRuehl"/>
          <w:rtl/>
        </w:rPr>
      </w:pPr>
    </w:p>
    <w:p w:rsidR="008F430C" w:rsidRPr="00975134" w:rsidRDefault="008F430C" w:rsidP="00975134">
      <w:pPr>
        <w:pStyle w:val="P00"/>
        <w:spacing w:before="72"/>
        <w:ind w:left="0" w:right="1134"/>
        <w:rPr>
          <w:rStyle w:val="default"/>
          <w:rFonts w:cs="FrankRuehl"/>
          <w:rtl/>
        </w:rPr>
      </w:pPr>
    </w:p>
    <w:p w:rsidR="008F430C" w:rsidRPr="00975134" w:rsidRDefault="008F430C" w:rsidP="00975134">
      <w:pPr>
        <w:pStyle w:val="P00"/>
        <w:spacing w:before="72"/>
        <w:ind w:left="0" w:right="1134"/>
        <w:rPr>
          <w:rStyle w:val="default"/>
          <w:rFonts w:cs="FrankRuehl"/>
          <w:rtl/>
        </w:rPr>
      </w:pPr>
      <w:bookmarkStart w:id="9" w:name="LawPartEnd"/>
    </w:p>
    <w:bookmarkEnd w:id="9"/>
    <w:p w:rsidR="008F430C" w:rsidRPr="00975134" w:rsidRDefault="008F430C" w:rsidP="00975134">
      <w:pPr>
        <w:pStyle w:val="P00"/>
        <w:spacing w:before="72"/>
        <w:ind w:left="0" w:right="1134"/>
        <w:rPr>
          <w:rStyle w:val="default"/>
          <w:rFonts w:cs="FrankRuehl"/>
          <w:rtl/>
        </w:rPr>
      </w:pPr>
    </w:p>
    <w:sectPr w:rsidR="008F430C" w:rsidRPr="00975134">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45EF" w:rsidRDefault="002545EF">
      <w:r>
        <w:separator/>
      </w:r>
    </w:p>
  </w:endnote>
  <w:endnote w:type="continuationSeparator" w:id="0">
    <w:p w:rsidR="002545EF" w:rsidRDefault="00254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30C" w:rsidRDefault="008F430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F430C" w:rsidRDefault="008F430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F430C" w:rsidRDefault="008F430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75134">
      <w:rPr>
        <w:rFonts w:cs="TopType Jerushalmi"/>
        <w:noProof/>
        <w:color w:val="000000"/>
        <w:sz w:val="14"/>
        <w:szCs w:val="14"/>
      </w:rPr>
      <w:t>D:\Yael\hakika\Revadim</w:t>
    </w:r>
    <w:r w:rsidR="00975134" w:rsidRPr="00975134">
      <w:rPr>
        <w:rFonts w:cs="TopType Jerushalmi"/>
        <w:noProof/>
        <w:color w:val="000000"/>
        <w:sz w:val="14"/>
        <w:szCs w:val="14"/>
        <w:rtl/>
      </w:rPr>
      <w:t>\קישורים\קבצים</w:t>
    </w:r>
    <w:r w:rsidR="00975134">
      <w:rPr>
        <w:noProof/>
        <w:color w:val="000000"/>
        <w:sz w:val="14"/>
        <w:szCs w:val="14"/>
        <w:rtl/>
      </w:rPr>
      <w:t xml:space="preserve"> ששונו בהם הערות השוליים בלבד\327_007.</w:t>
    </w:r>
    <w:r w:rsidR="00975134">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30C" w:rsidRDefault="008F430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0062F">
      <w:rPr>
        <w:rFonts w:hAnsi="FrankRuehl" w:cs="FrankRuehl"/>
        <w:noProof/>
        <w:sz w:val="24"/>
        <w:szCs w:val="24"/>
        <w:rtl/>
      </w:rPr>
      <w:t>2</w:t>
    </w:r>
    <w:r>
      <w:rPr>
        <w:rFonts w:hAnsi="FrankRuehl" w:cs="FrankRuehl"/>
        <w:sz w:val="24"/>
        <w:szCs w:val="24"/>
        <w:rtl/>
      </w:rPr>
      <w:fldChar w:fldCharType="end"/>
    </w:r>
  </w:p>
  <w:p w:rsidR="008F430C" w:rsidRDefault="008F430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F430C" w:rsidRDefault="008F430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75134">
      <w:rPr>
        <w:rFonts w:cs="TopType Jerushalmi"/>
        <w:noProof/>
        <w:color w:val="000000"/>
        <w:sz w:val="14"/>
        <w:szCs w:val="14"/>
      </w:rPr>
      <w:t>D:\Yael\hakika\Revadim</w:t>
    </w:r>
    <w:r w:rsidR="00975134" w:rsidRPr="00975134">
      <w:rPr>
        <w:rFonts w:cs="TopType Jerushalmi"/>
        <w:noProof/>
        <w:color w:val="000000"/>
        <w:sz w:val="14"/>
        <w:szCs w:val="14"/>
        <w:rtl/>
      </w:rPr>
      <w:t>\קישורים\קבצים</w:t>
    </w:r>
    <w:r w:rsidR="00975134">
      <w:rPr>
        <w:noProof/>
        <w:color w:val="000000"/>
        <w:sz w:val="14"/>
        <w:szCs w:val="14"/>
        <w:rtl/>
      </w:rPr>
      <w:t xml:space="preserve"> ששונו בהם הערות השוליים בלבד\327_007.</w:t>
    </w:r>
    <w:r w:rsidR="00975134">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45EF" w:rsidRDefault="002545EF" w:rsidP="00975134">
      <w:pPr>
        <w:spacing w:before="60" w:line="240" w:lineRule="auto"/>
        <w:ind w:right="1134"/>
      </w:pPr>
      <w:r>
        <w:separator/>
      </w:r>
    </w:p>
  </w:footnote>
  <w:footnote w:type="continuationSeparator" w:id="0">
    <w:p w:rsidR="002545EF" w:rsidRDefault="002545EF">
      <w:r>
        <w:continuationSeparator/>
      </w:r>
    </w:p>
  </w:footnote>
  <w:footnote w:id="1">
    <w:p w:rsidR="00975134" w:rsidRDefault="00975134" w:rsidP="0097513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975134">
        <w:rPr>
          <w:sz w:val="20"/>
          <w:rtl/>
        </w:rPr>
        <w:t xml:space="preserve">* </w:t>
      </w:r>
      <w:r>
        <w:rPr>
          <w:sz w:val="20"/>
          <w:rtl/>
        </w:rPr>
        <w:t>פ</w:t>
      </w:r>
      <w:r>
        <w:rPr>
          <w:rFonts w:hint="cs"/>
          <w:sz w:val="20"/>
          <w:rtl/>
        </w:rPr>
        <w:t xml:space="preserve">ורסמו </w:t>
      </w:r>
      <w:hyperlink r:id="rId1" w:history="1">
        <w:r w:rsidRPr="007F5FC4">
          <w:rPr>
            <w:rStyle w:val="Hyperlink"/>
            <w:rFonts w:hint="cs"/>
            <w:sz w:val="20"/>
            <w:rtl/>
          </w:rPr>
          <w:t>ק"ת תשמ"ח מס' 5061</w:t>
        </w:r>
      </w:hyperlink>
      <w:r>
        <w:rPr>
          <w:rFonts w:hint="cs"/>
          <w:sz w:val="20"/>
          <w:rtl/>
        </w:rPr>
        <w:t xml:space="preserve"> מיום 29.10.2987 עמ' 77.</w:t>
      </w:r>
    </w:p>
    <w:p w:rsidR="00391099" w:rsidRDefault="003F1D4F" w:rsidP="0039109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391099">
          <w:rPr>
            <w:rStyle w:val="Hyperlink"/>
            <w:rFonts w:hint="cs"/>
            <w:sz w:val="20"/>
            <w:rtl/>
          </w:rPr>
          <w:t>ק"ת תשע"א מס' 6986</w:t>
        </w:r>
      </w:hyperlink>
      <w:r>
        <w:rPr>
          <w:rFonts w:hint="cs"/>
          <w:sz w:val="20"/>
          <w:rtl/>
        </w:rPr>
        <w:t xml:space="preserve"> מיום 17.3.2011 עמ' 804 </w:t>
      </w:r>
      <w:r>
        <w:rPr>
          <w:sz w:val="20"/>
          <w:rtl/>
        </w:rPr>
        <w:t>–</w:t>
      </w:r>
      <w:r>
        <w:rPr>
          <w:rFonts w:hint="cs"/>
          <w:sz w:val="20"/>
          <w:rtl/>
        </w:rPr>
        <w:t xml:space="preserve"> תק' תשע"א-2011; תחילתן ביום 1.4.2011 ור' תקנה 4 לענין תחולה.</w:t>
      </w:r>
    </w:p>
    <w:p w:rsidR="00C0062F" w:rsidRDefault="00C0062F" w:rsidP="00C0062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21378F" w:rsidRPr="00C0062F">
          <w:rPr>
            <w:rStyle w:val="Hyperlink"/>
            <w:rFonts w:hint="cs"/>
            <w:sz w:val="20"/>
            <w:rtl/>
          </w:rPr>
          <w:t>ק"ת תשפ"א מס' 9213</w:t>
        </w:r>
      </w:hyperlink>
      <w:r w:rsidR="0021378F">
        <w:rPr>
          <w:rFonts w:hint="cs"/>
          <w:sz w:val="20"/>
          <w:rtl/>
        </w:rPr>
        <w:t xml:space="preserve"> מיום 25.2.2021 עמ' 2242 </w:t>
      </w:r>
      <w:r w:rsidR="0021378F">
        <w:rPr>
          <w:sz w:val="20"/>
          <w:rtl/>
        </w:rPr>
        <w:t>–</w:t>
      </w:r>
      <w:r w:rsidR="0021378F">
        <w:rPr>
          <w:rFonts w:hint="cs"/>
          <w:sz w:val="20"/>
          <w:rtl/>
        </w:rPr>
        <w:t xml:space="preserve"> תק' תשפ"א-2021; ר' תקנה 2 לענין תחולה.</w:t>
      </w:r>
    </w:p>
    <w:p w:rsidR="0021378F" w:rsidRPr="00975134" w:rsidRDefault="0021378F" w:rsidP="0021378F">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Pr>
      </w:pPr>
      <w:r>
        <w:rPr>
          <w:rFonts w:hint="cs"/>
          <w:sz w:val="20"/>
          <w:rtl/>
        </w:rPr>
        <w:t>2. תקנות אלה יחולו על הליכים שנפתחו ביום פרסומן או לאחריו.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30C" w:rsidRDefault="008F430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סימני המסחר (ערעור בפני בית המשפט העליון), תשמ"ח 1987-</w:t>
    </w:r>
  </w:p>
  <w:p w:rsidR="008F430C" w:rsidRDefault="008F430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F430C" w:rsidRDefault="008F430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30C" w:rsidRDefault="008F430C" w:rsidP="003F1D4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סימני מסחר (ערעור </w:t>
    </w:r>
    <w:r w:rsidR="003F1D4F">
      <w:rPr>
        <w:rFonts w:hAnsi="FrankRuehl" w:cs="FrankRuehl" w:hint="cs"/>
        <w:color w:val="000000"/>
        <w:sz w:val="28"/>
        <w:szCs w:val="28"/>
        <w:rtl/>
      </w:rPr>
      <w:t>לפני בית משפט מחוזי</w:t>
    </w:r>
    <w:r>
      <w:rPr>
        <w:rFonts w:hAnsi="FrankRuehl" w:cs="FrankRuehl"/>
        <w:color w:val="000000"/>
        <w:sz w:val="28"/>
        <w:szCs w:val="28"/>
        <w:rtl/>
      </w:rPr>
      <w:t>), תשמ"ח</w:t>
    </w:r>
    <w:r w:rsidR="00975134">
      <w:rPr>
        <w:rFonts w:hAnsi="FrankRuehl" w:cs="FrankRuehl" w:hint="cs"/>
        <w:color w:val="000000"/>
        <w:sz w:val="28"/>
        <w:szCs w:val="28"/>
        <w:rtl/>
      </w:rPr>
      <w:t>-</w:t>
    </w:r>
    <w:r>
      <w:rPr>
        <w:rFonts w:hAnsi="FrankRuehl" w:cs="FrankRuehl"/>
        <w:color w:val="000000"/>
        <w:sz w:val="28"/>
        <w:szCs w:val="28"/>
        <w:rtl/>
      </w:rPr>
      <w:t>1987</w:t>
    </w:r>
  </w:p>
  <w:p w:rsidR="008F430C" w:rsidRDefault="008F430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F430C" w:rsidRDefault="008F430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0C09"/>
    <w:rsid w:val="00016158"/>
    <w:rsid w:val="00035CB3"/>
    <w:rsid w:val="000D3219"/>
    <w:rsid w:val="00103A0A"/>
    <w:rsid w:val="0021378F"/>
    <w:rsid w:val="002545EF"/>
    <w:rsid w:val="00300C09"/>
    <w:rsid w:val="0033559A"/>
    <w:rsid w:val="00391099"/>
    <w:rsid w:val="003927CF"/>
    <w:rsid w:val="003D6E09"/>
    <w:rsid w:val="003F1D4F"/>
    <w:rsid w:val="00733E48"/>
    <w:rsid w:val="007624F2"/>
    <w:rsid w:val="007E065B"/>
    <w:rsid w:val="007F5FC4"/>
    <w:rsid w:val="008F430C"/>
    <w:rsid w:val="00932A4F"/>
    <w:rsid w:val="00975134"/>
    <w:rsid w:val="00C0062F"/>
    <w:rsid w:val="00CD6221"/>
    <w:rsid w:val="00DA234B"/>
    <w:rsid w:val="00ED3172"/>
    <w:rsid w:val="00F53B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810E9EA-6611-4B9A-A659-39E42135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customStyle="1" w:styleId="footnote">
    <w:name w:val="footnote"/>
    <w:basedOn w:val="P00"/>
    <w:rsid w:val="007F5FC4"/>
    <w:pPr>
      <w:tabs>
        <w:tab w:val="clear" w:pos="624"/>
        <w:tab w:val="clear" w:pos="1021"/>
        <w:tab w:val="clear" w:pos="1474"/>
        <w:tab w:val="clear" w:pos="1928"/>
        <w:tab w:val="clear" w:pos="2381"/>
        <w:tab w:val="clear" w:pos="2835"/>
        <w:tab w:val="clear" w:pos="6259"/>
      </w:tabs>
      <w:spacing w:before="0"/>
    </w:pPr>
    <w:rPr>
      <w:rFonts w:cs="FrankRuehl"/>
      <w:sz w:val="22"/>
      <w:szCs w:val="22"/>
    </w:rPr>
  </w:style>
  <w:style w:type="paragraph" w:styleId="a5">
    <w:name w:val="footnote text"/>
    <w:basedOn w:val="a"/>
    <w:semiHidden/>
    <w:rsid w:val="00975134"/>
    <w:rPr>
      <w:sz w:val="20"/>
      <w:szCs w:val="20"/>
    </w:rPr>
  </w:style>
  <w:style w:type="character" w:styleId="a6">
    <w:name w:val="footnote reference"/>
    <w:semiHidden/>
    <w:rsid w:val="00975134"/>
    <w:rPr>
      <w:vertAlign w:val="superscript"/>
    </w:rPr>
  </w:style>
  <w:style w:type="character" w:customStyle="1" w:styleId="UnresolvedMention">
    <w:name w:val="Unresolved Mention"/>
    <w:uiPriority w:val="99"/>
    <w:semiHidden/>
    <w:unhideWhenUsed/>
    <w:rsid w:val="00213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986.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6986.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986.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nevo.co.il/law_word/law06/tak-9213.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213.pdf" TargetMode="External"/><Relationship Id="rId2" Type="http://schemas.openxmlformats.org/officeDocument/2006/relationships/hyperlink" Target="http://www.nevo.co.il/Law_word/law06/TAK-6986.pdf" TargetMode="External"/><Relationship Id="rId1" Type="http://schemas.openxmlformats.org/officeDocument/2006/relationships/hyperlink" Target="http://www.nevo.co.il/Law_word/law06/TAK-50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פרק 327</vt:lpstr>
    </vt:vector>
  </TitlesOfParts>
  <Company/>
  <LinksUpToDate>false</LinksUpToDate>
  <CharactersWithSpaces>3058</CharactersWithSpaces>
  <SharedDoc>false</SharedDoc>
  <HLinks>
    <vt:vector size="72" baseType="variant">
      <vt:variant>
        <vt:i4>7798810</vt:i4>
      </vt:variant>
      <vt:variant>
        <vt:i4>39</vt:i4>
      </vt:variant>
      <vt:variant>
        <vt:i4>0</vt:i4>
      </vt:variant>
      <vt:variant>
        <vt:i4>5</vt:i4>
      </vt:variant>
      <vt:variant>
        <vt:lpwstr>https://www.nevo.co.il/law_word/law06/tak-9213.pdf</vt:lpwstr>
      </vt:variant>
      <vt:variant>
        <vt:lpwstr/>
      </vt:variant>
      <vt:variant>
        <vt:i4>7798791</vt:i4>
      </vt:variant>
      <vt:variant>
        <vt:i4>36</vt:i4>
      </vt:variant>
      <vt:variant>
        <vt:i4>0</vt:i4>
      </vt:variant>
      <vt:variant>
        <vt:i4>5</vt:i4>
      </vt:variant>
      <vt:variant>
        <vt:lpwstr>http://www.nevo.co.il/Law_word/law06/tak-6986.pdf</vt:lpwstr>
      </vt:variant>
      <vt:variant>
        <vt:lpwstr/>
      </vt:variant>
      <vt:variant>
        <vt:i4>7798791</vt:i4>
      </vt:variant>
      <vt:variant>
        <vt:i4>33</vt:i4>
      </vt:variant>
      <vt:variant>
        <vt:i4>0</vt:i4>
      </vt:variant>
      <vt:variant>
        <vt:i4>5</vt:i4>
      </vt:variant>
      <vt:variant>
        <vt:lpwstr>http://www.nevo.co.il/Law_word/law06/tak-6986.pdf</vt:lpwstr>
      </vt:variant>
      <vt:variant>
        <vt:lpwstr/>
      </vt:variant>
      <vt:variant>
        <vt:i4>7798791</vt:i4>
      </vt:variant>
      <vt:variant>
        <vt:i4>30</vt:i4>
      </vt:variant>
      <vt:variant>
        <vt:i4>0</vt:i4>
      </vt:variant>
      <vt:variant>
        <vt:i4>5</vt:i4>
      </vt:variant>
      <vt:variant>
        <vt:lpwstr>http://www.nevo.co.il/Law_word/law06/tak-6986.pdf</vt:lpwstr>
      </vt:variant>
      <vt:variant>
        <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7798810</vt:i4>
      </vt:variant>
      <vt:variant>
        <vt:i4>6</vt:i4>
      </vt:variant>
      <vt:variant>
        <vt:i4>0</vt:i4>
      </vt:variant>
      <vt:variant>
        <vt:i4>5</vt:i4>
      </vt:variant>
      <vt:variant>
        <vt:lpwstr>https://www.nevo.co.il/law_word/law06/tak-9213.pdf</vt:lpwstr>
      </vt:variant>
      <vt:variant>
        <vt:lpwstr/>
      </vt:variant>
      <vt:variant>
        <vt:i4>7798791</vt:i4>
      </vt:variant>
      <vt:variant>
        <vt:i4>3</vt:i4>
      </vt:variant>
      <vt:variant>
        <vt:i4>0</vt:i4>
      </vt:variant>
      <vt:variant>
        <vt:i4>5</vt:i4>
      </vt:variant>
      <vt:variant>
        <vt:lpwstr>http://www.nevo.co.il/Law_word/law06/TAK-6986.pdf</vt:lpwstr>
      </vt:variant>
      <vt:variant>
        <vt:lpwstr/>
      </vt:variant>
      <vt:variant>
        <vt:i4>7995401</vt:i4>
      </vt:variant>
      <vt:variant>
        <vt:i4>0</vt:i4>
      </vt:variant>
      <vt:variant>
        <vt:i4>0</vt:i4>
      </vt:variant>
      <vt:variant>
        <vt:i4>5</vt:i4>
      </vt:variant>
      <vt:variant>
        <vt:lpwstr>http://www.nevo.co.il/Law_word/law06/TAK-5061.pdf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327</dc:title>
  <dc:subject/>
  <dc:creator>שני ליימן </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0327</vt:lpwstr>
  </property>
  <property fmtid="{D5CDD505-2E9C-101B-9397-08002B2CF9AE}" pid="3" name="CHNAME">
    <vt:lpwstr>סימני מסחר</vt:lpwstr>
  </property>
  <property fmtid="{D5CDD505-2E9C-101B-9397-08002B2CF9AE}" pid="4" name="LAWNAME">
    <vt:lpwstr>תקנות סימני מסחר (ערעור לפני בית משפט מחוזי), תשמ"ח-1987</vt:lpwstr>
  </property>
  <property fmtid="{D5CDD505-2E9C-101B-9397-08002B2CF9AE}" pid="5" name="LAWNUMBER">
    <vt:lpwstr>0007</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קניין</vt:lpwstr>
  </property>
  <property fmtid="{D5CDD505-2E9C-101B-9397-08002B2CF9AE}" pid="9" name="NOSE31">
    <vt:lpwstr>קניין רוחני</vt:lpwstr>
  </property>
  <property fmtid="{D5CDD505-2E9C-101B-9397-08002B2CF9AE}" pid="10" name="NOSE41">
    <vt:lpwstr>סימני מסחר</vt:lpwstr>
  </property>
  <property fmtid="{D5CDD505-2E9C-101B-9397-08002B2CF9AE}" pid="11" name="NOSE12">
    <vt:lpwstr>בתי משפט וסדרי דין</vt:lpwstr>
  </property>
  <property fmtid="{D5CDD505-2E9C-101B-9397-08002B2CF9AE}" pid="12" name="NOSE22">
    <vt:lpwstr>סדר דין אזרחי</vt:lpwstr>
  </property>
  <property fmtid="{D5CDD505-2E9C-101B-9397-08002B2CF9AE}" pid="13" name="NOSE32">
    <vt:lpwstr>ערעור על החלטות</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בתי משפט ובתי דין</vt:lpwstr>
  </property>
  <property fmtid="{D5CDD505-2E9C-101B-9397-08002B2CF9AE}" pid="17" name="NOSE33">
    <vt:lpwstr>בג"צ וביהמ"ש העליון</vt:lpwstr>
  </property>
  <property fmtid="{D5CDD505-2E9C-101B-9397-08002B2CF9AE}" pid="18" name="NOSE43">
    <vt:lpwstr/>
  </property>
  <property fmtid="{D5CDD505-2E9C-101B-9397-08002B2CF9AE}" pid="19" name="NOSE14">
    <vt:lpwstr>משפט פרטי וכלכלה</vt:lpwstr>
  </property>
  <property fmtid="{D5CDD505-2E9C-101B-9397-08002B2CF9AE}" pid="20" name="NOSE24">
    <vt:lpwstr>מסחר </vt:lpwstr>
  </property>
  <property fmtid="{D5CDD505-2E9C-101B-9397-08002B2CF9AE}" pid="21" name="NOSE34">
    <vt:lpwstr>סחר</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סימני מסחר [נוסח חדש]</vt:lpwstr>
  </property>
  <property fmtid="{D5CDD505-2E9C-101B-9397-08002B2CF9AE}" pid="48" name="MEKOR_SAIF1">
    <vt:lpwstr>71X</vt:lpwstr>
  </property>
  <property fmtid="{D5CDD505-2E9C-101B-9397-08002B2CF9AE}" pid="49" name="MEKOR_NAME2">
    <vt:lpwstr>חוק בתי המשפט [נוסח משולב]</vt:lpwstr>
  </property>
  <property fmtid="{D5CDD505-2E9C-101B-9397-08002B2CF9AE}" pid="50" name="MEKOR_SAIF2">
    <vt:lpwstr>108X</vt:lpwstr>
  </property>
  <property fmtid="{D5CDD505-2E9C-101B-9397-08002B2CF9AE}" pid="51" name="MEKORSAMCHUT">
    <vt:lpwstr/>
  </property>
  <property fmtid="{D5CDD505-2E9C-101B-9397-08002B2CF9AE}" pid="52" name="LINKK1">
    <vt:lpwstr>http://www.nevo.co.il/Law_word/law06/TAK-6986.pdf;‎רשומות - תקנות כלליות#תוקנו ק"ת תשע"א מס' ‏‏6986 #מיום 17.3.2011 עמ' 804 – תק' תשע"א-2011; תחילתן ביום 1.4.2011 ור' תקנה 4 לענין תחולה</vt:lpwstr>
  </property>
  <property fmtid="{D5CDD505-2E9C-101B-9397-08002B2CF9AE}" pid="53" name="LINKK2">
    <vt:lpwstr>https://www.nevo.co.il/law_word/law06/tak-9213.pdf;‎רשומות - תקנות כלליות#ק"ת תשפ"א מס' 9213 ‏‏#מיום 25.2.2021 עמ' 2242 – תק' תשפ"א-2021; ר' תקנה 2 לענין תחולה</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