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7F5FD" w14:textId="77777777" w:rsidR="007B6E62" w:rsidRDefault="007B6E62" w:rsidP="00BE1429">
      <w:pPr>
        <w:pStyle w:val="big-header"/>
        <w:ind w:left="0" w:right="1134"/>
        <w:rPr>
          <w:rFonts w:cs="FrankRuehl" w:hint="cs"/>
          <w:sz w:val="32"/>
          <w:rtl/>
        </w:rPr>
      </w:pPr>
      <w:r>
        <w:rPr>
          <w:rFonts w:cs="FrankRuehl"/>
          <w:sz w:val="32"/>
          <w:rtl/>
        </w:rPr>
        <w:t>תקנות ערבות למשכנתאות, תשט"ו</w:t>
      </w:r>
      <w:r w:rsidR="00BE1429">
        <w:rPr>
          <w:rFonts w:cs="FrankRuehl" w:hint="cs"/>
          <w:sz w:val="32"/>
          <w:rtl/>
        </w:rPr>
        <w:t>-</w:t>
      </w:r>
      <w:r>
        <w:rPr>
          <w:rFonts w:cs="FrankRuehl"/>
          <w:sz w:val="32"/>
          <w:rtl/>
        </w:rPr>
        <w:t>1955</w:t>
      </w:r>
    </w:p>
    <w:p w14:paraId="1C44E246" w14:textId="77777777" w:rsidR="00582BD4" w:rsidRDefault="00582BD4" w:rsidP="00582BD4">
      <w:pPr>
        <w:spacing w:line="320" w:lineRule="auto"/>
        <w:jc w:val="left"/>
        <w:rPr>
          <w:rFonts w:hint="cs"/>
          <w:rtl/>
        </w:rPr>
      </w:pPr>
    </w:p>
    <w:p w14:paraId="19A9588C" w14:textId="77777777" w:rsidR="00984C9B" w:rsidRDefault="00984C9B" w:rsidP="00582BD4">
      <w:pPr>
        <w:spacing w:line="320" w:lineRule="auto"/>
        <w:jc w:val="left"/>
        <w:rPr>
          <w:rFonts w:hint="cs"/>
          <w:rtl/>
        </w:rPr>
      </w:pPr>
    </w:p>
    <w:p w14:paraId="10B6A06B" w14:textId="77777777" w:rsidR="00582BD4" w:rsidRPr="00582BD4" w:rsidRDefault="00582BD4" w:rsidP="00582BD4">
      <w:pPr>
        <w:spacing w:line="320" w:lineRule="auto"/>
        <w:jc w:val="left"/>
        <w:rPr>
          <w:rFonts w:cs="Miriam" w:hint="cs"/>
          <w:szCs w:val="22"/>
          <w:rtl/>
        </w:rPr>
      </w:pPr>
      <w:r w:rsidRPr="00582BD4">
        <w:rPr>
          <w:rFonts w:cs="Miriam"/>
          <w:szCs w:val="22"/>
          <w:rtl/>
        </w:rPr>
        <w:t>משפט פרטי וכלכלה</w:t>
      </w:r>
      <w:r w:rsidRPr="00582BD4">
        <w:rPr>
          <w:rFonts w:cs="FrankRuehl"/>
          <w:szCs w:val="26"/>
          <w:rtl/>
        </w:rPr>
        <w:t xml:space="preserve"> – חיובים – ערבות – מטעם המדינה</w:t>
      </w:r>
    </w:p>
    <w:p w14:paraId="4934ED21" w14:textId="77777777" w:rsidR="007B6E62" w:rsidRDefault="007B6E62">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7B6E62" w14:paraId="2C15DA72" w14:textId="77777777">
        <w:tblPrEx>
          <w:tblCellMar>
            <w:top w:w="0" w:type="dxa"/>
            <w:bottom w:w="0" w:type="dxa"/>
          </w:tblCellMar>
        </w:tblPrEx>
        <w:tc>
          <w:tcPr>
            <w:tcW w:w="850" w:type="dxa"/>
          </w:tcPr>
          <w:p w14:paraId="0E79F70A" w14:textId="77777777" w:rsidR="007B6E62" w:rsidRDefault="007B6E62">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BE1429">
              <w:rPr>
                <w:noProof/>
                <w:sz w:val="24"/>
                <w:rtl/>
              </w:rPr>
              <w:t>2</w:t>
            </w:r>
            <w:r>
              <w:rPr>
                <w:sz w:val="24"/>
                <w:rtl/>
              </w:rPr>
              <w:fldChar w:fldCharType="end"/>
            </w:r>
          </w:p>
        </w:tc>
        <w:tc>
          <w:tcPr>
            <w:tcW w:w="567" w:type="dxa"/>
          </w:tcPr>
          <w:p w14:paraId="7806EB42" w14:textId="77777777" w:rsidR="007B6E62" w:rsidRDefault="007B6E62">
            <w:pPr>
              <w:spacing w:line="240" w:lineRule="auto"/>
              <w:rPr>
                <w:sz w:val="24"/>
              </w:rPr>
            </w:pPr>
            <w:hyperlink w:anchor="Seif0" w:tooltip="הגדרות" w:history="1">
              <w:r>
                <w:rPr>
                  <w:rStyle w:val="Hyperlink"/>
                </w:rPr>
                <w:t>Go</w:t>
              </w:r>
            </w:hyperlink>
          </w:p>
        </w:tc>
        <w:tc>
          <w:tcPr>
            <w:tcW w:w="5669" w:type="dxa"/>
          </w:tcPr>
          <w:p w14:paraId="3C7C3EC2" w14:textId="77777777" w:rsidR="007B6E62" w:rsidRDefault="007B6E62">
            <w:pPr>
              <w:spacing w:line="240" w:lineRule="auto"/>
              <w:rPr>
                <w:sz w:val="24"/>
                <w:rtl/>
              </w:rPr>
            </w:pPr>
            <w:r>
              <w:rPr>
                <w:sz w:val="24"/>
                <w:rtl/>
              </w:rPr>
              <w:t>הגדרות</w:t>
            </w:r>
          </w:p>
        </w:tc>
        <w:tc>
          <w:tcPr>
            <w:tcW w:w="1247" w:type="dxa"/>
          </w:tcPr>
          <w:p w14:paraId="05807504" w14:textId="77777777" w:rsidR="007B6E62" w:rsidRDefault="007B6E62">
            <w:pPr>
              <w:spacing w:line="240" w:lineRule="auto"/>
              <w:rPr>
                <w:sz w:val="24"/>
              </w:rPr>
            </w:pPr>
            <w:r>
              <w:rPr>
                <w:sz w:val="24"/>
                <w:rtl/>
              </w:rPr>
              <w:t xml:space="preserve">סעיף 1 </w:t>
            </w:r>
          </w:p>
        </w:tc>
      </w:tr>
      <w:tr w:rsidR="007B6E62" w14:paraId="514007B7" w14:textId="77777777">
        <w:tblPrEx>
          <w:tblCellMar>
            <w:top w:w="0" w:type="dxa"/>
            <w:bottom w:w="0" w:type="dxa"/>
          </w:tblCellMar>
        </w:tblPrEx>
        <w:tc>
          <w:tcPr>
            <w:tcW w:w="850" w:type="dxa"/>
          </w:tcPr>
          <w:p w14:paraId="5D69FF89" w14:textId="77777777" w:rsidR="007B6E62" w:rsidRDefault="007B6E62">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BE1429">
              <w:rPr>
                <w:noProof/>
                <w:sz w:val="24"/>
                <w:rtl/>
              </w:rPr>
              <w:t>2</w:t>
            </w:r>
            <w:r>
              <w:rPr>
                <w:sz w:val="24"/>
                <w:rtl/>
              </w:rPr>
              <w:fldChar w:fldCharType="end"/>
            </w:r>
          </w:p>
        </w:tc>
        <w:tc>
          <w:tcPr>
            <w:tcW w:w="567" w:type="dxa"/>
          </w:tcPr>
          <w:p w14:paraId="467D067B" w14:textId="77777777" w:rsidR="007B6E62" w:rsidRDefault="007B6E62">
            <w:pPr>
              <w:spacing w:line="240" w:lineRule="auto"/>
              <w:rPr>
                <w:sz w:val="24"/>
              </w:rPr>
            </w:pPr>
            <w:hyperlink w:anchor="Seif1" w:tooltip="בקשה למתן ערבות" w:history="1">
              <w:r>
                <w:rPr>
                  <w:rStyle w:val="Hyperlink"/>
                </w:rPr>
                <w:t>Go</w:t>
              </w:r>
            </w:hyperlink>
          </w:p>
        </w:tc>
        <w:tc>
          <w:tcPr>
            <w:tcW w:w="5669" w:type="dxa"/>
          </w:tcPr>
          <w:p w14:paraId="456E831C" w14:textId="77777777" w:rsidR="007B6E62" w:rsidRDefault="007B6E62">
            <w:pPr>
              <w:spacing w:line="240" w:lineRule="auto"/>
              <w:rPr>
                <w:sz w:val="24"/>
                <w:rtl/>
              </w:rPr>
            </w:pPr>
            <w:r>
              <w:rPr>
                <w:sz w:val="24"/>
                <w:rtl/>
              </w:rPr>
              <w:t>בקשה למתן ערבות</w:t>
            </w:r>
          </w:p>
        </w:tc>
        <w:tc>
          <w:tcPr>
            <w:tcW w:w="1247" w:type="dxa"/>
          </w:tcPr>
          <w:p w14:paraId="3BA8AEA0" w14:textId="77777777" w:rsidR="007B6E62" w:rsidRDefault="007B6E62">
            <w:pPr>
              <w:spacing w:line="240" w:lineRule="auto"/>
              <w:rPr>
                <w:sz w:val="24"/>
              </w:rPr>
            </w:pPr>
            <w:r>
              <w:rPr>
                <w:sz w:val="24"/>
                <w:rtl/>
              </w:rPr>
              <w:t xml:space="preserve">סעיף 2 </w:t>
            </w:r>
          </w:p>
        </w:tc>
      </w:tr>
      <w:tr w:rsidR="007B6E62" w14:paraId="1DDCBB7B" w14:textId="77777777">
        <w:tblPrEx>
          <w:tblCellMar>
            <w:top w:w="0" w:type="dxa"/>
            <w:bottom w:w="0" w:type="dxa"/>
          </w:tblCellMar>
        </w:tblPrEx>
        <w:tc>
          <w:tcPr>
            <w:tcW w:w="850" w:type="dxa"/>
          </w:tcPr>
          <w:p w14:paraId="2074DE49" w14:textId="77777777" w:rsidR="007B6E62" w:rsidRDefault="007B6E62">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BE1429">
              <w:rPr>
                <w:noProof/>
                <w:sz w:val="24"/>
                <w:rtl/>
              </w:rPr>
              <w:t>2</w:t>
            </w:r>
            <w:r>
              <w:rPr>
                <w:sz w:val="24"/>
                <w:rtl/>
              </w:rPr>
              <w:fldChar w:fldCharType="end"/>
            </w:r>
          </w:p>
        </w:tc>
        <w:tc>
          <w:tcPr>
            <w:tcW w:w="567" w:type="dxa"/>
          </w:tcPr>
          <w:p w14:paraId="3E805217" w14:textId="77777777" w:rsidR="007B6E62" w:rsidRDefault="007B6E62">
            <w:pPr>
              <w:spacing w:line="240" w:lineRule="auto"/>
              <w:rPr>
                <w:sz w:val="24"/>
              </w:rPr>
            </w:pPr>
            <w:hyperlink w:anchor="Seif2" w:tooltip="פרטי הבקשה" w:history="1">
              <w:r>
                <w:rPr>
                  <w:rStyle w:val="Hyperlink"/>
                </w:rPr>
                <w:t>Go</w:t>
              </w:r>
            </w:hyperlink>
          </w:p>
        </w:tc>
        <w:tc>
          <w:tcPr>
            <w:tcW w:w="5669" w:type="dxa"/>
          </w:tcPr>
          <w:p w14:paraId="5BD9FF57" w14:textId="77777777" w:rsidR="007B6E62" w:rsidRDefault="007B6E62">
            <w:pPr>
              <w:spacing w:line="240" w:lineRule="auto"/>
              <w:rPr>
                <w:sz w:val="24"/>
                <w:rtl/>
              </w:rPr>
            </w:pPr>
            <w:r>
              <w:rPr>
                <w:sz w:val="24"/>
                <w:rtl/>
              </w:rPr>
              <w:t>פרטי הבקשה</w:t>
            </w:r>
          </w:p>
        </w:tc>
        <w:tc>
          <w:tcPr>
            <w:tcW w:w="1247" w:type="dxa"/>
          </w:tcPr>
          <w:p w14:paraId="55259548" w14:textId="77777777" w:rsidR="007B6E62" w:rsidRDefault="007B6E62">
            <w:pPr>
              <w:spacing w:line="240" w:lineRule="auto"/>
              <w:rPr>
                <w:sz w:val="24"/>
              </w:rPr>
            </w:pPr>
            <w:r>
              <w:rPr>
                <w:sz w:val="24"/>
                <w:rtl/>
              </w:rPr>
              <w:t xml:space="preserve">סעיף 3 </w:t>
            </w:r>
          </w:p>
        </w:tc>
      </w:tr>
      <w:tr w:rsidR="007B6E62" w14:paraId="5D0067F6" w14:textId="77777777">
        <w:tblPrEx>
          <w:tblCellMar>
            <w:top w:w="0" w:type="dxa"/>
            <w:bottom w:w="0" w:type="dxa"/>
          </w:tblCellMar>
        </w:tblPrEx>
        <w:tc>
          <w:tcPr>
            <w:tcW w:w="850" w:type="dxa"/>
          </w:tcPr>
          <w:p w14:paraId="38112CBC" w14:textId="77777777" w:rsidR="007B6E62" w:rsidRDefault="007B6E62">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BE1429">
              <w:rPr>
                <w:noProof/>
                <w:sz w:val="24"/>
                <w:rtl/>
              </w:rPr>
              <w:t>2</w:t>
            </w:r>
            <w:r>
              <w:rPr>
                <w:sz w:val="24"/>
                <w:rtl/>
              </w:rPr>
              <w:fldChar w:fldCharType="end"/>
            </w:r>
          </w:p>
        </w:tc>
        <w:tc>
          <w:tcPr>
            <w:tcW w:w="567" w:type="dxa"/>
          </w:tcPr>
          <w:p w14:paraId="05EDF3FA" w14:textId="77777777" w:rsidR="007B6E62" w:rsidRDefault="007B6E62">
            <w:pPr>
              <w:spacing w:line="240" w:lineRule="auto"/>
              <w:rPr>
                <w:sz w:val="24"/>
              </w:rPr>
            </w:pPr>
            <w:hyperlink w:anchor="Seif3" w:tooltip="תנאי משכנתה" w:history="1">
              <w:r>
                <w:rPr>
                  <w:rStyle w:val="Hyperlink"/>
                </w:rPr>
                <w:t>Go</w:t>
              </w:r>
            </w:hyperlink>
          </w:p>
        </w:tc>
        <w:tc>
          <w:tcPr>
            <w:tcW w:w="5669" w:type="dxa"/>
          </w:tcPr>
          <w:p w14:paraId="14B582D5" w14:textId="77777777" w:rsidR="007B6E62" w:rsidRDefault="007B6E62">
            <w:pPr>
              <w:spacing w:line="240" w:lineRule="auto"/>
              <w:rPr>
                <w:sz w:val="24"/>
                <w:rtl/>
              </w:rPr>
            </w:pPr>
            <w:r>
              <w:rPr>
                <w:sz w:val="24"/>
                <w:rtl/>
              </w:rPr>
              <w:t>תנאי משכנתה</w:t>
            </w:r>
          </w:p>
        </w:tc>
        <w:tc>
          <w:tcPr>
            <w:tcW w:w="1247" w:type="dxa"/>
          </w:tcPr>
          <w:p w14:paraId="1268E406" w14:textId="77777777" w:rsidR="007B6E62" w:rsidRDefault="007B6E62">
            <w:pPr>
              <w:spacing w:line="240" w:lineRule="auto"/>
              <w:rPr>
                <w:sz w:val="24"/>
              </w:rPr>
            </w:pPr>
            <w:r>
              <w:rPr>
                <w:sz w:val="24"/>
                <w:rtl/>
              </w:rPr>
              <w:t xml:space="preserve">סעיף 4 </w:t>
            </w:r>
          </w:p>
        </w:tc>
      </w:tr>
      <w:tr w:rsidR="007B6E62" w14:paraId="67636689" w14:textId="77777777">
        <w:tblPrEx>
          <w:tblCellMar>
            <w:top w:w="0" w:type="dxa"/>
            <w:bottom w:w="0" w:type="dxa"/>
          </w:tblCellMar>
        </w:tblPrEx>
        <w:tc>
          <w:tcPr>
            <w:tcW w:w="850" w:type="dxa"/>
          </w:tcPr>
          <w:p w14:paraId="73A12187" w14:textId="77777777" w:rsidR="007B6E62" w:rsidRDefault="007B6E62">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BE1429">
              <w:rPr>
                <w:noProof/>
                <w:sz w:val="24"/>
                <w:rtl/>
              </w:rPr>
              <w:t>2</w:t>
            </w:r>
            <w:r>
              <w:rPr>
                <w:sz w:val="24"/>
                <w:rtl/>
              </w:rPr>
              <w:fldChar w:fldCharType="end"/>
            </w:r>
          </w:p>
        </w:tc>
        <w:tc>
          <w:tcPr>
            <w:tcW w:w="567" w:type="dxa"/>
          </w:tcPr>
          <w:p w14:paraId="07903E18" w14:textId="77777777" w:rsidR="007B6E62" w:rsidRDefault="007B6E62">
            <w:pPr>
              <w:spacing w:line="240" w:lineRule="auto"/>
              <w:rPr>
                <w:sz w:val="24"/>
              </w:rPr>
            </w:pPr>
            <w:hyperlink w:anchor="Seif4" w:tooltip="הודעה על פיגורים והוצאה לפועל" w:history="1">
              <w:r>
                <w:rPr>
                  <w:rStyle w:val="Hyperlink"/>
                </w:rPr>
                <w:t>Go</w:t>
              </w:r>
            </w:hyperlink>
          </w:p>
        </w:tc>
        <w:tc>
          <w:tcPr>
            <w:tcW w:w="5669" w:type="dxa"/>
          </w:tcPr>
          <w:p w14:paraId="43AAD08C" w14:textId="77777777" w:rsidR="007B6E62" w:rsidRDefault="007B6E62">
            <w:pPr>
              <w:spacing w:line="240" w:lineRule="auto"/>
              <w:rPr>
                <w:sz w:val="24"/>
                <w:rtl/>
              </w:rPr>
            </w:pPr>
            <w:r>
              <w:rPr>
                <w:sz w:val="24"/>
                <w:rtl/>
              </w:rPr>
              <w:t>הודעה על פיגורים והוצאה לפועל</w:t>
            </w:r>
          </w:p>
        </w:tc>
        <w:tc>
          <w:tcPr>
            <w:tcW w:w="1247" w:type="dxa"/>
          </w:tcPr>
          <w:p w14:paraId="0B0F5CAF" w14:textId="77777777" w:rsidR="007B6E62" w:rsidRDefault="007B6E62">
            <w:pPr>
              <w:spacing w:line="240" w:lineRule="auto"/>
              <w:rPr>
                <w:sz w:val="24"/>
              </w:rPr>
            </w:pPr>
            <w:r>
              <w:rPr>
                <w:sz w:val="24"/>
                <w:rtl/>
              </w:rPr>
              <w:t xml:space="preserve">סעיף 5 </w:t>
            </w:r>
          </w:p>
        </w:tc>
      </w:tr>
      <w:tr w:rsidR="007B6E62" w14:paraId="33BE6717" w14:textId="77777777">
        <w:tblPrEx>
          <w:tblCellMar>
            <w:top w:w="0" w:type="dxa"/>
            <w:bottom w:w="0" w:type="dxa"/>
          </w:tblCellMar>
        </w:tblPrEx>
        <w:tc>
          <w:tcPr>
            <w:tcW w:w="850" w:type="dxa"/>
          </w:tcPr>
          <w:p w14:paraId="6B61821D" w14:textId="77777777" w:rsidR="007B6E62" w:rsidRDefault="007B6E62">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BE1429">
              <w:rPr>
                <w:noProof/>
                <w:sz w:val="24"/>
                <w:rtl/>
              </w:rPr>
              <w:t>3</w:t>
            </w:r>
            <w:r>
              <w:rPr>
                <w:sz w:val="24"/>
                <w:rtl/>
              </w:rPr>
              <w:fldChar w:fldCharType="end"/>
            </w:r>
          </w:p>
        </w:tc>
        <w:tc>
          <w:tcPr>
            <w:tcW w:w="567" w:type="dxa"/>
          </w:tcPr>
          <w:p w14:paraId="16C98567" w14:textId="77777777" w:rsidR="007B6E62" w:rsidRDefault="007B6E62">
            <w:pPr>
              <w:spacing w:line="240" w:lineRule="auto"/>
              <w:rPr>
                <w:sz w:val="24"/>
              </w:rPr>
            </w:pPr>
            <w:hyperlink w:anchor="Seif5" w:tooltip="הוצאה לפועל" w:history="1">
              <w:r>
                <w:rPr>
                  <w:rStyle w:val="Hyperlink"/>
                </w:rPr>
                <w:t>Go</w:t>
              </w:r>
            </w:hyperlink>
          </w:p>
        </w:tc>
        <w:tc>
          <w:tcPr>
            <w:tcW w:w="5669" w:type="dxa"/>
          </w:tcPr>
          <w:p w14:paraId="4C0F856D" w14:textId="77777777" w:rsidR="007B6E62" w:rsidRDefault="007B6E62">
            <w:pPr>
              <w:spacing w:line="240" w:lineRule="auto"/>
              <w:rPr>
                <w:sz w:val="24"/>
                <w:rtl/>
              </w:rPr>
            </w:pPr>
            <w:r>
              <w:rPr>
                <w:sz w:val="24"/>
                <w:rtl/>
              </w:rPr>
              <w:t>הוצאה לפועל</w:t>
            </w:r>
          </w:p>
        </w:tc>
        <w:tc>
          <w:tcPr>
            <w:tcW w:w="1247" w:type="dxa"/>
          </w:tcPr>
          <w:p w14:paraId="0A7E8B9B" w14:textId="77777777" w:rsidR="007B6E62" w:rsidRDefault="007B6E62">
            <w:pPr>
              <w:spacing w:line="240" w:lineRule="auto"/>
              <w:rPr>
                <w:sz w:val="24"/>
              </w:rPr>
            </w:pPr>
            <w:r>
              <w:rPr>
                <w:sz w:val="24"/>
                <w:rtl/>
              </w:rPr>
              <w:t xml:space="preserve">סעיף 6 </w:t>
            </w:r>
          </w:p>
        </w:tc>
      </w:tr>
      <w:tr w:rsidR="007B6E62" w14:paraId="17CC6A33" w14:textId="77777777">
        <w:tblPrEx>
          <w:tblCellMar>
            <w:top w:w="0" w:type="dxa"/>
            <w:bottom w:w="0" w:type="dxa"/>
          </w:tblCellMar>
        </w:tblPrEx>
        <w:tc>
          <w:tcPr>
            <w:tcW w:w="850" w:type="dxa"/>
          </w:tcPr>
          <w:p w14:paraId="2A85B686" w14:textId="77777777" w:rsidR="007B6E62" w:rsidRDefault="007B6E62">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BE1429">
              <w:rPr>
                <w:noProof/>
                <w:sz w:val="24"/>
                <w:rtl/>
              </w:rPr>
              <w:t>3</w:t>
            </w:r>
            <w:r>
              <w:rPr>
                <w:sz w:val="24"/>
                <w:rtl/>
              </w:rPr>
              <w:fldChar w:fldCharType="end"/>
            </w:r>
          </w:p>
        </w:tc>
        <w:tc>
          <w:tcPr>
            <w:tcW w:w="567" w:type="dxa"/>
          </w:tcPr>
          <w:p w14:paraId="66B7EBFF" w14:textId="77777777" w:rsidR="007B6E62" w:rsidRDefault="007B6E62">
            <w:pPr>
              <w:spacing w:line="240" w:lineRule="auto"/>
              <w:rPr>
                <w:sz w:val="24"/>
              </w:rPr>
            </w:pPr>
            <w:hyperlink w:anchor="Seif6" w:tooltip="דין וחשבון" w:history="1">
              <w:r>
                <w:rPr>
                  <w:rStyle w:val="Hyperlink"/>
                </w:rPr>
                <w:t>Go</w:t>
              </w:r>
            </w:hyperlink>
          </w:p>
        </w:tc>
        <w:tc>
          <w:tcPr>
            <w:tcW w:w="5669" w:type="dxa"/>
          </w:tcPr>
          <w:p w14:paraId="38E5941E" w14:textId="77777777" w:rsidR="007B6E62" w:rsidRDefault="007B6E62">
            <w:pPr>
              <w:spacing w:line="240" w:lineRule="auto"/>
              <w:rPr>
                <w:sz w:val="24"/>
                <w:rtl/>
              </w:rPr>
            </w:pPr>
            <w:r>
              <w:rPr>
                <w:sz w:val="24"/>
                <w:rtl/>
              </w:rPr>
              <w:t>דין וחשבון</w:t>
            </w:r>
          </w:p>
        </w:tc>
        <w:tc>
          <w:tcPr>
            <w:tcW w:w="1247" w:type="dxa"/>
          </w:tcPr>
          <w:p w14:paraId="5A700DC0" w14:textId="77777777" w:rsidR="007B6E62" w:rsidRDefault="007B6E62">
            <w:pPr>
              <w:spacing w:line="240" w:lineRule="auto"/>
              <w:rPr>
                <w:sz w:val="24"/>
              </w:rPr>
            </w:pPr>
            <w:r>
              <w:rPr>
                <w:sz w:val="24"/>
                <w:rtl/>
              </w:rPr>
              <w:t xml:space="preserve">סעיף 7 </w:t>
            </w:r>
          </w:p>
        </w:tc>
      </w:tr>
      <w:tr w:rsidR="007B6E62" w14:paraId="7A1A47CF" w14:textId="77777777">
        <w:tblPrEx>
          <w:tblCellMar>
            <w:top w:w="0" w:type="dxa"/>
            <w:bottom w:w="0" w:type="dxa"/>
          </w:tblCellMar>
        </w:tblPrEx>
        <w:tc>
          <w:tcPr>
            <w:tcW w:w="850" w:type="dxa"/>
          </w:tcPr>
          <w:p w14:paraId="1812EC23" w14:textId="77777777" w:rsidR="007B6E62" w:rsidRDefault="007B6E62">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BE1429">
              <w:rPr>
                <w:noProof/>
                <w:sz w:val="24"/>
                <w:rtl/>
              </w:rPr>
              <w:t>3</w:t>
            </w:r>
            <w:r>
              <w:rPr>
                <w:sz w:val="24"/>
                <w:rtl/>
              </w:rPr>
              <w:fldChar w:fldCharType="end"/>
            </w:r>
          </w:p>
        </w:tc>
        <w:tc>
          <w:tcPr>
            <w:tcW w:w="567" w:type="dxa"/>
          </w:tcPr>
          <w:p w14:paraId="28F9CABD" w14:textId="77777777" w:rsidR="007B6E62" w:rsidRDefault="007B6E62">
            <w:pPr>
              <w:spacing w:line="240" w:lineRule="auto"/>
              <w:rPr>
                <w:sz w:val="24"/>
              </w:rPr>
            </w:pPr>
            <w:hyperlink w:anchor="Seif7" w:tooltip="השם" w:history="1">
              <w:r>
                <w:rPr>
                  <w:rStyle w:val="Hyperlink"/>
                </w:rPr>
                <w:t>Go</w:t>
              </w:r>
            </w:hyperlink>
          </w:p>
        </w:tc>
        <w:tc>
          <w:tcPr>
            <w:tcW w:w="5669" w:type="dxa"/>
          </w:tcPr>
          <w:p w14:paraId="11E38E34" w14:textId="77777777" w:rsidR="007B6E62" w:rsidRDefault="007B6E62">
            <w:pPr>
              <w:spacing w:line="240" w:lineRule="auto"/>
              <w:rPr>
                <w:sz w:val="24"/>
                <w:rtl/>
              </w:rPr>
            </w:pPr>
            <w:r>
              <w:rPr>
                <w:sz w:val="24"/>
                <w:rtl/>
              </w:rPr>
              <w:t>השם</w:t>
            </w:r>
          </w:p>
        </w:tc>
        <w:tc>
          <w:tcPr>
            <w:tcW w:w="1247" w:type="dxa"/>
          </w:tcPr>
          <w:p w14:paraId="61D316B0" w14:textId="77777777" w:rsidR="007B6E62" w:rsidRDefault="007B6E62">
            <w:pPr>
              <w:spacing w:line="240" w:lineRule="auto"/>
              <w:rPr>
                <w:sz w:val="24"/>
              </w:rPr>
            </w:pPr>
            <w:r>
              <w:rPr>
                <w:sz w:val="24"/>
                <w:rtl/>
              </w:rPr>
              <w:t xml:space="preserve">סעיף 8 </w:t>
            </w:r>
          </w:p>
        </w:tc>
      </w:tr>
      <w:tr w:rsidR="007B6E62" w14:paraId="1E55AA37" w14:textId="77777777">
        <w:tblPrEx>
          <w:tblCellMar>
            <w:top w:w="0" w:type="dxa"/>
            <w:bottom w:w="0" w:type="dxa"/>
          </w:tblCellMar>
        </w:tblPrEx>
        <w:tc>
          <w:tcPr>
            <w:tcW w:w="850" w:type="dxa"/>
          </w:tcPr>
          <w:p w14:paraId="5D41C34A" w14:textId="77777777" w:rsidR="007B6E62" w:rsidRDefault="007B6E62">
            <w:pPr>
              <w:spacing w:line="240" w:lineRule="auto"/>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sidR="00BE1429">
              <w:rPr>
                <w:noProof/>
                <w:sz w:val="24"/>
                <w:rtl/>
              </w:rPr>
              <w:t>3</w:t>
            </w:r>
            <w:r>
              <w:rPr>
                <w:sz w:val="24"/>
                <w:rtl/>
              </w:rPr>
              <w:fldChar w:fldCharType="end"/>
            </w:r>
          </w:p>
        </w:tc>
        <w:tc>
          <w:tcPr>
            <w:tcW w:w="567" w:type="dxa"/>
          </w:tcPr>
          <w:p w14:paraId="3EEDC7B9" w14:textId="77777777" w:rsidR="007B6E62" w:rsidRDefault="007B6E62">
            <w:pPr>
              <w:spacing w:line="240" w:lineRule="auto"/>
              <w:rPr>
                <w:sz w:val="24"/>
              </w:rPr>
            </w:pPr>
            <w:hyperlink w:anchor="med0" w:tooltip="תוספת" w:history="1">
              <w:r>
                <w:rPr>
                  <w:rStyle w:val="Hyperlink"/>
                </w:rPr>
                <w:t>Go</w:t>
              </w:r>
            </w:hyperlink>
          </w:p>
        </w:tc>
        <w:tc>
          <w:tcPr>
            <w:tcW w:w="5669" w:type="dxa"/>
          </w:tcPr>
          <w:p w14:paraId="4313D5E1" w14:textId="77777777" w:rsidR="007B6E62" w:rsidRDefault="007B6E62">
            <w:pPr>
              <w:spacing w:line="240" w:lineRule="auto"/>
              <w:rPr>
                <w:sz w:val="24"/>
              </w:rPr>
            </w:pPr>
            <w:r>
              <w:rPr>
                <w:sz w:val="24"/>
                <w:rtl/>
              </w:rPr>
              <w:t>תוספת</w:t>
            </w:r>
          </w:p>
        </w:tc>
        <w:tc>
          <w:tcPr>
            <w:tcW w:w="1247" w:type="dxa"/>
          </w:tcPr>
          <w:p w14:paraId="6B00F220" w14:textId="77777777" w:rsidR="007B6E62" w:rsidRDefault="007B6E62">
            <w:pPr>
              <w:spacing w:line="240" w:lineRule="auto"/>
              <w:rPr>
                <w:sz w:val="24"/>
              </w:rPr>
            </w:pPr>
          </w:p>
        </w:tc>
      </w:tr>
    </w:tbl>
    <w:p w14:paraId="576FCBBB" w14:textId="77777777" w:rsidR="007B6E62" w:rsidRDefault="007B6E62">
      <w:pPr>
        <w:pStyle w:val="big-header"/>
        <w:ind w:left="0" w:right="1134"/>
        <w:rPr>
          <w:rFonts w:cs="FrankRuehl"/>
          <w:sz w:val="32"/>
          <w:rtl/>
        </w:rPr>
      </w:pPr>
    </w:p>
    <w:p w14:paraId="76E7B745" w14:textId="77777777" w:rsidR="007B6E62" w:rsidRDefault="007B6E62" w:rsidP="00BE1429">
      <w:pPr>
        <w:pStyle w:val="big-header"/>
        <w:ind w:left="0" w:right="1134"/>
        <w:rPr>
          <w:rStyle w:val="default"/>
          <w:rFonts w:cs="FrankRuehl" w:hint="cs"/>
          <w:rtl/>
        </w:rPr>
      </w:pPr>
      <w:r>
        <w:rPr>
          <w:rFonts w:cs="FrankRuehl"/>
          <w:sz w:val="32"/>
          <w:rtl/>
        </w:rPr>
        <w:br w:type="page"/>
      </w:r>
      <w:r>
        <w:rPr>
          <w:rFonts w:cs="FrankRuehl"/>
          <w:sz w:val="32"/>
          <w:rtl/>
        </w:rPr>
        <w:lastRenderedPageBreak/>
        <w:t>תק</w:t>
      </w:r>
      <w:r>
        <w:rPr>
          <w:rFonts w:cs="FrankRuehl" w:hint="cs"/>
          <w:sz w:val="32"/>
          <w:rtl/>
        </w:rPr>
        <w:t>נות ערבות למשכנתאות, תשט"ו</w:t>
      </w:r>
      <w:r w:rsidR="00BE1429">
        <w:rPr>
          <w:rFonts w:cs="FrankRuehl" w:hint="cs"/>
          <w:sz w:val="32"/>
          <w:rtl/>
        </w:rPr>
        <w:t>-</w:t>
      </w:r>
      <w:r>
        <w:rPr>
          <w:rFonts w:cs="FrankRuehl"/>
          <w:sz w:val="32"/>
          <w:rtl/>
        </w:rPr>
        <w:t>1955</w:t>
      </w:r>
      <w:r w:rsidR="00BE1429">
        <w:rPr>
          <w:rStyle w:val="a6"/>
          <w:rFonts w:cs="FrankRuehl"/>
          <w:sz w:val="32"/>
          <w:rtl/>
        </w:rPr>
        <w:footnoteReference w:customMarkFollows="1" w:id="1"/>
        <w:t>*</w:t>
      </w:r>
    </w:p>
    <w:p w14:paraId="326ED950" w14:textId="77777777" w:rsidR="007B6E62" w:rsidRDefault="007B6E62" w:rsidP="00BE1429">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17 לחוק ערבות למשכנתאות, תשי"ב</w:t>
      </w:r>
      <w:r w:rsidR="00BE1429">
        <w:rPr>
          <w:rStyle w:val="default"/>
          <w:rFonts w:cs="FrankRuehl" w:hint="cs"/>
          <w:rtl/>
        </w:rPr>
        <w:t>-</w:t>
      </w:r>
      <w:r>
        <w:rPr>
          <w:rStyle w:val="default"/>
          <w:rFonts w:cs="FrankRuehl"/>
          <w:rtl/>
        </w:rPr>
        <w:t xml:space="preserve">1952, </w:t>
      </w:r>
      <w:r>
        <w:rPr>
          <w:rStyle w:val="default"/>
          <w:rFonts w:cs="FrankRuehl" w:hint="cs"/>
          <w:rtl/>
        </w:rPr>
        <w:t>אני מתקין תקנות אלה:</w:t>
      </w:r>
    </w:p>
    <w:p w14:paraId="6193A6A8" w14:textId="77777777" w:rsidR="007B6E62" w:rsidRDefault="007B6E62">
      <w:pPr>
        <w:pStyle w:val="P00"/>
        <w:spacing w:before="72"/>
        <w:ind w:left="0" w:right="1134"/>
        <w:rPr>
          <w:rStyle w:val="default"/>
          <w:rFonts w:cs="FrankRuehl" w:hint="cs"/>
          <w:rtl/>
        </w:rPr>
      </w:pPr>
      <w:bookmarkStart w:id="0" w:name="Seif0"/>
      <w:bookmarkEnd w:id="0"/>
      <w:r>
        <w:rPr>
          <w:lang w:val="he-IL"/>
        </w:rPr>
        <w:pict w14:anchorId="11933D95">
          <v:rect id="_x0000_s1026" style="position:absolute;left:0;text-align:left;margin-left:464.5pt;margin-top:8.05pt;width:75.05pt;height:10.2pt;z-index:251653632" o:allowincell="f" filled="f" stroked="f" strokecolor="lime" strokeweight=".25pt">
            <v:textbox inset="0,0,0,0">
              <w:txbxContent>
                <w:p w14:paraId="37371D9B" w14:textId="77777777" w:rsidR="007B6E62" w:rsidRDefault="007B6E62">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sidR="00BE1429">
        <w:rPr>
          <w:rStyle w:val="default"/>
          <w:rFonts w:cs="FrankRuehl"/>
          <w:rtl/>
        </w:rPr>
        <w:t>–</w:t>
      </w:r>
    </w:p>
    <w:p w14:paraId="786D57A4" w14:textId="77777777" w:rsidR="007B6E62" w:rsidRDefault="007B6E62" w:rsidP="00BE1429">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שר" </w:t>
      </w:r>
      <w:r w:rsidR="00984C9B">
        <w:rPr>
          <w:rStyle w:val="default"/>
          <w:rFonts w:cs="FrankRuehl"/>
          <w:rtl/>
        </w:rPr>
        <w:t>–</w:t>
      </w:r>
      <w:r>
        <w:rPr>
          <w:rStyle w:val="default"/>
          <w:rFonts w:cs="FrankRuehl"/>
          <w:rtl/>
        </w:rPr>
        <w:t xml:space="preserve"> </w:t>
      </w:r>
      <w:r>
        <w:rPr>
          <w:rStyle w:val="default"/>
          <w:rFonts w:cs="FrankRuehl" w:hint="cs"/>
          <w:rtl/>
        </w:rPr>
        <w:t>שר האוצר או מי ששר האוצר העביר אליו את סמכויותיו על פי סעיף 16 לחוק;</w:t>
      </w:r>
    </w:p>
    <w:p w14:paraId="15C81BE7" w14:textId="77777777" w:rsidR="007B6E62" w:rsidRDefault="007B6E62" w:rsidP="00BE1429">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 xml:space="preserve">כס" </w:t>
      </w:r>
      <w:r w:rsidR="00984C9B">
        <w:rPr>
          <w:rStyle w:val="default"/>
          <w:rFonts w:cs="FrankRuehl"/>
          <w:rtl/>
        </w:rPr>
        <w:t>–</w:t>
      </w:r>
      <w:r>
        <w:rPr>
          <w:rStyle w:val="default"/>
          <w:rFonts w:cs="FrankRuehl"/>
          <w:rtl/>
        </w:rPr>
        <w:t xml:space="preserve"> </w:t>
      </w:r>
      <w:r>
        <w:rPr>
          <w:rStyle w:val="default"/>
          <w:rFonts w:cs="FrankRuehl" w:hint="cs"/>
          <w:rtl/>
        </w:rPr>
        <w:t xml:space="preserve">הבית </w:t>
      </w:r>
      <w:r>
        <w:rPr>
          <w:rStyle w:val="default"/>
          <w:rFonts w:cs="FrankRuehl"/>
          <w:rtl/>
        </w:rPr>
        <w:t>אש</w:t>
      </w:r>
      <w:r>
        <w:rPr>
          <w:rStyle w:val="default"/>
          <w:rFonts w:cs="FrankRuehl" w:hint="cs"/>
          <w:rtl/>
        </w:rPr>
        <w:t>ר למימון בנייתו ניתן המילווה והמגרש שעליו נבנה הבית;</w:t>
      </w:r>
    </w:p>
    <w:p w14:paraId="38E320FE" w14:textId="77777777" w:rsidR="007B6E62" w:rsidRDefault="007B6E62" w:rsidP="00BE1429">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לווה" </w:t>
      </w:r>
      <w:r w:rsidR="00984C9B">
        <w:rPr>
          <w:rStyle w:val="default"/>
          <w:rFonts w:cs="FrankRuehl"/>
          <w:rtl/>
        </w:rPr>
        <w:t>–</w:t>
      </w:r>
      <w:r>
        <w:rPr>
          <w:rStyle w:val="default"/>
          <w:rFonts w:cs="FrankRuehl"/>
          <w:rtl/>
        </w:rPr>
        <w:t xml:space="preserve"> </w:t>
      </w:r>
      <w:r>
        <w:rPr>
          <w:rStyle w:val="default"/>
          <w:rFonts w:cs="FrankRuehl" w:hint="cs"/>
          <w:rtl/>
        </w:rPr>
        <w:t>מי שאושר על ידי השר כמלווה מורשה;</w:t>
      </w:r>
    </w:p>
    <w:p w14:paraId="7C759353" w14:textId="77777777" w:rsidR="007B6E62" w:rsidRDefault="007B6E62" w:rsidP="00BE1429">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ילווה" </w:t>
      </w:r>
      <w:r w:rsidR="00984C9B">
        <w:rPr>
          <w:rStyle w:val="default"/>
          <w:rFonts w:cs="FrankRuehl"/>
          <w:rtl/>
        </w:rPr>
        <w:t>–</w:t>
      </w:r>
      <w:r>
        <w:rPr>
          <w:rStyle w:val="default"/>
          <w:rFonts w:cs="FrankRuehl"/>
          <w:rtl/>
        </w:rPr>
        <w:t xml:space="preserve"> </w:t>
      </w:r>
      <w:r>
        <w:rPr>
          <w:rStyle w:val="default"/>
          <w:rFonts w:cs="FrankRuehl" w:hint="cs"/>
          <w:rtl/>
        </w:rPr>
        <w:t>מילווה למימון בניית בתים שניתן במשכנתה ראויה לפי החוק</w:t>
      </w:r>
      <w:r>
        <w:rPr>
          <w:rStyle w:val="default"/>
          <w:rFonts w:cs="FrankRuehl"/>
          <w:rtl/>
        </w:rPr>
        <w:t>.</w:t>
      </w:r>
    </w:p>
    <w:p w14:paraId="45A1DC4D" w14:textId="77777777" w:rsidR="007B6E62" w:rsidRDefault="007B6E62">
      <w:pPr>
        <w:pStyle w:val="P00"/>
        <w:spacing w:before="72"/>
        <w:ind w:left="0" w:right="1134"/>
        <w:rPr>
          <w:rStyle w:val="default"/>
          <w:rFonts w:cs="FrankRuehl"/>
          <w:rtl/>
        </w:rPr>
      </w:pPr>
      <w:bookmarkStart w:id="1" w:name="Seif1"/>
      <w:bookmarkEnd w:id="1"/>
      <w:r>
        <w:rPr>
          <w:lang w:val="he-IL"/>
        </w:rPr>
        <w:pict w14:anchorId="58AE44E9">
          <v:rect id="_x0000_s1027" style="position:absolute;left:0;text-align:left;margin-left:464.5pt;margin-top:8.05pt;width:75.05pt;height:11.35pt;z-index:251654656" o:allowincell="f" filled="f" stroked="f" strokecolor="lime" strokeweight=".25pt">
            <v:textbox inset="0,0,0,0">
              <w:txbxContent>
                <w:p w14:paraId="7D310ADD" w14:textId="77777777" w:rsidR="007B6E62" w:rsidRDefault="007B6E62">
                  <w:pPr>
                    <w:spacing w:line="160" w:lineRule="exact"/>
                    <w:jc w:val="left"/>
                    <w:rPr>
                      <w:rFonts w:cs="Miriam"/>
                      <w:noProof/>
                      <w:sz w:val="18"/>
                      <w:szCs w:val="18"/>
                      <w:rtl/>
                    </w:rPr>
                  </w:pPr>
                  <w:r>
                    <w:rPr>
                      <w:rFonts w:cs="Miriam"/>
                      <w:sz w:val="18"/>
                      <w:szCs w:val="18"/>
                      <w:rtl/>
                    </w:rPr>
                    <w:t>בק</w:t>
                  </w:r>
                  <w:r>
                    <w:rPr>
                      <w:rFonts w:cs="Miriam" w:hint="cs"/>
                      <w:sz w:val="18"/>
                      <w:szCs w:val="18"/>
                      <w:rtl/>
                    </w:rPr>
                    <w:t>שה למתן ערבות</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רוצה שתינתן ערבות למילווה יגיש לשר בקשה בכתב חתומה בידו בטופס שבתוספת.</w:t>
      </w:r>
    </w:p>
    <w:p w14:paraId="6D8D4744" w14:textId="77777777" w:rsidR="007B6E62" w:rsidRDefault="007B6E6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גבי</w:t>
      </w:r>
      <w:r>
        <w:rPr>
          <w:rStyle w:val="default"/>
          <w:rFonts w:cs="FrankRuehl"/>
          <w:rtl/>
        </w:rPr>
        <w:t xml:space="preserve"> כ</w:t>
      </w:r>
      <w:r>
        <w:rPr>
          <w:rStyle w:val="default"/>
          <w:rFonts w:cs="FrankRuehl" w:hint="cs"/>
          <w:rtl/>
        </w:rPr>
        <w:t>ל מילווה תוגש בקשה נפרדת.</w:t>
      </w:r>
    </w:p>
    <w:p w14:paraId="5FF3FEFA" w14:textId="77777777" w:rsidR="007B6E62" w:rsidRDefault="007B6E62">
      <w:pPr>
        <w:pStyle w:val="P00"/>
        <w:spacing w:before="72"/>
        <w:ind w:left="0" w:right="1134"/>
        <w:rPr>
          <w:rStyle w:val="default"/>
          <w:rFonts w:cs="FrankRuehl" w:hint="cs"/>
          <w:rtl/>
        </w:rPr>
      </w:pPr>
      <w:bookmarkStart w:id="2" w:name="Seif2"/>
      <w:bookmarkEnd w:id="2"/>
      <w:r>
        <w:rPr>
          <w:lang w:val="he-IL"/>
        </w:rPr>
        <w:pict w14:anchorId="309678EF">
          <v:rect id="_x0000_s1028" style="position:absolute;left:0;text-align:left;margin-left:464.5pt;margin-top:8.05pt;width:75.05pt;height:31.15pt;z-index:251655680" o:allowincell="f" filled="f" stroked="f" strokecolor="lime" strokeweight=".25pt">
            <v:textbox inset="0,0,0,0">
              <w:txbxContent>
                <w:p w14:paraId="4A8D5DD7" w14:textId="77777777" w:rsidR="007B6E62" w:rsidRDefault="004E6F24">
                  <w:pPr>
                    <w:spacing w:line="160" w:lineRule="exact"/>
                    <w:jc w:val="left"/>
                    <w:rPr>
                      <w:rFonts w:cs="Miriam" w:hint="cs"/>
                      <w:noProof/>
                      <w:sz w:val="18"/>
                      <w:szCs w:val="18"/>
                      <w:rtl/>
                    </w:rPr>
                  </w:pPr>
                  <w:r>
                    <w:rPr>
                      <w:rFonts w:cs="Miriam" w:hint="cs"/>
                      <w:sz w:val="18"/>
                      <w:szCs w:val="18"/>
                      <w:rtl/>
                    </w:rPr>
                    <w:t>צירוף העתק שטר משכנתה</w:t>
                  </w:r>
                </w:p>
                <w:p w14:paraId="2C55F0C0" w14:textId="77777777" w:rsidR="007B6E62" w:rsidRDefault="007B6E62" w:rsidP="00BE1429">
                  <w:pPr>
                    <w:spacing w:line="160" w:lineRule="exact"/>
                    <w:jc w:val="left"/>
                    <w:rPr>
                      <w:rFonts w:cs="Miriam"/>
                      <w:noProof/>
                      <w:sz w:val="18"/>
                      <w:szCs w:val="18"/>
                      <w:rtl/>
                    </w:rPr>
                  </w:pPr>
                  <w:r>
                    <w:rPr>
                      <w:rFonts w:cs="Miriam"/>
                      <w:sz w:val="18"/>
                      <w:szCs w:val="18"/>
                      <w:rtl/>
                    </w:rPr>
                    <w:t>תק</w:t>
                  </w:r>
                  <w:r>
                    <w:rPr>
                      <w:rFonts w:cs="Miriam" w:hint="cs"/>
                      <w:sz w:val="18"/>
                      <w:szCs w:val="18"/>
                      <w:rtl/>
                    </w:rPr>
                    <w:t>' תשט"ז</w:t>
                  </w:r>
                  <w:r w:rsidR="00BE1429">
                    <w:rPr>
                      <w:rFonts w:cs="Miriam" w:hint="cs"/>
                      <w:sz w:val="18"/>
                      <w:szCs w:val="18"/>
                      <w:rtl/>
                    </w:rPr>
                    <w:t>-</w:t>
                  </w:r>
                  <w:r>
                    <w:rPr>
                      <w:rFonts w:cs="Miriam"/>
                      <w:sz w:val="18"/>
                      <w:szCs w:val="18"/>
                      <w:rtl/>
                    </w:rPr>
                    <w:t>1955</w:t>
                  </w:r>
                </w:p>
              </w:txbxContent>
            </v:textbox>
            <w10:anchorlock/>
          </v:rect>
        </w:pict>
      </w:r>
      <w:r>
        <w:rPr>
          <w:rStyle w:val="big-number"/>
          <w:rFonts w:cs="Miriam"/>
          <w:rtl/>
        </w:rPr>
        <w:t>3.</w:t>
      </w:r>
      <w:r>
        <w:rPr>
          <w:rStyle w:val="big-number"/>
          <w:rFonts w:cs="Miriam"/>
          <w:rtl/>
        </w:rPr>
        <w:tab/>
      </w:r>
      <w:r>
        <w:rPr>
          <w:rStyle w:val="default"/>
          <w:rFonts w:cs="FrankRuehl"/>
          <w:rtl/>
        </w:rPr>
        <w:t>לב</w:t>
      </w:r>
      <w:r>
        <w:rPr>
          <w:rStyle w:val="default"/>
          <w:rFonts w:cs="FrankRuehl" w:hint="cs"/>
          <w:rtl/>
        </w:rPr>
        <w:t>קשה יצורף העתק שטר המשכנתה שניתנה להבטחת פרעון המילווה.</w:t>
      </w:r>
    </w:p>
    <w:p w14:paraId="2E899FA7" w14:textId="77777777" w:rsidR="00BE1429" w:rsidRPr="00273602" w:rsidRDefault="00BE1429" w:rsidP="00BE1429">
      <w:pPr>
        <w:pStyle w:val="P00"/>
        <w:spacing w:before="0"/>
        <w:ind w:left="0" w:right="1134"/>
        <w:rPr>
          <w:rFonts w:cs="FrankRuehl" w:hint="cs"/>
          <w:vanish/>
          <w:color w:val="FF0000"/>
          <w:szCs w:val="20"/>
          <w:shd w:val="clear" w:color="auto" w:fill="FFFF99"/>
          <w:rtl/>
        </w:rPr>
      </w:pPr>
      <w:bookmarkStart w:id="3" w:name="Rov12"/>
      <w:r w:rsidRPr="00273602">
        <w:rPr>
          <w:rFonts w:cs="FrankRuehl" w:hint="cs"/>
          <w:vanish/>
          <w:color w:val="FF0000"/>
          <w:szCs w:val="20"/>
          <w:shd w:val="clear" w:color="auto" w:fill="FFFF99"/>
          <w:rtl/>
        </w:rPr>
        <w:t>מיום 17.11.1955</w:t>
      </w:r>
    </w:p>
    <w:p w14:paraId="70BE938B" w14:textId="77777777" w:rsidR="00BE1429" w:rsidRPr="00273602" w:rsidRDefault="00BE1429" w:rsidP="00BE1429">
      <w:pPr>
        <w:pStyle w:val="P00"/>
        <w:spacing w:before="0"/>
        <w:ind w:left="0" w:right="1134"/>
        <w:rPr>
          <w:rFonts w:cs="FrankRuehl" w:hint="cs"/>
          <w:b/>
          <w:bCs/>
          <w:vanish/>
          <w:szCs w:val="20"/>
          <w:shd w:val="clear" w:color="auto" w:fill="FFFF99"/>
          <w:rtl/>
        </w:rPr>
      </w:pPr>
      <w:r w:rsidRPr="00273602">
        <w:rPr>
          <w:rFonts w:cs="FrankRuehl" w:hint="cs"/>
          <w:b/>
          <w:bCs/>
          <w:vanish/>
          <w:szCs w:val="20"/>
          <w:shd w:val="clear" w:color="auto" w:fill="FFFF99"/>
          <w:rtl/>
        </w:rPr>
        <w:t>תק' תשט"ז-1955</w:t>
      </w:r>
    </w:p>
    <w:p w14:paraId="5A2F3F72" w14:textId="77777777" w:rsidR="00BE1429" w:rsidRPr="00273602" w:rsidRDefault="00BE1429" w:rsidP="00BE1429">
      <w:pPr>
        <w:pStyle w:val="P00"/>
        <w:spacing w:before="0"/>
        <w:ind w:left="0" w:right="1134"/>
        <w:rPr>
          <w:rFonts w:cs="FrankRuehl" w:hint="cs"/>
          <w:vanish/>
          <w:szCs w:val="20"/>
          <w:shd w:val="clear" w:color="auto" w:fill="FFFF99"/>
          <w:rtl/>
        </w:rPr>
      </w:pPr>
      <w:hyperlink r:id="rId6" w:history="1">
        <w:r w:rsidRPr="00273602">
          <w:rPr>
            <w:rStyle w:val="Hyperlink"/>
            <w:rFonts w:cs="FrankRuehl" w:hint="cs"/>
            <w:vanish/>
            <w:szCs w:val="20"/>
            <w:shd w:val="clear" w:color="auto" w:fill="FFFF99"/>
            <w:rtl/>
          </w:rPr>
          <w:t>ק"ת תשט"ז מס' 566</w:t>
        </w:r>
      </w:hyperlink>
      <w:r w:rsidRPr="00273602">
        <w:rPr>
          <w:rFonts w:cs="FrankRuehl" w:hint="cs"/>
          <w:vanish/>
          <w:szCs w:val="20"/>
          <w:shd w:val="clear" w:color="auto" w:fill="FFFF99"/>
          <w:rtl/>
        </w:rPr>
        <w:t xml:space="preserve"> מיום 17.11.1955 עמ' 219</w:t>
      </w:r>
    </w:p>
    <w:p w14:paraId="61A1CD4E" w14:textId="77777777" w:rsidR="00BE1429" w:rsidRPr="00273602" w:rsidRDefault="00BE1429" w:rsidP="00BE1429">
      <w:pPr>
        <w:pStyle w:val="P00"/>
        <w:spacing w:before="0"/>
        <w:ind w:left="0" w:right="1134"/>
        <w:rPr>
          <w:rFonts w:cs="FrankRuehl" w:hint="cs"/>
          <w:b/>
          <w:bCs/>
          <w:vanish/>
          <w:szCs w:val="20"/>
          <w:shd w:val="clear" w:color="auto" w:fill="FFFF99"/>
          <w:rtl/>
        </w:rPr>
      </w:pPr>
      <w:r w:rsidRPr="00273602">
        <w:rPr>
          <w:rFonts w:cs="FrankRuehl" w:hint="cs"/>
          <w:b/>
          <w:bCs/>
          <w:vanish/>
          <w:szCs w:val="20"/>
          <w:shd w:val="clear" w:color="auto" w:fill="FFFF99"/>
          <w:rtl/>
        </w:rPr>
        <w:t>החלפת תקנה 3</w:t>
      </w:r>
    </w:p>
    <w:p w14:paraId="174E21D3" w14:textId="77777777" w:rsidR="00BE1429" w:rsidRPr="00273602" w:rsidRDefault="00BE1429" w:rsidP="00BE1429">
      <w:pPr>
        <w:pStyle w:val="P00"/>
        <w:ind w:left="0" w:right="1134"/>
        <w:rPr>
          <w:rFonts w:cs="FrankRuehl" w:hint="cs"/>
          <w:vanish/>
          <w:szCs w:val="20"/>
          <w:shd w:val="clear" w:color="auto" w:fill="FFFF99"/>
          <w:rtl/>
        </w:rPr>
      </w:pPr>
      <w:r w:rsidRPr="00273602">
        <w:rPr>
          <w:rFonts w:cs="FrankRuehl" w:hint="cs"/>
          <w:vanish/>
          <w:szCs w:val="20"/>
          <w:shd w:val="clear" w:color="auto" w:fill="FFFF99"/>
          <w:rtl/>
        </w:rPr>
        <w:t>הנוסח קודם:</w:t>
      </w:r>
    </w:p>
    <w:p w14:paraId="2B745220" w14:textId="77777777" w:rsidR="00BE1429" w:rsidRPr="00273602" w:rsidRDefault="00BE1429" w:rsidP="00BE1429">
      <w:pPr>
        <w:pStyle w:val="P00"/>
        <w:spacing w:before="20"/>
        <w:ind w:left="0" w:right="1134"/>
        <w:rPr>
          <w:rFonts w:cs="Miriam" w:hint="cs"/>
          <w:strike/>
          <w:vanish/>
          <w:sz w:val="16"/>
          <w:szCs w:val="16"/>
          <w:shd w:val="clear" w:color="auto" w:fill="FFFF99"/>
          <w:rtl/>
        </w:rPr>
      </w:pPr>
      <w:r w:rsidRPr="00273602">
        <w:rPr>
          <w:rFonts w:cs="Miriam" w:hint="cs"/>
          <w:strike/>
          <w:vanish/>
          <w:sz w:val="16"/>
          <w:szCs w:val="16"/>
          <w:shd w:val="clear" w:color="auto" w:fill="FFFF99"/>
          <w:rtl/>
        </w:rPr>
        <w:t>פרטי הבקשה</w:t>
      </w:r>
    </w:p>
    <w:p w14:paraId="287F717D" w14:textId="77777777" w:rsidR="00BE1429" w:rsidRPr="00273602" w:rsidRDefault="00BE1429" w:rsidP="00BE1429">
      <w:pPr>
        <w:pStyle w:val="P00"/>
        <w:spacing w:before="0"/>
        <w:ind w:left="0" w:right="1134"/>
        <w:rPr>
          <w:rStyle w:val="default"/>
          <w:rFonts w:cs="FrankRuehl" w:hint="cs"/>
          <w:strike/>
          <w:vanish/>
          <w:sz w:val="22"/>
          <w:szCs w:val="22"/>
          <w:shd w:val="clear" w:color="auto" w:fill="FFFF99"/>
          <w:rtl/>
        </w:rPr>
      </w:pPr>
      <w:r w:rsidRPr="00273602">
        <w:rPr>
          <w:rStyle w:val="big-number"/>
          <w:rFonts w:cs="FrankRuehl"/>
          <w:strike/>
          <w:vanish/>
          <w:sz w:val="22"/>
          <w:szCs w:val="22"/>
          <w:shd w:val="clear" w:color="auto" w:fill="FFFF99"/>
          <w:rtl/>
        </w:rPr>
        <w:t>3.</w:t>
      </w:r>
      <w:r w:rsidRPr="00273602">
        <w:rPr>
          <w:rStyle w:val="big-number"/>
          <w:rFonts w:cs="FrankRuehl"/>
          <w:strike/>
          <w:vanish/>
          <w:sz w:val="22"/>
          <w:szCs w:val="22"/>
          <w:shd w:val="clear" w:color="auto" w:fill="FFFF99"/>
          <w:rtl/>
        </w:rPr>
        <w:tab/>
      </w:r>
      <w:r w:rsidRPr="00273602">
        <w:rPr>
          <w:rStyle w:val="default"/>
          <w:rFonts w:cs="FrankRuehl"/>
          <w:strike/>
          <w:vanish/>
          <w:sz w:val="22"/>
          <w:szCs w:val="22"/>
          <w:shd w:val="clear" w:color="auto" w:fill="FFFF99"/>
          <w:rtl/>
        </w:rPr>
        <w:t>לב</w:t>
      </w:r>
      <w:r w:rsidRPr="00273602">
        <w:rPr>
          <w:rStyle w:val="default"/>
          <w:rFonts w:cs="FrankRuehl" w:hint="cs"/>
          <w:strike/>
          <w:vanish/>
          <w:sz w:val="22"/>
          <w:szCs w:val="22"/>
          <w:shd w:val="clear" w:color="auto" w:fill="FFFF99"/>
          <w:rtl/>
        </w:rPr>
        <w:t>קשה יצורפו:</w:t>
      </w:r>
    </w:p>
    <w:p w14:paraId="3C319669" w14:textId="77777777" w:rsidR="00BE1429" w:rsidRPr="00273602" w:rsidRDefault="00BE1429" w:rsidP="00BE1429">
      <w:pPr>
        <w:pStyle w:val="P00"/>
        <w:spacing w:before="0"/>
        <w:ind w:left="0" w:right="1134"/>
        <w:rPr>
          <w:rStyle w:val="default"/>
          <w:rFonts w:cs="FrankRuehl" w:hint="cs"/>
          <w:strike/>
          <w:vanish/>
          <w:sz w:val="22"/>
          <w:szCs w:val="22"/>
          <w:shd w:val="clear" w:color="auto" w:fill="FFFF99"/>
          <w:rtl/>
        </w:rPr>
      </w:pPr>
      <w:r w:rsidRPr="00273602">
        <w:rPr>
          <w:rStyle w:val="default"/>
          <w:rFonts w:cs="FrankRuehl" w:hint="cs"/>
          <w:vanish/>
          <w:sz w:val="22"/>
          <w:szCs w:val="22"/>
          <w:shd w:val="clear" w:color="auto" w:fill="FFFF99"/>
          <w:rtl/>
        </w:rPr>
        <w:tab/>
      </w:r>
      <w:r w:rsidRPr="00273602">
        <w:rPr>
          <w:rStyle w:val="default"/>
          <w:rFonts w:cs="FrankRuehl" w:hint="cs"/>
          <w:strike/>
          <w:vanish/>
          <w:sz w:val="22"/>
          <w:szCs w:val="22"/>
          <w:shd w:val="clear" w:color="auto" w:fill="FFFF99"/>
          <w:rtl/>
        </w:rPr>
        <w:t>(1)</w:t>
      </w:r>
      <w:r w:rsidRPr="00273602">
        <w:rPr>
          <w:rStyle w:val="default"/>
          <w:rFonts w:cs="FrankRuehl" w:hint="cs"/>
          <w:strike/>
          <w:vanish/>
          <w:sz w:val="22"/>
          <w:szCs w:val="22"/>
          <w:shd w:val="clear" w:color="auto" w:fill="FFFF99"/>
          <w:rtl/>
        </w:rPr>
        <w:tab/>
        <w:t xml:space="preserve">העתק שטר המשכנתה שניתנה להבטחת פרעון המילווה; </w:t>
      </w:r>
    </w:p>
    <w:p w14:paraId="5564175B" w14:textId="77777777" w:rsidR="00BE1429" w:rsidRPr="00276E21" w:rsidRDefault="00BE1429" w:rsidP="00BE1429">
      <w:pPr>
        <w:pStyle w:val="P00"/>
        <w:spacing w:before="0"/>
        <w:ind w:left="0" w:right="1134"/>
        <w:rPr>
          <w:rStyle w:val="default"/>
          <w:rFonts w:cs="FrankRuehl" w:hint="cs"/>
          <w:strike/>
          <w:sz w:val="2"/>
          <w:szCs w:val="2"/>
          <w:rtl/>
        </w:rPr>
      </w:pPr>
      <w:r w:rsidRPr="00273602">
        <w:rPr>
          <w:rStyle w:val="default"/>
          <w:rFonts w:cs="FrankRuehl" w:hint="cs"/>
          <w:vanish/>
          <w:sz w:val="22"/>
          <w:szCs w:val="22"/>
          <w:shd w:val="clear" w:color="auto" w:fill="FFFF99"/>
          <w:rtl/>
        </w:rPr>
        <w:tab/>
      </w:r>
      <w:r w:rsidRPr="00273602">
        <w:rPr>
          <w:rStyle w:val="default"/>
          <w:rFonts w:cs="FrankRuehl" w:hint="cs"/>
          <w:strike/>
          <w:vanish/>
          <w:sz w:val="22"/>
          <w:szCs w:val="22"/>
          <w:shd w:val="clear" w:color="auto" w:fill="FFFF99"/>
          <w:rtl/>
        </w:rPr>
        <w:t>(2)</w:t>
      </w:r>
      <w:r w:rsidRPr="00273602">
        <w:rPr>
          <w:rStyle w:val="default"/>
          <w:rFonts w:cs="FrankRuehl" w:hint="cs"/>
          <w:strike/>
          <w:vanish/>
          <w:sz w:val="22"/>
          <w:szCs w:val="22"/>
          <w:shd w:val="clear" w:color="auto" w:fill="FFFF99"/>
          <w:rtl/>
        </w:rPr>
        <w:tab/>
        <w:t>נוסח רישום המשכנתה במשרד ספרי האחוזה או אישור אחר מטעם משרד ספרי האחוזה בדבר רישום המשכנתה להנחת דעתו של השר.</w:t>
      </w:r>
      <w:bookmarkEnd w:id="3"/>
    </w:p>
    <w:p w14:paraId="7BE0D665" w14:textId="77777777" w:rsidR="00BE1429" w:rsidRDefault="00BE1429">
      <w:pPr>
        <w:pStyle w:val="P00"/>
        <w:spacing w:before="72"/>
        <w:ind w:left="0" w:right="1134"/>
        <w:rPr>
          <w:rStyle w:val="default"/>
          <w:rFonts w:cs="FrankRuehl" w:hint="cs"/>
          <w:rtl/>
        </w:rPr>
      </w:pPr>
    </w:p>
    <w:p w14:paraId="7B8DE6CF" w14:textId="77777777" w:rsidR="007B6E62" w:rsidRDefault="007B6E62">
      <w:pPr>
        <w:pStyle w:val="P00"/>
        <w:spacing w:before="72"/>
        <w:ind w:left="0" w:right="1134"/>
        <w:rPr>
          <w:rStyle w:val="default"/>
          <w:rFonts w:cs="FrankRuehl"/>
          <w:rtl/>
        </w:rPr>
      </w:pPr>
      <w:bookmarkStart w:id="4" w:name="Seif3"/>
      <w:bookmarkEnd w:id="4"/>
      <w:r>
        <w:rPr>
          <w:lang w:val="he-IL"/>
        </w:rPr>
        <w:pict w14:anchorId="17AA3DF2">
          <v:rect id="_x0000_s1029" style="position:absolute;left:0;text-align:left;margin-left:464.5pt;margin-top:8.05pt;width:75.05pt;height:14.95pt;z-index:251656704" o:allowincell="f" filled="f" stroked="f" strokecolor="lime" strokeweight=".25pt">
            <v:textbox style="mso-next-textbox:#_x0000_s1029" inset="0,0,0,0">
              <w:txbxContent>
                <w:p w14:paraId="767A7D10" w14:textId="77777777" w:rsidR="007B6E62" w:rsidRDefault="007B6E62">
                  <w:pPr>
                    <w:spacing w:line="160" w:lineRule="exact"/>
                    <w:jc w:val="left"/>
                    <w:rPr>
                      <w:rFonts w:cs="Miriam"/>
                      <w:noProof/>
                      <w:sz w:val="18"/>
                      <w:szCs w:val="18"/>
                      <w:rtl/>
                    </w:rPr>
                  </w:pPr>
                  <w:r>
                    <w:rPr>
                      <w:rFonts w:cs="Miriam"/>
                      <w:sz w:val="18"/>
                      <w:szCs w:val="18"/>
                      <w:rtl/>
                    </w:rPr>
                    <w:t>תנ</w:t>
                  </w:r>
                  <w:r>
                    <w:rPr>
                      <w:rFonts w:cs="Miriam" w:hint="cs"/>
                      <w:sz w:val="18"/>
                      <w:szCs w:val="18"/>
                      <w:rtl/>
                    </w:rPr>
                    <w:t>אי משכנתה</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משכנתה תכלול, בין השאר, תנאים אלה:</w:t>
      </w:r>
    </w:p>
    <w:p w14:paraId="0DDC98CD" w14:textId="77777777" w:rsidR="007B6E62" w:rsidRDefault="007B6E62">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יטוח הנכס הממושכן בערכו המלא נגד אש והסבת פוליסת הביטוח לטובת המלווה;</w:t>
      </w:r>
    </w:p>
    <w:p w14:paraId="62DE9EDA" w14:textId="77777777" w:rsidR="007B6E62" w:rsidRDefault="007B6E62">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חזקת הנכס הממושכן על ידי הלווה במצב תקין;</w:t>
      </w:r>
    </w:p>
    <w:p w14:paraId="1180FBBF" w14:textId="77777777" w:rsidR="007B6E62" w:rsidRDefault="007B6E62">
      <w:pPr>
        <w:pStyle w:val="P22"/>
        <w:spacing w:before="72"/>
        <w:ind w:left="1021" w:right="1134"/>
        <w:rPr>
          <w:rStyle w:val="default"/>
          <w:rFonts w:cs="FrankRuehl"/>
          <w:rtl/>
        </w:rPr>
      </w:pPr>
      <w:r>
        <w:rPr>
          <w:rStyle w:val="default"/>
          <w:rFonts w:cs="FrankRuehl" w:hint="cs"/>
          <w:rtl/>
        </w:rPr>
        <w:t>(3)</w:t>
      </w:r>
      <w:r>
        <w:rPr>
          <w:rStyle w:val="default"/>
          <w:rFonts w:cs="FrankRuehl"/>
          <w:rtl/>
        </w:rPr>
        <w:tab/>
        <w:t>ת</w:t>
      </w:r>
      <w:r>
        <w:rPr>
          <w:rStyle w:val="default"/>
          <w:rFonts w:cs="FrankRuehl" w:hint="cs"/>
          <w:rtl/>
        </w:rPr>
        <w:t>שלום חוב המשכנתה במועדו ובהתאם לתנאי המשכנתה;</w:t>
      </w:r>
    </w:p>
    <w:p w14:paraId="1C468D1B" w14:textId="77777777" w:rsidR="007B6E62" w:rsidRDefault="007B6E62">
      <w:pPr>
        <w:pStyle w:val="P22"/>
        <w:spacing w:before="72"/>
        <w:ind w:left="1021" w:right="1134"/>
        <w:rPr>
          <w:rStyle w:val="default"/>
          <w:rFonts w:cs="FrankRuehl"/>
          <w:rtl/>
        </w:rPr>
      </w:pPr>
      <w:r>
        <w:rPr>
          <w:rStyle w:val="default"/>
          <w:rFonts w:cs="FrankRuehl" w:hint="cs"/>
          <w:rtl/>
        </w:rPr>
        <w:t>(4</w:t>
      </w:r>
      <w:r>
        <w:rPr>
          <w:rStyle w:val="default"/>
          <w:rFonts w:cs="FrankRuehl"/>
          <w:rtl/>
        </w:rPr>
        <w:t>)</w:t>
      </w:r>
      <w:r>
        <w:rPr>
          <w:rStyle w:val="default"/>
          <w:rFonts w:cs="FrankRuehl"/>
          <w:rtl/>
        </w:rPr>
        <w:tab/>
        <w:t>ה</w:t>
      </w:r>
      <w:r>
        <w:rPr>
          <w:rStyle w:val="default"/>
          <w:rFonts w:cs="FrankRuehl" w:hint="cs"/>
          <w:rtl/>
        </w:rPr>
        <w:t>תחייבות הלווה והמלווה לא לשנות את תנאי המ</w:t>
      </w:r>
      <w:r>
        <w:rPr>
          <w:rStyle w:val="default"/>
          <w:rFonts w:cs="FrankRuehl"/>
          <w:rtl/>
        </w:rPr>
        <w:t>י</w:t>
      </w:r>
      <w:r>
        <w:rPr>
          <w:rStyle w:val="default"/>
          <w:rFonts w:cs="FrankRuehl" w:hint="cs"/>
          <w:rtl/>
        </w:rPr>
        <w:t>לווה ואת תנאי המשכנתה ללא הסכמת השר מראש ובכתב;</w:t>
      </w:r>
    </w:p>
    <w:p w14:paraId="599FF98F" w14:textId="77777777" w:rsidR="007B6E62" w:rsidRDefault="007B6E62">
      <w:pPr>
        <w:pStyle w:val="P22"/>
        <w:spacing w:before="72"/>
        <w:ind w:left="1021" w:right="1134"/>
        <w:rPr>
          <w:rStyle w:val="default"/>
          <w:rFonts w:cs="FrankRuehl"/>
          <w:rtl/>
        </w:rPr>
      </w:pPr>
      <w:r>
        <w:rPr>
          <w:rStyle w:val="default"/>
          <w:rFonts w:cs="FrankRuehl"/>
          <w:rtl/>
        </w:rPr>
        <w:t>(5)</w:t>
      </w:r>
      <w:r>
        <w:rPr>
          <w:rStyle w:val="default"/>
          <w:rFonts w:cs="FrankRuehl"/>
          <w:rtl/>
        </w:rPr>
        <w:tab/>
        <w:t>ה</w:t>
      </w:r>
      <w:r>
        <w:rPr>
          <w:rStyle w:val="default"/>
          <w:rFonts w:cs="FrankRuehl" w:hint="cs"/>
          <w:rtl/>
        </w:rPr>
        <w:t>תחייבות הלווה לא לשנות את תנאי החכירה</w:t>
      </w:r>
      <w:r>
        <w:rPr>
          <w:rStyle w:val="default"/>
          <w:rFonts w:cs="FrankRuehl"/>
          <w:rtl/>
        </w:rPr>
        <w:t xml:space="preserve"> </w:t>
      </w:r>
      <w:r>
        <w:rPr>
          <w:rStyle w:val="default"/>
          <w:rFonts w:cs="FrankRuehl" w:hint="cs"/>
          <w:rtl/>
        </w:rPr>
        <w:t>הממושכנת ללא הסכמת המלווה מראש ובכתב ולהמציא למלווה, לפי דרישתו, כל הסכם לחכירת הנכס הממושכן;</w:t>
      </w:r>
    </w:p>
    <w:p w14:paraId="6935B7FE" w14:textId="77777777" w:rsidR="007B6E62" w:rsidRDefault="007B6E62">
      <w:pPr>
        <w:pStyle w:val="P22"/>
        <w:spacing w:before="72"/>
        <w:ind w:left="1021" w:right="1134"/>
        <w:rPr>
          <w:rStyle w:val="default"/>
          <w:rFonts w:cs="FrankRuehl"/>
          <w:rtl/>
        </w:rPr>
      </w:pPr>
      <w:r>
        <w:rPr>
          <w:rStyle w:val="default"/>
          <w:rFonts w:cs="FrankRuehl" w:hint="cs"/>
          <w:rtl/>
        </w:rPr>
        <w:t>(6)</w:t>
      </w:r>
      <w:r>
        <w:rPr>
          <w:rStyle w:val="default"/>
          <w:rFonts w:cs="FrankRuehl"/>
          <w:rtl/>
        </w:rPr>
        <w:tab/>
        <w:t>ה</w:t>
      </w:r>
      <w:r>
        <w:rPr>
          <w:rStyle w:val="default"/>
          <w:rFonts w:cs="FrankRuehl" w:hint="cs"/>
          <w:rtl/>
        </w:rPr>
        <w:t>תחייבות הלווה לא לשעבד ולא להעביר את הנכס הממושכן או כל זכו</w:t>
      </w:r>
      <w:r>
        <w:rPr>
          <w:rStyle w:val="default"/>
          <w:rFonts w:cs="FrankRuehl"/>
          <w:rtl/>
        </w:rPr>
        <w:t xml:space="preserve">ת </w:t>
      </w:r>
      <w:r>
        <w:rPr>
          <w:rStyle w:val="default"/>
          <w:rFonts w:cs="FrankRuehl" w:hint="cs"/>
          <w:rtl/>
        </w:rPr>
        <w:t>בו ללא הסכמת המלווה מראש ובכתב;</w:t>
      </w:r>
    </w:p>
    <w:p w14:paraId="4CE06B55" w14:textId="77777777" w:rsidR="007B6E62" w:rsidRDefault="007B6E62">
      <w:pPr>
        <w:pStyle w:val="P22"/>
        <w:spacing w:before="72"/>
        <w:ind w:left="1021" w:right="1134"/>
        <w:rPr>
          <w:rStyle w:val="default"/>
          <w:rFonts w:cs="FrankRuehl"/>
          <w:rtl/>
        </w:rPr>
      </w:pPr>
      <w:r>
        <w:rPr>
          <w:rStyle w:val="default"/>
          <w:rFonts w:cs="FrankRuehl" w:hint="cs"/>
          <w:rtl/>
        </w:rPr>
        <w:t>(7)</w:t>
      </w:r>
      <w:r>
        <w:rPr>
          <w:rStyle w:val="default"/>
          <w:rFonts w:cs="FrankRuehl"/>
          <w:rtl/>
        </w:rPr>
        <w:tab/>
        <w:t>ש</w:t>
      </w:r>
      <w:r>
        <w:rPr>
          <w:rStyle w:val="default"/>
          <w:rFonts w:cs="FrankRuehl" w:hint="cs"/>
          <w:rtl/>
        </w:rPr>
        <w:t xml:space="preserve">ימוש ב-80% לפחות משטח רצפת הנכס הממושכן למטרת מגורים בלבד </w:t>
      </w:r>
      <w:r>
        <w:rPr>
          <w:rStyle w:val="default"/>
          <w:rFonts w:cs="FrankRuehl"/>
          <w:rtl/>
        </w:rPr>
        <w:t>ב</w:t>
      </w:r>
      <w:r>
        <w:rPr>
          <w:rStyle w:val="default"/>
          <w:rFonts w:cs="FrankRuehl" w:hint="cs"/>
          <w:rtl/>
        </w:rPr>
        <w:t>משך תקופת קיום הערבות.</w:t>
      </w:r>
    </w:p>
    <w:p w14:paraId="58827079" w14:textId="77777777" w:rsidR="007B6E62" w:rsidRDefault="007B6E6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מלווה יודיע בכתב לשר לפחות עשרה ימים למפרע על כל שינוי או מעשה שבכוונת הלווה לעשות בהסכמת המלווה בהתאם למפורט בפסקאות (5) ו-(6) ל</w:t>
      </w:r>
      <w:r>
        <w:rPr>
          <w:rStyle w:val="default"/>
          <w:rFonts w:cs="FrankRuehl"/>
          <w:rtl/>
        </w:rPr>
        <w:t>תק</w:t>
      </w:r>
      <w:r>
        <w:rPr>
          <w:rStyle w:val="default"/>
          <w:rFonts w:cs="FrankRuehl" w:hint="cs"/>
          <w:rtl/>
        </w:rPr>
        <w:t>נת משנה (א).</w:t>
      </w:r>
    </w:p>
    <w:p w14:paraId="1F21AE92" w14:textId="77777777" w:rsidR="007B6E62" w:rsidRDefault="007B6E62">
      <w:pPr>
        <w:pStyle w:val="P00"/>
        <w:spacing w:before="72"/>
        <w:ind w:left="0" w:right="1134"/>
        <w:rPr>
          <w:rStyle w:val="default"/>
          <w:rFonts w:cs="FrankRuehl"/>
          <w:rtl/>
        </w:rPr>
      </w:pPr>
      <w:bookmarkStart w:id="5" w:name="Seif4"/>
      <w:bookmarkEnd w:id="5"/>
      <w:r>
        <w:rPr>
          <w:lang w:val="he-IL"/>
        </w:rPr>
        <w:pict w14:anchorId="79172D93">
          <v:rect id="_x0000_s1030" style="position:absolute;left:0;text-align:left;margin-left:464.5pt;margin-top:8.05pt;width:75.05pt;height:19.4pt;z-index:251657728" o:allowincell="f" filled="f" stroked="f" strokecolor="lime" strokeweight=".25pt">
            <v:textbox inset="0,0,0,0">
              <w:txbxContent>
                <w:p w14:paraId="6D983CB8" w14:textId="77777777" w:rsidR="007B6E62" w:rsidRDefault="007B6E62">
                  <w:pPr>
                    <w:spacing w:line="160" w:lineRule="exact"/>
                    <w:jc w:val="left"/>
                    <w:rPr>
                      <w:rFonts w:cs="Miriam"/>
                      <w:noProof/>
                      <w:sz w:val="18"/>
                      <w:szCs w:val="18"/>
                      <w:rtl/>
                    </w:rPr>
                  </w:pPr>
                  <w:r>
                    <w:rPr>
                      <w:rFonts w:cs="Miriam"/>
                      <w:sz w:val="18"/>
                      <w:szCs w:val="18"/>
                      <w:rtl/>
                    </w:rPr>
                    <w:t>הו</w:t>
                  </w:r>
                  <w:r>
                    <w:rPr>
                      <w:rFonts w:cs="Miriam" w:hint="cs"/>
                      <w:sz w:val="18"/>
                      <w:szCs w:val="18"/>
                      <w:rtl/>
                    </w:rPr>
                    <w:t>דעה על פיגורים והוצאה לפועל</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מלווה יודיע בכתב לשר על כל פיגור בתשלומי הלווה לפי תנאי המשכנתה, כל אימת שהפיגור יגיע לסכום השווה לשלושה רבעים מסך כל התשלומים השוטפים המגיעים מהלווה לשנה אחת, תוך ארבעה עשר יום מיום הפיגור.</w:t>
      </w:r>
    </w:p>
    <w:p w14:paraId="6A32DDFE" w14:textId="77777777" w:rsidR="007B6E62" w:rsidRDefault="007B6E6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מלווה יודיע בכתב לשר לפחות שבוע למפ</w:t>
      </w:r>
      <w:r>
        <w:rPr>
          <w:rStyle w:val="default"/>
          <w:rFonts w:cs="FrankRuehl"/>
          <w:rtl/>
        </w:rPr>
        <w:t>רע</w:t>
      </w:r>
      <w:r>
        <w:rPr>
          <w:rStyle w:val="default"/>
          <w:rFonts w:cs="FrankRuehl" w:hint="cs"/>
          <w:rtl/>
        </w:rPr>
        <w:t xml:space="preserve"> על כוונתו להגיש בקשה למכירת הנכסים הממושכנים לשם גביית חוב המש</w:t>
      </w:r>
      <w:r>
        <w:rPr>
          <w:rStyle w:val="default"/>
          <w:rFonts w:cs="FrankRuehl"/>
          <w:rtl/>
        </w:rPr>
        <w:t>כ</w:t>
      </w:r>
      <w:r>
        <w:rPr>
          <w:rStyle w:val="default"/>
          <w:rFonts w:cs="FrankRuehl" w:hint="cs"/>
          <w:rtl/>
        </w:rPr>
        <w:t>נתה.</w:t>
      </w:r>
    </w:p>
    <w:p w14:paraId="3C7B5A00" w14:textId="77777777" w:rsidR="007B6E62" w:rsidRDefault="007B6E62">
      <w:pPr>
        <w:pStyle w:val="P00"/>
        <w:spacing w:before="72"/>
        <w:ind w:left="0" w:right="1134"/>
        <w:rPr>
          <w:rStyle w:val="default"/>
          <w:rFonts w:cs="FrankRuehl"/>
          <w:rtl/>
        </w:rPr>
      </w:pPr>
      <w:bookmarkStart w:id="6" w:name="Seif5"/>
      <w:bookmarkEnd w:id="6"/>
      <w:r>
        <w:rPr>
          <w:lang w:val="he-IL"/>
        </w:rPr>
        <w:pict w14:anchorId="093C573E">
          <v:rect id="_x0000_s1031" style="position:absolute;left:0;text-align:left;margin-left:464.5pt;margin-top:8.05pt;width:75.05pt;height:11.1pt;z-index:251658752" o:allowincell="f" filled="f" stroked="f" strokecolor="lime" strokeweight=".25pt">
            <v:textbox inset="0,0,0,0">
              <w:txbxContent>
                <w:p w14:paraId="30B0E0DE" w14:textId="77777777" w:rsidR="007B6E62" w:rsidRDefault="007B6E62">
                  <w:pPr>
                    <w:spacing w:line="160" w:lineRule="exact"/>
                    <w:jc w:val="left"/>
                    <w:rPr>
                      <w:rFonts w:cs="Miriam"/>
                      <w:noProof/>
                      <w:sz w:val="18"/>
                      <w:szCs w:val="18"/>
                      <w:rtl/>
                    </w:rPr>
                  </w:pPr>
                  <w:r>
                    <w:rPr>
                      <w:rFonts w:cs="Miriam"/>
                      <w:sz w:val="18"/>
                      <w:szCs w:val="18"/>
                      <w:rtl/>
                    </w:rPr>
                    <w:t>הו</w:t>
                  </w:r>
                  <w:r>
                    <w:rPr>
                      <w:rFonts w:cs="Miriam" w:hint="cs"/>
                      <w:sz w:val="18"/>
                      <w:szCs w:val="18"/>
                      <w:rtl/>
                    </w:rPr>
                    <w:t>צאה לפועל</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מקרה של פיגור כאמור בתקנה 5 (א), יהא השר רשאי להורות למלווה שינקוט בפעולות הוצאה לפועל לשם גביית חוב המשכנתה והמלווה יפעל בהתאם לכך.</w:t>
      </w:r>
    </w:p>
    <w:p w14:paraId="63388E16" w14:textId="77777777" w:rsidR="007B6E62" w:rsidRDefault="007B6E6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שר רשאי להורות למלווה שידחה את פעולות</w:t>
      </w:r>
      <w:r>
        <w:rPr>
          <w:rStyle w:val="default"/>
          <w:rFonts w:cs="FrankRuehl"/>
          <w:rtl/>
        </w:rPr>
        <w:t xml:space="preserve"> ה</w:t>
      </w:r>
      <w:r>
        <w:rPr>
          <w:rStyle w:val="default"/>
          <w:rFonts w:cs="FrankRuehl" w:hint="cs"/>
          <w:rtl/>
        </w:rPr>
        <w:t xml:space="preserve">הוצאה לפועל או יפסיקן, ובלבד שהדחיה או ההפסקה לא </w:t>
      </w:r>
      <w:r>
        <w:rPr>
          <w:rStyle w:val="default"/>
          <w:rFonts w:cs="FrankRuehl"/>
          <w:rtl/>
        </w:rPr>
        <w:t>י</w:t>
      </w:r>
      <w:r>
        <w:rPr>
          <w:rStyle w:val="default"/>
          <w:rFonts w:cs="FrankRuehl" w:hint="cs"/>
          <w:rtl/>
        </w:rPr>
        <w:t>היו לתקופה של למעלה מששה חדשים רצופים.</w:t>
      </w:r>
    </w:p>
    <w:p w14:paraId="0BAFC4E7" w14:textId="77777777" w:rsidR="007B6E62" w:rsidRDefault="007B6E62">
      <w:pPr>
        <w:pStyle w:val="P00"/>
        <w:spacing w:before="72"/>
        <w:ind w:left="0" w:right="1134"/>
        <w:rPr>
          <w:rStyle w:val="default"/>
          <w:rFonts w:cs="FrankRuehl"/>
          <w:rtl/>
        </w:rPr>
      </w:pPr>
      <w:bookmarkStart w:id="7" w:name="Seif6"/>
      <w:bookmarkEnd w:id="7"/>
      <w:r>
        <w:rPr>
          <w:lang w:val="he-IL"/>
        </w:rPr>
        <w:pict w14:anchorId="6AEB9C4B">
          <v:rect id="_x0000_s1032" style="position:absolute;left:0;text-align:left;margin-left:464.5pt;margin-top:8.05pt;width:75.05pt;height:13.9pt;z-index:251659776" o:allowincell="f" filled="f" stroked="f" strokecolor="lime" strokeweight=".25pt">
            <v:textbox inset="0,0,0,0">
              <w:txbxContent>
                <w:p w14:paraId="41AE88F0" w14:textId="77777777" w:rsidR="007B6E62" w:rsidRDefault="007B6E62">
                  <w:pPr>
                    <w:spacing w:line="160" w:lineRule="exact"/>
                    <w:jc w:val="left"/>
                    <w:rPr>
                      <w:rFonts w:cs="Miriam"/>
                      <w:noProof/>
                      <w:sz w:val="18"/>
                      <w:szCs w:val="18"/>
                      <w:rtl/>
                    </w:rPr>
                  </w:pPr>
                  <w:r>
                    <w:rPr>
                      <w:rFonts w:cs="Miriam"/>
                      <w:sz w:val="18"/>
                      <w:szCs w:val="18"/>
                      <w:rtl/>
                    </w:rPr>
                    <w:t>די</w:t>
                  </w:r>
                  <w:r>
                    <w:rPr>
                      <w:rFonts w:cs="Miriam" w:hint="cs"/>
                      <w:sz w:val="18"/>
                      <w:szCs w:val="18"/>
                      <w:rtl/>
                    </w:rPr>
                    <w:t>ן וחשבון</w:t>
                  </w:r>
                </w:p>
              </w:txbxContent>
            </v:textbox>
            <w10:anchorlock/>
          </v:rect>
        </w:pict>
      </w:r>
      <w:r>
        <w:rPr>
          <w:rStyle w:val="big-number"/>
          <w:rFonts w:cs="Miriam"/>
          <w:rtl/>
        </w:rPr>
        <w:t>7.</w:t>
      </w:r>
      <w:r>
        <w:rPr>
          <w:rStyle w:val="big-number"/>
          <w:rFonts w:cs="Miriam"/>
          <w:rtl/>
        </w:rPr>
        <w:tab/>
      </w:r>
      <w:r>
        <w:rPr>
          <w:rStyle w:val="default"/>
          <w:rFonts w:cs="FrankRuehl"/>
          <w:rtl/>
        </w:rPr>
        <w:t>במ</w:t>
      </w:r>
      <w:r>
        <w:rPr>
          <w:rStyle w:val="default"/>
          <w:rFonts w:cs="FrankRuehl" w:hint="cs"/>
          <w:rtl/>
        </w:rPr>
        <w:t xml:space="preserve">שך חודש ינואר בכל שנה יגיש המלווה לשר דין וחשבון על השנה החולפת, ובו יפרט </w:t>
      </w:r>
      <w:r>
        <w:rPr>
          <w:rStyle w:val="default"/>
          <w:rFonts w:cs="FrankRuehl" w:hint="cs"/>
          <w:rtl/>
        </w:rPr>
        <w:lastRenderedPageBreak/>
        <w:t>את המשכנתאות שנרשמו לזכותו לצורך החוק במשרד ספרי האחוזה ואת מצב התשלומים על חשבון המש</w:t>
      </w:r>
      <w:r>
        <w:rPr>
          <w:rStyle w:val="default"/>
          <w:rFonts w:cs="FrankRuehl"/>
          <w:rtl/>
        </w:rPr>
        <w:t>כנ</w:t>
      </w:r>
      <w:r>
        <w:rPr>
          <w:rStyle w:val="default"/>
          <w:rFonts w:cs="FrankRuehl" w:hint="cs"/>
          <w:rtl/>
        </w:rPr>
        <w:t>תאות כאמור.</w:t>
      </w:r>
    </w:p>
    <w:p w14:paraId="71217C66" w14:textId="77777777" w:rsidR="007B6E62" w:rsidRDefault="007B6E62" w:rsidP="00BE1429">
      <w:pPr>
        <w:pStyle w:val="P00"/>
        <w:spacing w:before="72"/>
        <w:ind w:left="0" w:right="1134"/>
        <w:rPr>
          <w:rStyle w:val="default"/>
          <w:rFonts w:cs="FrankRuehl" w:hint="cs"/>
          <w:rtl/>
        </w:rPr>
      </w:pPr>
      <w:bookmarkStart w:id="8" w:name="Seif7"/>
      <w:bookmarkEnd w:id="8"/>
      <w:r>
        <w:rPr>
          <w:lang w:val="he-IL"/>
        </w:rPr>
        <w:pict w14:anchorId="6BD7E0FB">
          <v:rect id="_x0000_s1033" style="position:absolute;left:0;text-align:left;margin-left:464.5pt;margin-top:8.05pt;width:75.05pt;height:12.75pt;z-index:251660800" o:allowincell="f" filled="f" stroked="f" strokecolor="lime" strokeweight=".25pt">
            <v:textbox style="mso-next-textbox:#_x0000_s1033" inset="0,0,0,0">
              <w:txbxContent>
                <w:p w14:paraId="201269C7" w14:textId="77777777" w:rsidR="007B6E62" w:rsidRDefault="007B6E62">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8.</w:t>
      </w:r>
      <w:r>
        <w:rPr>
          <w:rStyle w:val="big-number"/>
          <w:rFonts w:cs="Miriam"/>
          <w:rtl/>
        </w:rPr>
        <w:tab/>
      </w:r>
      <w:r>
        <w:rPr>
          <w:rStyle w:val="default"/>
          <w:rFonts w:cs="FrankRuehl"/>
          <w:rtl/>
        </w:rPr>
        <w:t>לת</w:t>
      </w:r>
      <w:r>
        <w:rPr>
          <w:rStyle w:val="default"/>
          <w:rFonts w:cs="FrankRuehl" w:hint="cs"/>
          <w:rtl/>
        </w:rPr>
        <w:t>קנות אלה ייק</w:t>
      </w:r>
      <w:r>
        <w:rPr>
          <w:rStyle w:val="default"/>
          <w:rFonts w:cs="FrankRuehl"/>
          <w:rtl/>
        </w:rPr>
        <w:t>ר</w:t>
      </w:r>
      <w:r>
        <w:rPr>
          <w:rStyle w:val="default"/>
          <w:rFonts w:cs="FrankRuehl" w:hint="cs"/>
          <w:rtl/>
        </w:rPr>
        <w:t>א "תקנות ערבות למשכנתאות, תשט"ו</w:t>
      </w:r>
      <w:r w:rsidR="00BE1429">
        <w:rPr>
          <w:rStyle w:val="default"/>
          <w:rFonts w:cs="FrankRuehl" w:hint="cs"/>
          <w:rtl/>
        </w:rPr>
        <w:t>-</w:t>
      </w:r>
      <w:r>
        <w:rPr>
          <w:rStyle w:val="default"/>
          <w:rFonts w:cs="FrankRuehl"/>
          <w:rtl/>
        </w:rPr>
        <w:t>1955".</w:t>
      </w:r>
    </w:p>
    <w:p w14:paraId="2CAE54E2" w14:textId="77777777" w:rsidR="00BE1429" w:rsidRDefault="00BE1429">
      <w:pPr>
        <w:pStyle w:val="P00"/>
        <w:spacing w:before="72"/>
        <w:ind w:left="0" w:right="1134"/>
        <w:rPr>
          <w:rStyle w:val="default"/>
          <w:rFonts w:cs="FrankRuehl" w:hint="cs"/>
          <w:rtl/>
        </w:rPr>
      </w:pPr>
    </w:p>
    <w:p w14:paraId="36FB3772" w14:textId="77777777" w:rsidR="007B6E62" w:rsidRDefault="00BE1429">
      <w:pPr>
        <w:pStyle w:val="medium2-header"/>
        <w:keepLines w:val="0"/>
        <w:spacing w:before="72"/>
        <w:ind w:left="0" w:right="1134"/>
        <w:rPr>
          <w:rFonts w:cs="FrankRuehl" w:hint="cs"/>
          <w:noProof/>
          <w:sz w:val="26"/>
          <w:szCs w:val="26"/>
          <w:rtl/>
        </w:rPr>
      </w:pPr>
      <w:bookmarkStart w:id="9" w:name="med0"/>
      <w:bookmarkEnd w:id="9"/>
      <w:r>
        <w:rPr>
          <w:rFonts w:cs="FrankRuehl"/>
          <w:noProof/>
          <w:sz w:val="26"/>
          <w:szCs w:val="26"/>
          <w:rtl/>
          <w:lang w:eastAsia="en-US"/>
        </w:rPr>
        <w:pict w14:anchorId="53DEE136">
          <v:shapetype id="_x0000_t202" coordsize="21600,21600" o:spt="202" path="m,l,21600r21600,l21600,xe">
            <v:stroke joinstyle="miter"/>
            <v:path gradientshapeok="t" o:connecttype="rect"/>
          </v:shapetype>
          <v:shape id="_x0000_s1035" type="#_x0000_t202" style="position:absolute;left:0;text-align:left;margin-left:470.25pt;margin-top:7.1pt;width:1in;height:14.6pt;z-index:251661824" filled="f" stroked="f">
            <v:textbox inset="1mm,0,1mm,0">
              <w:txbxContent>
                <w:p w14:paraId="11FA186D" w14:textId="77777777" w:rsidR="00BE1429" w:rsidRDefault="00BE1429" w:rsidP="00BE1429">
                  <w:pPr>
                    <w:spacing w:line="160" w:lineRule="exact"/>
                    <w:jc w:val="left"/>
                    <w:rPr>
                      <w:rFonts w:cs="Miriam"/>
                      <w:noProof/>
                      <w:sz w:val="18"/>
                      <w:szCs w:val="18"/>
                      <w:rtl/>
                    </w:rPr>
                  </w:pPr>
                  <w:r>
                    <w:rPr>
                      <w:rFonts w:cs="Miriam"/>
                      <w:sz w:val="18"/>
                      <w:szCs w:val="18"/>
                      <w:rtl/>
                    </w:rPr>
                    <w:t>תק</w:t>
                  </w:r>
                  <w:r>
                    <w:rPr>
                      <w:rFonts w:cs="Miriam" w:hint="cs"/>
                      <w:sz w:val="18"/>
                      <w:szCs w:val="18"/>
                      <w:rtl/>
                    </w:rPr>
                    <w:t>' תשט"ז-</w:t>
                  </w:r>
                  <w:r>
                    <w:rPr>
                      <w:rFonts w:cs="Miriam"/>
                      <w:sz w:val="18"/>
                      <w:szCs w:val="18"/>
                      <w:rtl/>
                    </w:rPr>
                    <w:t>1955</w:t>
                  </w:r>
                </w:p>
              </w:txbxContent>
            </v:textbox>
            <w10:anchorlock/>
          </v:shape>
        </w:pict>
      </w:r>
      <w:r w:rsidR="007B6E62" w:rsidRPr="00BE1429">
        <w:rPr>
          <w:rFonts w:cs="FrankRuehl"/>
          <w:noProof/>
          <w:sz w:val="26"/>
          <w:szCs w:val="26"/>
          <w:rtl/>
        </w:rPr>
        <w:t>תו</w:t>
      </w:r>
      <w:r w:rsidR="007B6E62" w:rsidRPr="00BE1429">
        <w:rPr>
          <w:rFonts w:cs="FrankRuehl" w:hint="cs"/>
          <w:noProof/>
          <w:sz w:val="26"/>
          <w:szCs w:val="26"/>
          <w:rtl/>
        </w:rPr>
        <w:t>ספת</w:t>
      </w:r>
    </w:p>
    <w:p w14:paraId="5E8AE5FB" w14:textId="77777777" w:rsidR="002D4B85" w:rsidRPr="00984C9B" w:rsidRDefault="002D4B85" w:rsidP="00984C9B">
      <w:pPr>
        <w:pStyle w:val="P00"/>
        <w:spacing w:before="72"/>
        <w:ind w:left="0" w:right="1134"/>
        <w:rPr>
          <w:rStyle w:val="default"/>
          <w:rFonts w:cs="FrankRuehl" w:hint="cs"/>
          <w:sz w:val="24"/>
          <w:szCs w:val="24"/>
          <w:rtl/>
        </w:rPr>
      </w:pPr>
      <w:r w:rsidRPr="00984C9B">
        <w:rPr>
          <w:rStyle w:val="default"/>
          <w:rFonts w:cs="FrankRuehl" w:hint="cs"/>
          <w:sz w:val="24"/>
          <w:szCs w:val="24"/>
          <w:rtl/>
        </w:rPr>
        <w:t>(תקנה 2)</w:t>
      </w:r>
    </w:p>
    <w:p w14:paraId="11A5B8A9" w14:textId="77777777" w:rsidR="002D4B85" w:rsidRPr="00557F8E" w:rsidRDefault="002D4B85" w:rsidP="002D4B85">
      <w:pPr>
        <w:pStyle w:val="P00"/>
        <w:spacing w:before="72"/>
        <w:ind w:left="0" w:right="1134"/>
        <w:jc w:val="left"/>
        <w:rPr>
          <w:rFonts w:cs="FrankRuehl" w:hint="cs"/>
          <w:b/>
          <w:sz w:val="24"/>
          <w:szCs w:val="24"/>
          <w:rtl/>
        </w:rPr>
      </w:pPr>
      <w:r w:rsidRPr="00557F8E">
        <w:rPr>
          <w:rFonts w:cs="FrankRuehl" w:hint="cs"/>
          <w:b/>
          <w:sz w:val="24"/>
          <w:szCs w:val="24"/>
          <w:rtl/>
        </w:rPr>
        <w:t>[</w:t>
      </w:r>
      <w:hyperlink r:id="rId7" w:history="1">
        <w:r w:rsidRPr="007F659E">
          <w:rPr>
            <w:rStyle w:val="Hyperlink"/>
            <w:rFonts w:cs="FrankRuehl"/>
            <w:b/>
            <w:sz w:val="24"/>
            <w:szCs w:val="24"/>
            <w:rtl/>
          </w:rPr>
          <w:t>בק</w:t>
        </w:r>
        <w:r w:rsidRPr="007F659E">
          <w:rPr>
            <w:rStyle w:val="Hyperlink"/>
            <w:rFonts w:cs="FrankRuehl" w:hint="cs"/>
            <w:b/>
            <w:sz w:val="24"/>
            <w:szCs w:val="24"/>
            <w:rtl/>
          </w:rPr>
          <w:t>שה למתן ערבות למילווה לפי חוק ערבות למשכנתאות, תשי"ב-</w:t>
        </w:r>
        <w:r w:rsidRPr="007F659E">
          <w:rPr>
            <w:rStyle w:val="Hyperlink"/>
            <w:rFonts w:cs="FrankRuehl"/>
            <w:b/>
            <w:sz w:val="24"/>
            <w:szCs w:val="24"/>
            <w:rtl/>
          </w:rPr>
          <w:t>1952</w:t>
        </w:r>
      </w:hyperlink>
      <w:r w:rsidRPr="00557F8E">
        <w:rPr>
          <w:rFonts w:cs="FrankRuehl" w:hint="cs"/>
          <w:b/>
          <w:sz w:val="24"/>
          <w:szCs w:val="24"/>
          <w:rtl/>
        </w:rPr>
        <w:t>]</w:t>
      </w:r>
    </w:p>
    <w:p w14:paraId="1DA9E325" w14:textId="77777777" w:rsidR="007B6E62" w:rsidRDefault="007B6E62" w:rsidP="00BE1429">
      <w:pPr>
        <w:pStyle w:val="P00"/>
        <w:spacing w:before="72"/>
        <w:ind w:left="0" w:right="1134"/>
        <w:rPr>
          <w:rStyle w:val="default"/>
          <w:rFonts w:cs="FrankRuehl" w:hint="cs"/>
          <w:rtl/>
        </w:rPr>
      </w:pPr>
    </w:p>
    <w:p w14:paraId="197BBB51" w14:textId="77777777" w:rsidR="00BE1429" w:rsidRDefault="00BE1429" w:rsidP="00BE1429">
      <w:pPr>
        <w:pStyle w:val="P00"/>
        <w:spacing w:before="72"/>
        <w:ind w:left="0" w:right="1134"/>
        <w:rPr>
          <w:rStyle w:val="default"/>
          <w:rFonts w:cs="FrankRuehl" w:hint="cs"/>
          <w:rtl/>
        </w:rPr>
      </w:pPr>
    </w:p>
    <w:p w14:paraId="3ACDC0BB" w14:textId="77777777" w:rsidR="007B6E62" w:rsidRDefault="007B6E62" w:rsidP="00984C9B">
      <w:pPr>
        <w:pStyle w:val="sig-0"/>
        <w:tabs>
          <w:tab w:val="clear" w:pos="4820"/>
          <w:tab w:val="center" w:pos="5670"/>
        </w:tabs>
        <w:spacing w:before="72"/>
        <w:ind w:left="0" w:right="1134"/>
        <w:rPr>
          <w:rFonts w:cs="FrankRuehl"/>
          <w:sz w:val="26"/>
          <w:rtl/>
        </w:rPr>
      </w:pPr>
      <w:r>
        <w:rPr>
          <w:rFonts w:cs="FrankRuehl"/>
          <w:sz w:val="26"/>
          <w:rtl/>
        </w:rPr>
        <w:t>כ"</w:t>
      </w:r>
      <w:r>
        <w:rPr>
          <w:rFonts w:cs="FrankRuehl" w:hint="cs"/>
          <w:sz w:val="26"/>
          <w:rtl/>
        </w:rPr>
        <w:t>ז בתמוז תשט"ו (17 ביולי 1955)</w:t>
      </w:r>
      <w:r>
        <w:rPr>
          <w:rFonts w:cs="FrankRuehl"/>
          <w:sz w:val="26"/>
          <w:rtl/>
        </w:rPr>
        <w:tab/>
        <w:t>ל</w:t>
      </w:r>
      <w:r>
        <w:rPr>
          <w:rFonts w:cs="FrankRuehl" w:hint="cs"/>
          <w:sz w:val="26"/>
          <w:rtl/>
        </w:rPr>
        <w:t>וי אשכול</w:t>
      </w:r>
    </w:p>
    <w:p w14:paraId="0267A984" w14:textId="77777777" w:rsidR="007B6E62" w:rsidRDefault="007B6E62" w:rsidP="00984C9B">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t>ש</w:t>
      </w:r>
      <w:r>
        <w:rPr>
          <w:rFonts w:cs="FrankRuehl" w:hint="cs"/>
          <w:sz w:val="22"/>
          <w:rtl/>
        </w:rPr>
        <w:t>ר האוצר</w:t>
      </w:r>
    </w:p>
    <w:p w14:paraId="5DDEEFCA" w14:textId="77777777" w:rsidR="00BE1429" w:rsidRPr="00BE1429" w:rsidRDefault="00BE1429" w:rsidP="00BE1429">
      <w:pPr>
        <w:pStyle w:val="P00"/>
        <w:spacing w:before="72"/>
        <w:ind w:left="0" w:right="1134"/>
        <w:rPr>
          <w:rStyle w:val="default"/>
          <w:rFonts w:cs="FrankRuehl" w:hint="cs"/>
          <w:rtl/>
        </w:rPr>
      </w:pPr>
    </w:p>
    <w:p w14:paraId="4CA1F31F" w14:textId="77777777" w:rsidR="00BE1429" w:rsidRPr="00BE1429" w:rsidRDefault="00BE1429" w:rsidP="00BE1429">
      <w:pPr>
        <w:pStyle w:val="P00"/>
        <w:spacing w:before="72"/>
        <w:ind w:left="0" w:right="1134"/>
        <w:rPr>
          <w:rStyle w:val="default"/>
          <w:rFonts w:cs="FrankRuehl"/>
          <w:rtl/>
        </w:rPr>
      </w:pPr>
    </w:p>
    <w:p w14:paraId="7BF8DBD4" w14:textId="77777777" w:rsidR="007B6E62" w:rsidRPr="00BE1429" w:rsidRDefault="007B6E62" w:rsidP="00BE1429">
      <w:pPr>
        <w:pStyle w:val="P00"/>
        <w:spacing w:before="72"/>
        <w:ind w:left="0" w:right="1134"/>
        <w:rPr>
          <w:rStyle w:val="default"/>
          <w:rFonts w:cs="FrankRuehl"/>
          <w:rtl/>
        </w:rPr>
      </w:pPr>
      <w:bookmarkStart w:id="10" w:name="LawPartEnd"/>
    </w:p>
    <w:bookmarkEnd w:id="10"/>
    <w:p w14:paraId="15163F9E" w14:textId="77777777" w:rsidR="007B6E62" w:rsidRPr="00BE1429" w:rsidRDefault="007B6E62" w:rsidP="00BE1429">
      <w:pPr>
        <w:pStyle w:val="P00"/>
        <w:spacing w:before="72"/>
        <w:ind w:left="0" w:right="1134"/>
        <w:rPr>
          <w:rStyle w:val="default"/>
          <w:rFonts w:cs="FrankRuehl"/>
          <w:rtl/>
        </w:rPr>
      </w:pPr>
    </w:p>
    <w:sectPr w:rsidR="007B6E62" w:rsidRPr="00BE1429">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9D034" w14:textId="77777777" w:rsidR="002101BD" w:rsidRDefault="002101BD">
      <w:r>
        <w:separator/>
      </w:r>
    </w:p>
  </w:endnote>
  <w:endnote w:type="continuationSeparator" w:id="0">
    <w:p w14:paraId="53FB4898" w14:textId="77777777" w:rsidR="002101BD" w:rsidRDefault="00210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39553" w14:textId="77777777" w:rsidR="007B6E62" w:rsidRDefault="007B6E6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C947674" w14:textId="77777777" w:rsidR="007B6E62" w:rsidRDefault="007B6E6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6913029" w14:textId="77777777" w:rsidR="007B6E62" w:rsidRDefault="007B6E6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E1429">
      <w:rPr>
        <w:rFonts w:cs="TopType Jerushalmi"/>
        <w:noProof/>
        <w:color w:val="000000"/>
        <w:sz w:val="14"/>
        <w:szCs w:val="14"/>
      </w:rPr>
      <w:t>D:\Yael\hakika\Revadim\p183_003.doc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FB196" w14:textId="77777777" w:rsidR="007B6E62" w:rsidRDefault="007B6E6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84C9B">
      <w:rPr>
        <w:rFonts w:hAnsi="FrankRuehl" w:cs="FrankRuehl"/>
        <w:noProof/>
        <w:sz w:val="24"/>
        <w:szCs w:val="24"/>
        <w:rtl/>
      </w:rPr>
      <w:t>2</w:t>
    </w:r>
    <w:r>
      <w:rPr>
        <w:rFonts w:hAnsi="FrankRuehl" w:cs="FrankRuehl"/>
        <w:sz w:val="24"/>
        <w:szCs w:val="24"/>
        <w:rtl/>
      </w:rPr>
      <w:fldChar w:fldCharType="end"/>
    </w:r>
  </w:p>
  <w:p w14:paraId="116C9186" w14:textId="77777777" w:rsidR="007B6E62" w:rsidRDefault="007B6E6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D1786D8" w14:textId="77777777" w:rsidR="007B6E62" w:rsidRDefault="007B6E6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E1429">
      <w:rPr>
        <w:rFonts w:cs="TopType Jerushalmi"/>
        <w:noProof/>
        <w:color w:val="000000"/>
        <w:sz w:val="14"/>
        <w:szCs w:val="14"/>
      </w:rPr>
      <w:t>D:\Yael\hakika\Revadim\p183_003.doc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2C157" w14:textId="77777777" w:rsidR="002101BD" w:rsidRDefault="002101BD" w:rsidP="00BE1429">
      <w:pPr>
        <w:spacing w:before="60" w:line="240" w:lineRule="auto"/>
        <w:ind w:right="1134"/>
      </w:pPr>
      <w:r>
        <w:separator/>
      </w:r>
    </w:p>
  </w:footnote>
  <w:footnote w:type="continuationSeparator" w:id="0">
    <w:p w14:paraId="4247242F" w14:textId="77777777" w:rsidR="002101BD" w:rsidRDefault="002101BD">
      <w:r>
        <w:continuationSeparator/>
      </w:r>
    </w:p>
  </w:footnote>
  <w:footnote w:id="1">
    <w:p w14:paraId="657BB53B" w14:textId="77777777" w:rsidR="00BE1429" w:rsidRDefault="00BE1429" w:rsidP="00BE142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BE1429">
        <w:rPr>
          <w:rFonts w:cs="FrankRuehl"/>
          <w:rtl/>
        </w:rPr>
        <w:t xml:space="preserve">* </w:t>
      </w:r>
      <w:r>
        <w:rPr>
          <w:rFonts w:cs="FrankRuehl"/>
          <w:rtl/>
        </w:rPr>
        <w:t>פו</w:t>
      </w:r>
      <w:r>
        <w:rPr>
          <w:rFonts w:cs="FrankRuehl" w:hint="cs"/>
          <w:rtl/>
        </w:rPr>
        <w:t xml:space="preserve">רסמו </w:t>
      </w:r>
      <w:hyperlink r:id="rId1" w:history="1">
        <w:r w:rsidRPr="00995234">
          <w:rPr>
            <w:rStyle w:val="Hyperlink"/>
            <w:rFonts w:cs="FrankRuehl" w:hint="cs"/>
            <w:rtl/>
          </w:rPr>
          <w:t>ק"ת תשט"ו מס' 537</w:t>
        </w:r>
      </w:hyperlink>
      <w:r>
        <w:rPr>
          <w:rFonts w:cs="FrankRuehl" w:hint="cs"/>
          <w:rtl/>
        </w:rPr>
        <w:t xml:space="preserve"> מיום 4.8.1955 עמ' 1270.</w:t>
      </w:r>
    </w:p>
    <w:p w14:paraId="55E49770" w14:textId="77777777" w:rsidR="00BE1429" w:rsidRPr="00BE1429" w:rsidRDefault="00BE1429" w:rsidP="00BE142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Pr>
          <w:rFonts w:cs="FrankRuehl" w:hint="cs"/>
          <w:rtl/>
        </w:rPr>
        <w:t>ת</w:t>
      </w:r>
      <w:r>
        <w:rPr>
          <w:rFonts w:cs="FrankRuehl"/>
          <w:rtl/>
        </w:rPr>
        <w:t>ו</w:t>
      </w:r>
      <w:r>
        <w:rPr>
          <w:rFonts w:cs="FrankRuehl" w:hint="cs"/>
          <w:rtl/>
        </w:rPr>
        <w:t xml:space="preserve">קנו </w:t>
      </w:r>
      <w:hyperlink r:id="rId2" w:history="1">
        <w:r w:rsidRPr="00E919CE">
          <w:rPr>
            <w:rStyle w:val="Hyperlink"/>
            <w:rFonts w:cs="FrankRuehl" w:hint="cs"/>
            <w:rtl/>
          </w:rPr>
          <w:t>ק"ת תשט"ז מס' 566</w:t>
        </w:r>
      </w:hyperlink>
      <w:r>
        <w:rPr>
          <w:rFonts w:cs="FrankRuehl" w:hint="cs"/>
          <w:rtl/>
        </w:rPr>
        <w:t xml:space="preserve"> מיום 17.11.1955 עמ' 219 </w:t>
      </w:r>
      <w:r>
        <w:rPr>
          <w:rFonts w:cs="FrankRuehl"/>
          <w:rtl/>
        </w:rPr>
        <w:t>–</w:t>
      </w:r>
      <w:r>
        <w:rPr>
          <w:rFonts w:cs="FrankRuehl" w:hint="cs"/>
          <w:rtl/>
        </w:rPr>
        <w:t xml:space="preserve"> </w:t>
      </w:r>
      <w:r w:rsidRPr="00A53D68">
        <w:rPr>
          <w:rFonts w:cs="FrankRuehl" w:hint="cs"/>
          <w:rtl/>
        </w:rPr>
        <w:t>תק'</w:t>
      </w:r>
      <w:r>
        <w:rPr>
          <w:rFonts w:cs="FrankRuehl" w:hint="cs"/>
          <w:rtl/>
        </w:rPr>
        <w:t xml:space="preserve"> תשט"ז-1955.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C690E" w14:textId="77777777" w:rsidR="007B6E62" w:rsidRDefault="007B6E6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ערבות למשכנתאות, תשט"ו–1955</w:t>
    </w:r>
  </w:p>
  <w:p w14:paraId="35D7439C" w14:textId="77777777" w:rsidR="007B6E62" w:rsidRDefault="007B6E6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E498586" w14:textId="77777777" w:rsidR="007B6E62" w:rsidRDefault="007B6E62">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0553A" w14:textId="77777777" w:rsidR="007B6E62" w:rsidRDefault="007B6E62" w:rsidP="00BE142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ערבות למשכנתאות, תשט"ו</w:t>
    </w:r>
    <w:r w:rsidR="00BE1429">
      <w:rPr>
        <w:rFonts w:hAnsi="FrankRuehl" w:cs="FrankRuehl" w:hint="cs"/>
        <w:color w:val="000000"/>
        <w:sz w:val="28"/>
        <w:szCs w:val="28"/>
        <w:rtl/>
      </w:rPr>
      <w:t>-</w:t>
    </w:r>
    <w:r>
      <w:rPr>
        <w:rFonts w:hAnsi="FrankRuehl" w:cs="FrankRuehl"/>
        <w:color w:val="000000"/>
        <w:sz w:val="28"/>
        <w:szCs w:val="28"/>
        <w:rtl/>
      </w:rPr>
      <w:t>1955</w:t>
    </w:r>
  </w:p>
  <w:p w14:paraId="6A924AB7" w14:textId="77777777" w:rsidR="007B6E62" w:rsidRDefault="007B6E6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949349D" w14:textId="77777777" w:rsidR="007B6E62" w:rsidRDefault="007B6E62">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82BD4"/>
    <w:rsid w:val="000E4C8B"/>
    <w:rsid w:val="000E4DF3"/>
    <w:rsid w:val="0012478E"/>
    <w:rsid w:val="001E14FF"/>
    <w:rsid w:val="002101BD"/>
    <w:rsid w:val="00273602"/>
    <w:rsid w:val="00276E21"/>
    <w:rsid w:val="002D4B85"/>
    <w:rsid w:val="00330BBD"/>
    <w:rsid w:val="003D7201"/>
    <w:rsid w:val="003D7D94"/>
    <w:rsid w:val="00417DDF"/>
    <w:rsid w:val="004E207E"/>
    <w:rsid w:val="004E6F24"/>
    <w:rsid w:val="00553FEA"/>
    <w:rsid w:val="00582BD4"/>
    <w:rsid w:val="00614523"/>
    <w:rsid w:val="006D0F0B"/>
    <w:rsid w:val="007B6E62"/>
    <w:rsid w:val="007F659E"/>
    <w:rsid w:val="008B04B3"/>
    <w:rsid w:val="008D5729"/>
    <w:rsid w:val="00934B01"/>
    <w:rsid w:val="00974757"/>
    <w:rsid w:val="00984C9B"/>
    <w:rsid w:val="00995234"/>
    <w:rsid w:val="009B477D"/>
    <w:rsid w:val="009F277D"/>
    <w:rsid w:val="00A53A66"/>
    <w:rsid w:val="00A53D68"/>
    <w:rsid w:val="00BC75F5"/>
    <w:rsid w:val="00BE1429"/>
    <w:rsid w:val="00BF0023"/>
    <w:rsid w:val="00C775CC"/>
    <w:rsid w:val="00D53C55"/>
    <w:rsid w:val="00E919CE"/>
    <w:rsid w:val="00F4750E"/>
    <w:rsid w:val="00F5686E"/>
    <w:rsid w:val="00F84CB0"/>
    <w:rsid w:val="00FE350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40A1E896"/>
  <w15:chartTrackingRefBased/>
  <w15:docId w15:val="{4703F1A4-B2BC-40A9-B61B-08F5B85A9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1">
    <w:name w:val="P01"/>
    <w:basedOn w:val="P00"/>
    <w:pPr>
      <w:ind w:right="624" w:hanging="624"/>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BE1429"/>
    <w:rPr>
      <w:sz w:val="20"/>
      <w:szCs w:val="20"/>
    </w:rPr>
  </w:style>
  <w:style w:type="character" w:styleId="a6">
    <w:name w:val="footnote reference"/>
    <w:basedOn w:val="a0"/>
    <w:semiHidden/>
    <w:rsid w:val="00BE142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TFASIM/&#1496;&#1508;&#1505;&#1497;&#1501;%20&#1502;&#1513;&#1508;&#1496;&#1497;&#1497;&#1501;/&#1513;&#1493;&#1504;&#1493;&#1514;/&#1502;&#1513;&#1499;&#1504;&#1514;&#1488;&#1493;&#1514;/&#1489;&#1511;&#1513;&#1492;%20&#1500;&#1502;&#1514;&#1503;%20&#1506;&#1512;&#1489;&#1493;&#1514;%20&#1500;&#1502;&#1497;&#1500;&#1493;&#1493;&#1492;%20&#1500;&#1508;&#1497;%20&#1495;&#1493;&#1511;%20&#1506;&#1512;&#1489;&#1493;&#1514;%20&#1500;&#1502;&#1513;&#1499;&#1504;&#1514;&#1488;&#1493;&#1514;,%20&#1514;&#1513;&#1497;&#1489;-1952.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0566.pdf"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0566.pdf" TargetMode="External"/><Relationship Id="rId1" Type="http://schemas.openxmlformats.org/officeDocument/2006/relationships/hyperlink" Target="http://www.nevo.co.il/Law_word/law06/TAK-053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פרק 183</vt:lpstr>
    </vt:vector>
  </TitlesOfParts>
  <Company/>
  <LinksUpToDate>false</LinksUpToDate>
  <CharactersWithSpaces>3710</CharactersWithSpaces>
  <SharedDoc>false</SharedDoc>
  <HLinks>
    <vt:vector size="78" baseType="variant">
      <vt:variant>
        <vt:i4>92733556</vt:i4>
      </vt:variant>
      <vt:variant>
        <vt:i4>57</vt:i4>
      </vt:variant>
      <vt:variant>
        <vt:i4>0</vt:i4>
      </vt:variant>
      <vt:variant>
        <vt:i4>5</vt:i4>
      </vt:variant>
      <vt:variant>
        <vt:lpwstr>http://www.nevo.co.il/TFASIM/טפסים משפטיים/שונות/משכנתאות/בקשה למתן ערבות למילווה לפי חוק ערבות למשכנתאות, תשיב-1952.DOC</vt:lpwstr>
      </vt:variant>
      <vt:variant>
        <vt:lpwstr/>
      </vt:variant>
      <vt:variant>
        <vt:i4>8323083</vt:i4>
      </vt:variant>
      <vt:variant>
        <vt:i4>54</vt:i4>
      </vt:variant>
      <vt:variant>
        <vt:i4>0</vt:i4>
      </vt:variant>
      <vt:variant>
        <vt:i4>5</vt:i4>
      </vt:variant>
      <vt:variant>
        <vt:lpwstr>http://www.nevo.co.il/Law_word/law06/TAK-0566.pdf</vt:lpwstr>
      </vt:variant>
      <vt:variant>
        <vt:lpwstr/>
      </vt:variant>
      <vt:variant>
        <vt:i4>5570569</vt:i4>
      </vt:variant>
      <vt:variant>
        <vt:i4>51</vt:i4>
      </vt:variant>
      <vt:variant>
        <vt:i4>0</vt:i4>
      </vt:variant>
      <vt:variant>
        <vt:i4>5</vt:i4>
      </vt:variant>
      <vt:variant>
        <vt:lpwstr/>
      </vt:variant>
      <vt:variant>
        <vt:lpwstr>med0</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8323083</vt:i4>
      </vt:variant>
      <vt:variant>
        <vt:i4>3</vt:i4>
      </vt:variant>
      <vt:variant>
        <vt:i4>0</vt:i4>
      </vt:variant>
      <vt:variant>
        <vt:i4>5</vt:i4>
      </vt:variant>
      <vt:variant>
        <vt:lpwstr>http://www.nevo.co.il/Law_word/law06/TAK-0566.pdf</vt:lpwstr>
      </vt:variant>
      <vt:variant>
        <vt:lpwstr/>
      </vt:variant>
      <vt:variant>
        <vt:i4>7995402</vt:i4>
      </vt:variant>
      <vt:variant>
        <vt:i4>0</vt:i4>
      </vt:variant>
      <vt:variant>
        <vt:i4>0</vt:i4>
      </vt:variant>
      <vt:variant>
        <vt:i4>5</vt:i4>
      </vt:variant>
      <vt:variant>
        <vt:lpwstr>http://www.nevo.co.il/Law_word/law06/TAK-0537.pdf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183</dc:title>
  <dc:subject/>
  <dc:creator>eli</dc:creator>
  <cp:keywords/>
  <dc:description/>
  <cp:lastModifiedBy>Shimon Doodkin</cp:lastModifiedBy>
  <cp:revision>2</cp:revision>
  <dcterms:created xsi:type="dcterms:W3CDTF">2023-06-05T20:38:00Z</dcterms:created>
  <dcterms:modified xsi:type="dcterms:W3CDTF">2023-06-05T20:38:00Z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p183</vt:lpwstr>
  </property>
  <property fmtid="{D5CDD505-2E9C-101B-9397-08002B2CF9AE}" pid="3" name="CHNAME">
    <vt:lpwstr>ערבויות מטעם המדינה</vt:lpwstr>
  </property>
  <property fmtid="{D5CDD505-2E9C-101B-9397-08002B2CF9AE}" pid="4" name="LAWNAME">
    <vt:lpwstr>תקנות ערבות למשכנתאות, תשט"ו-1955</vt:lpwstr>
  </property>
  <property fmtid="{D5CDD505-2E9C-101B-9397-08002B2CF9AE}" pid="5" name="LAWNUMBER">
    <vt:lpwstr>0003</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חיובים</vt:lpwstr>
  </property>
  <property fmtid="{D5CDD505-2E9C-101B-9397-08002B2CF9AE}" pid="9" name="NOSE31">
    <vt:lpwstr>ערבות</vt:lpwstr>
  </property>
  <property fmtid="{D5CDD505-2E9C-101B-9397-08002B2CF9AE}" pid="10" name="NOSE41">
    <vt:lpwstr>מטעם המדינה</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ערבות למשכנתאות</vt:lpwstr>
  </property>
  <property fmtid="{D5CDD505-2E9C-101B-9397-08002B2CF9AE}" pid="48" name="MEKOR_SAIF1">
    <vt:lpwstr>17X</vt:lpwstr>
  </property>
</Properties>
</file>