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B5FC" w14:textId="77777777" w:rsidR="001153D7" w:rsidRDefault="006B7387" w:rsidP="001F14B1">
      <w:pPr>
        <w:pStyle w:val="big-header"/>
        <w:ind w:left="0" w:right="1134"/>
        <w:rPr>
          <w:rFonts w:hint="cs"/>
          <w:rtl/>
        </w:rPr>
      </w:pPr>
      <w:r>
        <w:rPr>
          <w:rFonts w:hint="cs"/>
          <w:rtl/>
        </w:rPr>
        <w:t xml:space="preserve">תקנות </w:t>
      </w:r>
      <w:r w:rsidR="001F14B1">
        <w:rPr>
          <w:rFonts w:hint="cs"/>
          <w:rtl/>
        </w:rPr>
        <w:t>פינוי בינוי (פיצויים) (כללים לקביעת שכרו של שמאי פינוי בינוי</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14:paraId="680543EF" w14:textId="77777777" w:rsidR="001F14B1" w:rsidRPr="001F14B1" w:rsidRDefault="001F14B1" w:rsidP="001F14B1">
      <w:pPr>
        <w:spacing w:line="320" w:lineRule="auto"/>
        <w:jc w:val="left"/>
        <w:rPr>
          <w:rFonts w:cs="FrankRuehl"/>
          <w:szCs w:val="26"/>
          <w:rtl/>
        </w:rPr>
      </w:pPr>
    </w:p>
    <w:p w14:paraId="2D0C1B4A" w14:textId="77777777" w:rsidR="001F14B1" w:rsidRDefault="001F14B1" w:rsidP="001F14B1">
      <w:pPr>
        <w:spacing w:line="320" w:lineRule="auto"/>
        <w:jc w:val="left"/>
        <w:rPr>
          <w:rtl/>
        </w:rPr>
      </w:pPr>
    </w:p>
    <w:p w14:paraId="447FBC33" w14:textId="77777777" w:rsidR="001F14B1" w:rsidRDefault="001F14B1" w:rsidP="001F14B1">
      <w:pPr>
        <w:spacing w:line="320" w:lineRule="auto"/>
        <w:jc w:val="left"/>
        <w:rPr>
          <w:rFonts w:cs="Miriam"/>
          <w:szCs w:val="22"/>
          <w:rtl/>
        </w:rPr>
      </w:pPr>
      <w:r w:rsidRPr="001F14B1">
        <w:rPr>
          <w:rFonts w:cs="Miriam"/>
          <w:szCs w:val="22"/>
          <w:rtl/>
        </w:rPr>
        <w:t>רשויות ומשפט מנהלי</w:t>
      </w:r>
      <w:r w:rsidRPr="001F14B1">
        <w:rPr>
          <w:rFonts w:cs="FrankRuehl"/>
          <w:szCs w:val="26"/>
          <w:rtl/>
        </w:rPr>
        <w:t xml:space="preserve"> – תכנון ובניה – בינוי ופינוי  – פיצויים</w:t>
      </w:r>
    </w:p>
    <w:p w14:paraId="7363D3F4" w14:textId="77777777" w:rsidR="001F14B1" w:rsidRPr="001F14B1" w:rsidRDefault="001F14B1" w:rsidP="001F14B1">
      <w:pPr>
        <w:spacing w:line="320" w:lineRule="auto"/>
        <w:jc w:val="left"/>
        <w:rPr>
          <w:rFonts w:cs="Miriam" w:hint="cs"/>
          <w:szCs w:val="22"/>
          <w:rtl/>
        </w:rPr>
      </w:pPr>
      <w:r w:rsidRPr="001F14B1">
        <w:rPr>
          <w:rFonts w:cs="Miriam"/>
          <w:szCs w:val="22"/>
          <w:rtl/>
        </w:rPr>
        <w:t>משפט פרטי וכלכלה</w:t>
      </w:r>
      <w:r w:rsidRPr="001F14B1">
        <w:rPr>
          <w:rFonts w:cs="FrankRuehl"/>
          <w:szCs w:val="26"/>
          <w:rtl/>
        </w:rPr>
        <w:t xml:space="preserve"> – קניין – מקרקעין – פינוי והפקעה</w:t>
      </w:r>
    </w:p>
    <w:p w14:paraId="57C73944"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D691D" w:rsidRPr="00FD691D" w14:paraId="2775EDF0" w14:textId="77777777" w:rsidTr="00FD691D">
        <w:tblPrEx>
          <w:tblCellMar>
            <w:top w:w="0" w:type="dxa"/>
            <w:bottom w:w="0" w:type="dxa"/>
          </w:tblCellMar>
        </w:tblPrEx>
        <w:tc>
          <w:tcPr>
            <w:tcW w:w="1247" w:type="dxa"/>
          </w:tcPr>
          <w:p w14:paraId="10ECC8D6" w14:textId="77777777" w:rsidR="00FD691D" w:rsidRPr="00FD691D" w:rsidRDefault="00FD691D" w:rsidP="00FD691D">
            <w:pPr>
              <w:spacing w:line="240" w:lineRule="auto"/>
              <w:jc w:val="left"/>
              <w:rPr>
                <w:rFonts w:cs="Frankruhel" w:hint="cs"/>
                <w:sz w:val="24"/>
                <w:rtl/>
              </w:rPr>
            </w:pPr>
            <w:r>
              <w:rPr>
                <w:rFonts w:cs="Times New Roman"/>
                <w:sz w:val="24"/>
                <w:rtl/>
              </w:rPr>
              <w:t xml:space="preserve">סעיף 1 </w:t>
            </w:r>
          </w:p>
        </w:tc>
        <w:tc>
          <w:tcPr>
            <w:tcW w:w="5669" w:type="dxa"/>
          </w:tcPr>
          <w:p w14:paraId="66E17921" w14:textId="77777777" w:rsidR="00FD691D" w:rsidRPr="00FD691D" w:rsidRDefault="00FD691D" w:rsidP="00FD691D">
            <w:pPr>
              <w:spacing w:line="240" w:lineRule="auto"/>
              <w:jc w:val="left"/>
              <w:rPr>
                <w:rFonts w:cs="Frankruhel" w:hint="cs"/>
                <w:sz w:val="24"/>
                <w:rtl/>
              </w:rPr>
            </w:pPr>
            <w:r>
              <w:rPr>
                <w:rFonts w:cs="Times New Roman"/>
                <w:sz w:val="24"/>
                <w:rtl/>
              </w:rPr>
              <w:t>הגדרות</w:t>
            </w:r>
          </w:p>
        </w:tc>
        <w:tc>
          <w:tcPr>
            <w:tcW w:w="567" w:type="dxa"/>
          </w:tcPr>
          <w:p w14:paraId="72F0DA73" w14:textId="77777777" w:rsidR="00FD691D" w:rsidRPr="00FD691D" w:rsidRDefault="00FD691D" w:rsidP="00FD691D">
            <w:pPr>
              <w:spacing w:line="240" w:lineRule="auto"/>
              <w:jc w:val="left"/>
              <w:rPr>
                <w:rStyle w:val="Hyperlink"/>
                <w:rFonts w:hint="cs"/>
                <w:rtl/>
              </w:rPr>
            </w:pPr>
            <w:hyperlink w:anchor="Seif1" w:tooltip="הגדרות" w:history="1">
              <w:r w:rsidRPr="00FD691D">
                <w:rPr>
                  <w:rStyle w:val="Hyperlink"/>
                </w:rPr>
                <w:t>Go</w:t>
              </w:r>
            </w:hyperlink>
          </w:p>
        </w:tc>
        <w:tc>
          <w:tcPr>
            <w:tcW w:w="850" w:type="dxa"/>
          </w:tcPr>
          <w:p w14:paraId="1CF96A76" w14:textId="77777777" w:rsidR="00FD691D" w:rsidRPr="00FD691D" w:rsidRDefault="00FD691D" w:rsidP="00FD69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691D" w:rsidRPr="00FD691D" w14:paraId="2668D864" w14:textId="77777777" w:rsidTr="00FD691D">
        <w:tblPrEx>
          <w:tblCellMar>
            <w:top w:w="0" w:type="dxa"/>
            <w:bottom w:w="0" w:type="dxa"/>
          </w:tblCellMar>
        </w:tblPrEx>
        <w:tc>
          <w:tcPr>
            <w:tcW w:w="1247" w:type="dxa"/>
          </w:tcPr>
          <w:p w14:paraId="7235C516" w14:textId="77777777" w:rsidR="00FD691D" w:rsidRPr="00FD691D" w:rsidRDefault="00FD691D" w:rsidP="00FD691D">
            <w:pPr>
              <w:spacing w:line="240" w:lineRule="auto"/>
              <w:jc w:val="left"/>
              <w:rPr>
                <w:rFonts w:cs="Frankruhel" w:hint="cs"/>
                <w:sz w:val="24"/>
                <w:rtl/>
              </w:rPr>
            </w:pPr>
            <w:r>
              <w:rPr>
                <w:rFonts w:cs="Times New Roman"/>
                <w:sz w:val="24"/>
                <w:rtl/>
              </w:rPr>
              <w:t xml:space="preserve">סעיף 2 </w:t>
            </w:r>
          </w:p>
        </w:tc>
        <w:tc>
          <w:tcPr>
            <w:tcW w:w="5669" w:type="dxa"/>
          </w:tcPr>
          <w:p w14:paraId="13D6BFFA" w14:textId="77777777" w:rsidR="00FD691D" w:rsidRPr="00FD691D" w:rsidRDefault="00FD691D" w:rsidP="00FD691D">
            <w:pPr>
              <w:spacing w:line="240" w:lineRule="auto"/>
              <w:jc w:val="left"/>
              <w:rPr>
                <w:rFonts w:cs="Frankruhel" w:hint="cs"/>
                <w:sz w:val="24"/>
                <w:rtl/>
              </w:rPr>
            </w:pPr>
            <w:r>
              <w:rPr>
                <w:rFonts w:cs="Times New Roman"/>
                <w:sz w:val="24"/>
                <w:rtl/>
              </w:rPr>
              <w:t>שכרו של שמאי פינוי ובינוי</w:t>
            </w:r>
          </w:p>
        </w:tc>
        <w:tc>
          <w:tcPr>
            <w:tcW w:w="567" w:type="dxa"/>
          </w:tcPr>
          <w:p w14:paraId="308F8B59" w14:textId="77777777" w:rsidR="00FD691D" w:rsidRPr="00FD691D" w:rsidRDefault="00FD691D" w:rsidP="00FD691D">
            <w:pPr>
              <w:spacing w:line="240" w:lineRule="auto"/>
              <w:jc w:val="left"/>
              <w:rPr>
                <w:rStyle w:val="Hyperlink"/>
                <w:rFonts w:hint="cs"/>
                <w:rtl/>
              </w:rPr>
            </w:pPr>
            <w:hyperlink w:anchor="Seif2" w:tooltip="שכרו של שמאי פינוי ובינוי" w:history="1">
              <w:r w:rsidRPr="00FD691D">
                <w:rPr>
                  <w:rStyle w:val="Hyperlink"/>
                </w:rPr>
                <w:t>Go</w:t>
              </w:r>
            </w:hyperlink>
          </w:p>
        </w:tc>
        <w:tc>
          <w:tcPr>
            <w:tcW w:w="850" w:type="dxa"/>
          </w:tcPr>
          <w:p w14:paraId="0DE1B1A6" w14:textId="77777777" w:rsidR="00FD691D" w:rsidRPr="00FD691D" w:rsidRDefault="00FD691D" w:rsidP="00FD69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691D" w:rsidRPr="00FD691D" w14:paraId="54B9A8A3" w14:textId="77777777" w:rsidTr="00FD691D">
        <w:tblPrEx>
          <w:tblCellMar>
            <w:top w:w="0" w:type="dxa"/>
            <w:bottom w:w="0" w:type="dxa"/>
          </w:tblCellMar>
        </w:tblPrEx>
        <w:tc>
          <w:tcPr>
            <w:tcW w:w="1247" w:type="dxa"/>
          </w:tcPr>
          <w:p w14:paraId="1F4238D1" w14:textId="77777777" w:rsidR="00FD691D" w:rsidRPr="00FD691D" w:rsidRDefault="00FD691D" w:rsidP="00FD691D">
            <w:pPr>
              <w:spacing w:line="240" w:lineRule="auto"/>
              <w:jc w:val="left"/>
              <w:rPr>
                <w:rFonts w:cs="Frankruhel" w:hint="cs"/>
                <w:sz w:val="24"/>
                <w:rtl/>
              </w:rPr>
            </w:pPr>
            <w:r>
              <w:rPr>
                <w:rFonts w:cs="Times New Roman"/>
                <w:sz w:val="24"/>
                <w:rtl/>
              </w:rPr>
              <w:t xml:space="preserve">סעיף 3 </w:t>
            </w:r>
          </w:p>
        </w:tc>
        <w:tc>
          <w:tcPr>
            <w:tcW w:w="5669" w:type="dxa"/>
          </w:tcPr>
          <w:p w14:paraId="4A8A5E27" w14:textId="77777777" w:rsidR="00FD691D" w:rsidRPr="00FD691D" w:rsidRDefault="00FD691D" w:rsidP="00FD691D">
            <w:pPr>
              <w:spacing w:line="240" w:lineRule="auto"/>
              <w:jc w:val="left"/>
              <w:rPr>
                <w:rFonts w:cs="Frankruhel" w:hint="cs"/>
                <w:sz w:val="24"/>
                <w:rtl/>
              </w:rPr>
            </w:pPr>
            <w:r>
              <w:rPr>
                <w:rFonts w:cs="Times New Roman"/>
                <w:sz w:val="24"/>
                <w:rtl/>
              </w:rPr>
              <w:t>שכר חריג</w:t>
            </w:r>
          </w:p>
        </w:tc>
        <w:tc>
          <w:tcPr>
            <w:tcW w:w="567" w:type="dxa"/>
          </w:tcPr>
          <w:p w14:paraId="394AC8CC" w14:textId="77777777" w:rsidR="00FD691D" w:rsidRPr="00FD691D" w:rsidRDefault="00FD691D" w:rsidP="00FD691D">
            <w:pPr>
              <w:spacing w:line="240" w:lineRule="auto"/>
              <w:jc w:val="left"/>
              <w:rPr>
                <w:rStyle w:val="Hyperlink"/>
                <w:rFonts w:hint="cs"/>
                <w:rtl/>
              </w:rPr>
            </w:pPr>
            <w:hyperlink w:anchor="Seif3" w:tooltip="שכר חריג" w:history="1">
              <w:r w:rsidRPr="00FD691D">
                <w:rPr>
                  <w:rStyle w:val="Hyperlink"/>
                </w:rPr>
                <w:t>Go</w:t>
              </w:r>
            </w:hyperlink>
          </w:p>
        </w:tc>
        <w:tc>
          <w:tcPr>
            <w:tcW w:w="850" w:type="dxa"/>
          </w:tcPr>
          <w:p w14:paraId="050610A8" w14:textId="77777777" w:rsidR="00FD691D" w:rsidRPr="00FD691D" w:rsidRDefault="00FD691D" w:rsidP="00FD69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691D" w:rsidRPr="00FD691D" w14:paraId="7351440C" w14:textId="77777777" w:rsidTr="00FD691D">
        <w:tblPrEx>
          <w:tblCellMar>
            <w:top w:w="0" w:type="dxa"/>
            <w:bottom w:w="0" w:type="dxa"/>
          </w:tblCellMar>
        </w:tblPrEx>
        <w:tc>
          <w:tcPr>
            <w:tcW w:w="1247" w:type="dxa"/>
          </w:tcPr>
          <w:p w14:paraId="71876A7A" w14:textId="77777777" w:rsidR="00FD691D" w:rsidRPr="00FD691D" w:rsidRDefault="00FD691D" w:rsidP="00FD691D">
            <w:pPr>
              <w:spacing w:line="240" w:lineRule="auto"/>
              <w:jc w:val="left"/>
              <w:rPr>
                <w:rFonts w:cs="Frankruhel" w:hint="cs"/>
                <w:sz w:val="24"/>
                <w:rtl/>
              </w:rPr>
            </w:pPr>
            <w:r>
              <w:rPr>
                <w:rFonts w:cs="Times New Roman"/>
                <w:sz w:val="24"/>
                <w:rtl/>
              </w:rPr>
              <w:t xml:space="preserve">סעיף 4 </w:t>
            </w:r>
          </w:p>
        </w:tc>
        <w:tc>
          <w:tcPr>
            <w:tcW w:w="5669" w:type="dxa"/>
          </w:tcPr>
          <w:p w14:paraId="730CAE6C" w14:textId="77777777" w:rsidR="00FD691D" w:rsidRPr="00FD691D" w:rsidRDefault="00FD691D" w:rsidP="00FD691D">
            <w:pPr>
              <w:spacing w:line="240" w:lineRule="auto"/>
              <w:jc w:val="left"/>
              <w:rPr>
                <w:rFonts w:cs="Frankruhel" w:hint="cs"/>
                <w:sz w:val="24"/>
                <w:rtl/>
              </w:rPr>
            </w:pPr>
            <w:r>
              <w:rPr>
                <w:rFonts w:cs="Times New Roman"/>
                <w:sz w:val="24"/>
                <w:rtl/>
              </w:rPr>
              <w:t>מלוא השכר</w:t>
            </w:r>
          </w:p>
        </w:tc>
        <w:tc>
          <w:tcPr>
            <w:tcW w:w="567" w:type="dxa"/>
          </w:tcPr>
          <w:p w14:paraId="488C58D9" w14:textId="77777777" w:rsidR="00FD691D" w:rsidRPr="00FD691D" w:rsidRDefault="00FD691D" w:rsidP="00FD691D">
            <w:pPr>
              <w:spacing w:line="240" w:lineRule="auto"/>
              <w:jc w:val="left"/>
              <w:rPr>
                <w:rStyle w:val="Hyperlink"/>
                <w:rFonts w:hint="cs"/>
                <w:rtl/>
              </w:rPr>
            </w:pPr>
            <w:hyperlink w:anchor="Seif4" w:tooltip="מלוא השכר" w:history="1">
              <w:r w:rsidRPr="00FD691D">
                <w:rPr>
                  <w:rStyle w:val="Hyperlink"/>
                </w:rPr>
                <w:t>Go</w:t>
              </w:r>
            </w:hyperlink>
          </w:p>
        </w:tc>
        <w:tc>
          <w:tcPr>
            <w:tcW w:w="850" w:type="dxa"/>
          </w:tcPr>
          <w:p w14:paraId="4B396129" w14:textId="77777777" w:rsidR="00FD691D" w:rsidRPr="00FD691D" w:rsidRDefault="00FD691D" w:rsidP="00FD69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691D" w:rsidRPr="00FD691D" w14:paraId="04D9A4E0" w14:textId="77777777" w:rsidTr="00FD691D">
        <w:tblPrEx>
          <w:tblCellMar>
            <w:top w:w="0" w:type="dxa"/>
            <w:bottom w:w="0" w:type="dxa"/>
          </w:tblCellMar>
        </w:tblPrEx>
        <w:tc>
          <w:tcPr>
            <w:tcW w:w="1247" w:type="dxa"/>
          </w:tcPr>
          <w:p w14:paraId="0FAC7E9E" w14:textId="77777777" w:rsidR="00FD691D" w:rsidRPr="00FD691D" w:rsidRDefault="00FD691D" w:rsidP="00FD691D">
            <w:pPr>
              <w:spacing w:line="240" w:lineRule="auto"/>
              <w:jc w:val="left"/>
              <w:rPr>
                <w:rFonts w:cs="Frankruhel" w:hint="cs"/>
                <w:sz w:val="24"/>
                <w:rtl/>
              </w:rPr>
            </w:pPr>
            <w:r>
              <w:rPr>
                <w:rFonts w:cs="Times New Roman"/>
                <w:sz w:val="24"/>
                <w:rtl/>
              </w:rPr>
              <w:t xml:space="preserve">סעיף 5 </w:t>
            </w:r>
          </w:p>
        </w:tc>
        <w:tc>
          <w:tcPr>
            <w:tcW w:w="5669" w:type="dxa"/>
          </w:tcPr>
          <w:p w14:paraId="6782296B" w14:textId="77777777" w:rsidR="00FD691D" w:rsidRPr="00FD691D" w:rsidRDefault="00FD691D" w:rsidP="00FD691D">
            <w:pPr>
              <w:spacing w:line="240" w:lineRule="auto"/>
              <w:jc w:val="left"/>
              <w:rPr>
                <w:rFonts w:cs="Frankruhel" w:hint="cs"/>
                <w:sz w:val="24"/>
                <w:rtl/>
              </w:rPr>
            </w:pPr>
            <w:r>
              <w:rPr>
                <w:rFonts w:cs="Times New Roman"/>
                <w:sz w:val="24"/>
                <w:rtl/>
              </w:rPr>
              <w:t>נשיאה בשכרו של שמאי פינוי ובינוי</w:t>
            </w:r>
          </w:p>
        </w:tc>
        <w:tc>
          <w:tcPr>
            <w:tcW w:w="567" w:type="dxa"/>
          </w:tcPr>
          <w:p w14:paraId="077BECA7" w14:textId="77777777" w:rsidR="00FD691D" w:rsidRPr="00FD691D" w:rsidRDefault="00FD691D" w:rsidP="00FD691D">
            <w:pPr>
              <w:spacing w:line="240" w:lineRule="auto"/>
              <w:jc w:val="left"/>
              <w:rPr>
                <w:rStyle w:val="Hyperlink"/>
                <w:rFonts w:hint="cs"/>
                <w:rtl/>
              </w:rPr>
            </w:pPr>
            <w:hyperlink w:anchor="Seif5" w:tooltip="נשיאה בשכרו של שמאי פינוי ובינוי" w:history="1">
              <w:r w:rsidRPr="00FD691D">
                <w:rPr>
                  <w:rStyle w:val="Hyperlink"/>
                </w:rPr>
                <w:t>Go</w:t>
              </w:r>
            </w:hyperlink>
          </w:p>
        </w:tc>
        <w:tc>
          <w:tcPr>
            <w:tcW w:w="850" w:type="dxa"/>
          </w:tcPr>
          <w:p w14:paraId="38328308" w14:textId="77777777" w:rsidR="00FD691D" w:rsidRPr="00FD691D" w:rsidRDefault="00FD691D" w:rsidP="00FD69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691D" w:rsidRPr="00FD691D" w14:paraId="37E8BC6D" w14:textId="77777777" w:rsidTr="00FD691D">
        <w:tblPrEx>
          <w:tblCellMar>
            <w:top w:w="0" w:type="dxa"/>
            <w:bottom w:w="0" w:type="dxa"/>
          </w:tblCellMar>
        </w:tblPrEx>
        <w:tc>
          <w:tcPr>
            <w:tcW w:w="1247" w:type="dxa"/>
          </w:tcPr>
          <w:p w14:paraId="2C96C61F" w14:textId="77777777" w:rsidR="00FD691D" w:rsidRPr="00FD691D" w:rsidRDefault="00FD691D" w:rsidP="00FD691D">
            <w:pPr>
              <w:spacing w:line="240" w:lineRule="auto"/>
              <w:jc w:val="left"/>
              <w:rPr>
                <w:rFonts w:cs="Frankruhel" w:hint="cs"/>
                <w:sz w:val="24"/>
                <w:rtl/>
              </w:rPr>
            </w:pPr>
            <w:r>
              <w:rPr>
                <w:rFonts w:cs="Times New Roman"/>
                <w:sz w:val="24"/>
                <w:rtl/>
              </w:rPr>
              <w:t xml:space="preserve">סעיף 6 </w:t>
            </w:r>
          </w:p>
        </w:tc>
        <w:tc>
          <w:tcPr>
            <w:tcW w:w="5669" w:type="dxa"/>
          </w:tcPr>
          <w:p w14:paraId="2F3B5533" w14:textId="77777777" w:rsidR="00FD691D" w:rsidRPr="00FD691D" w:rsidRDefault="00FD691D" w:rsidP="00FD691D">
            <w:pPr>
              <w:spacing w:line="240" w:lineRule="auto"/>
              <w:jc w:val="left"/>
              <w:rPr>
                <w:rFonts w:cs="Frankruhel" w:hint="cs"/>
                <w:sz w:val="24"/>
                <w:rtl/>
              </w:rPr>
            </w:pPr>
            <w:r>
              <w:rPr>
                <w:rFonts w:cs="Times New Roman"/>
                <w:sz w:val="24"/>
                <w:rtl/>
              </w:rPr>
              <w:t>הודעה על גובה שכרו של שמאי פינוי ובינוי</w:t>
            </w:r>
          </w:p>
        </w:tc>
        <w:tc>
          <w:tcPr>
            <w:tcW w:w="567" w:type="dxa"/>
          </w:tcPr>
          <w:p w14:paraId="12405960" w14:textId="77777777" w:rsidR="00FD691D" w:rsidRPr="00FD691D" w:rsidRDefault="00FD691D" w:rsidP="00FD691D">
            <w:pPr>
              <w:spacing w:line="240" w:lineRule="auto"/>
              <w:jc w:val="left"/>
              <w:rPr>
                <w:rStyle w:val="Hyperlink"/>
                <w:rFonts w:hint="cs"/>
                <w:rtl/>
              </w:rPr>
            </w:pPr>
            <w:hyperlink w:anchor="Seif6" w:tooltip="הודעה על גובה שכרו של שמאי פינוי ובינוי" w:history="1">
              <w:r w:rsidRPr="00FD691D">
                <w:rPr>
                  <w:rStyle w:val="Hyperlink"/>
                </w:rPr>
                <w:t>Go</w:t>
              </w:r>
            </w:hyperlink>
          </w:p>
        </w:tc>
        <w:tc>
          <w:tcPr>
            <w:tcW w:w="850" w:type="dxa"/>
          </w:tcPr>
          <w:p w14:paraId="49B1752B" w14:textId="77777777" w:rsidR="00FD691D" w:rsidRPr="00FD691D" w:rsidRDefault="00FD691D" w:rsidP="00FD69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691D" w:rsidRPr="00FD691D" w14:paraId="6D066228" w14:textId="77777777" w:rsidTr="00FD691D">
        <w:tblPrEx>
          <w:tblCellMar>
            <w:top w:w="0" w:type="dxa"/>
            <w:bottom w:w="0" w:type="dxa"/>
          </w:tblCellMar>
        </w:tblPrEx>
        <w:tc>
          <w:tcPr>
            <w:tcW w:w="1247" w:type="dxa"/>
          </w:tcPr>
          <w:p w14:paraId="76917836" w14:textId="77777777" w:rsidR="00FD691D" w:rsidRPr="00FD691D" w:rsidRDefault="00FD691D" w:rsidP="00FD691D">
            <w:pPr>
              <w:spacing w:line="240" w:lineRule="auto"/>
              <w:jc w:val="left"/>
              <w:rPr>
                <w:rFonts w:cs="Frankruhel" w:hint="cs"/>
                <w:sz w:val="24"/>
                <w:rtl/>
              </w:rPr>
            </w:pPr>
            <w:r>
              <w:rPr>
                <w:rFonts w:cs="Times New Roman"/>
                <w:sz w:val="24"/>
                <w:rtl/>
              </w:rPr>
              <w:t xml:space="preserve">סעיף 7 </w:t>
            </w:r>
          </w:p>
        </w:tc>
        <w:tc>
          <w:tcPr>
            <w:tcW w:w="5669" w:type="dxa"/>
          </w:tcPr>
          <w:p w14:paraId="45BDAEEC" w14:textId="77777777" w:rsidR="00FD691D" w:rsidRPr="00FD691D" w:rsidRDefault="00FD691D" w:rsidP="00FD691D">
            <w:pPr>
              <w:spacing w:line="240" w:lineRule="auto"/>
              <w:jc w:val="left"/>
              <w:rPr>
                <w:rFonts w:cs="Frankruhel" w:hint="cs"/>
                <w:sz w:val="24"/>
                <w:rtl/>
              </w:rPr>
            </w:pPr>
            <w:r>
              <w:rPr>
                <w:rFonts w:cs="Times New Roman"/>
                <w:sz w:val="24"/>
                <w:rtl/>
              </w:rPr>
              <w:t>שכר שמאי פינוי ובינוי שהפסיק את טיפולו</w:t>
            </w:r>
          </w:p>
        </w:tc>
        <w:tc>
          <w:tcPr>
            <w:tcW w:w="567" w:type="dxa"/>
          </w:tcPr>
          <w:p w14:paraId="18EC5E97" w14:textId="77777777" w:rsidR="00FD691D" w:rsidRPr="00FD691D" w:rsidRDefault="00FD691D" w:rsidP="00FD691D">
            <w:pPr>
              <w:spacing w:line="240" w:lineRule="auto"/>
              <w:jc w:val="left"/>
              <w:rPr>
                <w:rStyle w:val="Hyperlink"/>
                <w:rFonts w:hint="cs"/>
                <w:rtl/>
              </w:rPr>
            </w:pPr>
            <w:hyperlink w:anchor="Seif7" w:tooltip="שכר שמאי פינוי ובינוי שהפסיק את טיפולו" w:history="1">
              <w:r w:rsidRPr="00FD691D">
                <w:rPr>
                  <w:rStyle w:val="Hyperlink"/>
                </w:rPr>
                <w:t>Go</w:t>
              </w:r>
            </w:hyperlink>
          </w:p>
        </w:tc>
        <w:tc>
          <w:tcPr>
            <w:tcW w:w="850" w:type="dxa"/>
          </w:tcPr>
          <w:p w14:paraId="3EF58BF1" w14:textId="77777777" w:rsidR="00FD691D" w:rsidRPr="00FD691D" w:rsidRDefault="00FD691D" w:rsidP="00FD69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D691D" w:rsidRPr="00FD691D" w14:paraId="0B666ED9" w14:textId="77777777" w:rsidTr="00FD691D">
        <w:tblPrEx>
          <w:tblCellMar>
            <w:top w:w="0" w:type="dxa"/>
            <w:bottom w:w="0" w:type="dxa"/>
          </w:tblCellMar>
        </w:tblPrEx>
        <w:tc>
          <w:tcPr>
            <w:tcW w:w="1247" w:type="dxa"/>
          </w:tcPr>
          <w:p w14:paraId="28F08EEB" w14:textId="77777777" w:rsidR="00FD691D" w:rsidRPr="00FD691D" w:rsidRDefault="00FD691D" w:rsidP="00FD691D">
            <w:pPr>
              <w:spacing w:line="240" w:lineRule="auto"/>
              <w:jc w:val="left"/>
              <w:rPr>
                <w:rFonts w:cs="Frankruhel" w:hint="cs"/>
                <w:sz w:val="24"/>
                <w:rtl/>
              </w:rPr>
            </w:pPr>
            <w:r>
              <w:rPr>
                <w:rFonts w:cs="Times New Roman"/>
                <w:sz w:val="24"/>
                <w:rtl/>
              </w:rPr>
              <w:t xml:space="preserve">סעיף 8 </w:t>
            </w:r>
          </w:p>
        </w:tc>
        <w:tc>
          <w:tcPr>
            <w:tcW w:w="5669" w:type="dxa"/>
          </w:tcPr>
          <w:p w14:paraId="2FA7A6E9" w14:textId="77777777" w:rsidR="00FD691D" w:rsidRPr="00FD691D" w:rsidRDefault="00FD691D" w:rsidP="00FD691D">
            <w:pPr>
              <w:spacing w:line="240" w:lineRule="auto"/>
              <w:jc w:val="left"/>
              <w:rPr>
                <w:rFonts w:cs="Frankruhel" w:hint="cs"/>
                <w:sz w:val="24"/>
                <w:rtl/>
              </w:rPr>
            </w:pPr>
            <w:r>
              <w:rPr>
                <w:rFonts w:cs="Times New Roman"/>
                <w:sz w:val="24"/>
                <w:rtl/>
              </w:rPr>
              <w:t>תוספת מס ערך מוסף</w:t>
            </w:r>
          </w:p>
        </w:tc>
        <w:tc>
          <w:tcPr>
            <w:tcW w:w="567" w:type="dxa"/>
          </w:tcPr>
          <w:p w14:paraId="4DBB14CE" w14:textId="77777777" w:rsidR="00FD691D" w:rsidRPr="00FD691D" w:rsidRDefault="00FD691D" w:rsidP="00FD691D">
            <w:pPr>
              <w:spacing w:line="240" w:lineRule="auto"/>
              <w:jc w:val="left"/>
              <w:rPr>
                <w:rStyle w:val="Hyperlink"/>
                <w:rFonts w:hint="cs"/>
                <w:rtl/>
              </w:rPr>
            </w:pPr>
            <w:hyperlink w:anchor="Seif8" w:tooltip="תוספת מס ערך מוסף" w:history="1">
              <w:r w:rsidRPr="00FD691D">
                <w:rPr>
                  <w:rStyle w:val="Hyperlink"/>
                </w:rPr>
                <w:t>Go</w:t>
              </w:r>
            </w:hyperlink>
          </w:p>
        </w:tc>
        <w:tc>
          <w:tcPr>
            <w:tcW w:w="850" w:type="dxa"/>
          </w:tcPr>
          <w:p w14:paraId="1D1A0CB6" w14:textId="77777777" w:rsidR="00FD691D" w:rsidRPr="00FD691D" w:rsidRDefault="00FD691D" w:rsidP="00FD69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73B72E4E" w14:textId="77777777" w:rsidR="001153D7" w:rsidRDefault="001153D7">
      <w:pPr>
        <w:pStyle w:val="P00"/>
        <w:spacing w:before="72"/>
        <w:ind w:left="0" w:right="1134"/>
        <w:rPr>
          <w:rFonts w:hint="cs"/>
          <w:rtl/>
        </w:rPr>
      </w:pPr>
    </w:p>
    <w:p w14:paraId="55785E5F" w14:textId="77777777" w:rsidR="001153D7" w:rsidRDefault="001153D7" w:rsidP="001F14B1">
      <w:pPr>
        <w:pStyle w:val="big-header"/>
        <w:ind w:left="0" w:right="1134"/>
        <w:rPr>
          <w:rStyle w:val="default"/>
          <w:rFonts w:hint="cs"/>
          <w:sz w:val="22"/>
          <w:szCs w:val="22"/>
          <w:rtl/>
        </w:rPr>
      </w:pPr>
      <w:r>
        <w:rPr>
          <w:rtl/>
        </w:rPr>
        <w:br w:type="page"/>
      </w:r>
      <w:r w:rsidR="001F14B1">
        <w:rPr>
          <w:rFonts w:hint="cs"/>
          <w:rtl/>
        </w:rPr>
        <w:lastRenderedPageBreak/>
        <w:t>תקנות פינוי בינוי (פיצויים) (כללים לקביעת שכרו של שמאי פינוי בינוי), תשע"ב-2011</w:t>
      </w:r>
      <w:r>
        <w:rPr>
          <w:rStyle w:val="default"/>
          <w:sz w:val="22"/>
          <w:szCs w:val="22"/>
          <w:rtl/>
        </w:rPr>
        <w:footnoteReference w:customMarkFollows="1" w:id="1"/>
        <w:t>*</w:t>
      </w:r>
    </w:p>
    <w:p w14:paraId="05C93C0E" w14:textId="77777777" w:rsidR="001153D7" w:rsidRDefault="001153D7" w:rsidP="0058654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147903">
        <w:rPr>
          <w:rStyle w:val="default"/>
          <w:rFonts w:cs="FrankRuehl" w:hint="cs"/>
          <w:rtl/>
        </w:rPr>
        <w:t xml:space="preserve">סמכותי לפי </w:t>
      </w:r>
      <w:r w:rsidR="00E63675">
        <w:rPr>
          <w:rStyle w:val="default"/>
          <w:rFonts w:cs="FrankRuehl" w:hint="cs"/>
          <w:rtl/>
        </w:rPr>
        <w:t xml:space="preserve">סעיף </w:t>
      </w:r>
      <w:r w:rsidR="0058654B">
        <w:rPr>
          <w:rStyle w:val="default"/>
          <w:rFonts w:cs="FrankRuehl" w:hint="cs"/>
          <w:rtl/>
        </w:rPr>
        <w:t xml:space="preserve">7(ב) לחוק פינוי ובינוי (פיצויים), התשס"ו-2006 (להלן </w:t>
      </w:r>
      <w:r w:rsidR="0058654B">
        <w:rPr>
          <w:rStyle w:val="default"/>
          <w:rFonts w:cs="FrankRuehl"/>
          <w:rtl/>
        </w:rPr>
        <w:t>–</w:t>
      </w:r>
      <w:r w:rsidR="0058654B">
        <w:rPr>
          <w:rStyle w:val="default"/>
          <w:rFonts w:cs="FrankRuehl" w:hint="cs"/>
          <w:rtl/>
        </w:rPr>
        <w:t xml:space="preserve"> החוק), בהסכמת שר האוצר ובהתייעצות עם שר הבינוי והשיכון</w:t>
      </w:r>
      <w:r w:rsidR="006B7387">
        <w:rPr>
          <w:rStyle w:val="default"/>
          <w:rFonts w:cs="FrankRuehl" w:hint="cs"/>
          <w:rtl/>
        </w:rPr>
        <w:t>, אני מתקין תקנות אלה</w:t>
      </w:r>
      <w:r>
        <w:rPr>
          <w:rStyle w:val="default"/>
          <w:rFonts w:cs="FrankRuehl"/>
          <w:rtl/>
        </w:rPr>
        <w:t>:</w:t>
      </w:r>
    </w:p>
    <w:p w14:paraId="14119AE3" w14:textId="77777777" w:rsidR="001153D7" w:rsidRDefault="001153D7" w:rsidP="0058654B">
      <w:pPr>
        <w:pStyle w:val="P00"/>
        <w:spacing w:before="72"/>
        <w:ind w:left="0" w:right="1134"/>
        <w:rPr>
          <w:rStyle w:val="default"/>
          <w:rFonts w:cs="FrankRuehl" w:hint="cs"/>
          <w:rtl/>
        </w:rPr>
      </w:pPr>
      <w:bookmarkStart w:id="0" w:name="Seif1"/>
      <w:bookmarkEnd w:id="0"/>
      <w:r>
        <w:rPr>
          <w:lang w:val="he-IL"/>
        </w:rPr>
        <w:pict w14:anchorId="33032E01">
          <v:rect id="_x0000_s1026" style="position:absolute;left:0;text-align:left;margin-left:464.5pt;margin-top:8.05pt;width:75.05pt;height:13.4pt;z-index:251654144" o:allowincell="f" filled="f" stroked="f" strokecolor="lime" strokeweight=".25pt">
            <v:textbox style="mso-next-textbox:#_x0000_s1026" inset="0,0,0,0">
              <w:txbxContent>
                <w:p w14:paraId="56243187" w14:textId="77777777" w:rsidR="002D0660" w:rsidRDefault="0058654B">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58654B">
        <w:rPr>
          <w:rStyle w:val="default"/>
          <w:rFonts w:cs="FrankRuehl" w:hint="cs"/>
          <w:rtl/>
        </w:rPr>
        <w:t xml:space="preserve">בתקנות אלה </w:t>
      </w:r>
      <w:r w:rsidR="0058654B">
        <w:rPr>
          <w:rStyle w:val="default"/>
          <w:rFonts w:cs="FrankRuehl"/>
          <w:rtl/>
        </w:rPr>
        <w:t>–</w:t>
      </w:r>
    </w:p>
    <w:p w14:paraId="026FB9FB" w14:textId="77777777" w:rsidR="0058654B" w:rsidRDefault="0058654B" w:rsidP="0058654B">
      <w:pPr>
        <w:pStyle w:val="P00"/>
        <w:spacing w:before="72"/>
        <w:ind w:left="0" w:right="1134"/>
        <w:rPr>
          <w:rStyle w:val="default"/>
          <w:rFonts w:cs="FrankRuehl" w:hint="cs"/>
          <w:rtl/>
        </w:rPr>
      </w:pPr>
      <w:r>
        <w:rPr>
          <w:rStyle w:val="default"/>
          <w:rFonts w:cs="FrankRuehl" w:hint="cs"/>
          <w:rtl/>
        </w:rPr>
        <w:tab/>
        <w:t xml:space="preserve">"בקשה" </w:t>
      </w:r>
      <w:r>
        <w:rPr>
          <w:rStyle w:val="default"/>
          <w:rFonts w:cs="FrankRuehl"/>
          <w:rtl/>
        </w:rPr>
        <w:t>–</w:t>
      </w:r>
      <w:r>
        <w:rPr>
          <w:rStyle w:val="default"/>
          <w:rFonts w:cs="FrankRuehl" w:hint="cs"/>
          <w:rtl/>
        </w:rPr>
        <w:t xml:space="preserve"> בקשה לפי סעיף 2א(א) לחוק;</w:t>
      </w:r>
    </w:p>
    <w:p w14:paraId="133E788D" w14:textId="77777777" w:rsidR="0058654B" w:rsidRDefault="0058654B" w:rsidP="0058654B">
      <w:pPr>
        <w:pStyle w:val="P00"/>
        <w:spacing w:before="72"/>
        <w:ind w:left="0" w:right="1134"/>
        <w:rPr>
          <w:rStyle w:val="default"/>
          <w:rFonts w:cs="FrankRuehl" w:hint="cs"/>
          <w:rtl/>
        </w:rPr>
      </w:pPr>
      <w:r>
        <w:rPr>
          <w:rStyle w:val="default"/>
          <w:rFonts w:cs="FrankRuehl" w:hint="cs"/>
          <w:rtl/>
        </w:rPr>
        <w:tab/>
        <w:t xml:space="preserve">"הוועדה המייעצת" </w:t>
      </w:r>
      <w:r>
        <w:rPr>
          <w:rStyle w:val="default"/>
          <w:rFonts w:cs="FrankRuehl"/>
          <w:rtl/>
        </w:rPr>
        <w:t>–</w:t>
      </w:r>
      <w:r>
        <w:rPr>
          <w:rStyle w:val="default"/>
          <w:rFonts w:cs="FrankRuehl" w:hint="cs"/>
          <w:rtl/>
        </w:rPr>
        <w:t xml:space="preserve"> כהגדרתה בסעיף 2ב(א) לחוק;</w:t>
      </w:r>
    </w:p>
    <w:p w14:paraId="5EA36CB3" w14:textId="77777777" w:rsidR="0058654B" w:rsidRDefault="0058654B" w:rsidP="0058654B">
      <w:pPr>
        <w:pStyle w:val="P00"/>
        <w:spacing w:before="72"/>
        <w:ind w:left="0" w:right="1134"/>
        <w:rPr>
          <w:rStyle w:val="default"/>
          <w:rFonts w:cs="FrankRuehl" w:hint="cs"/>
          <w:rtl/>
        </w:rPr>
      </w:pPr>
      <w:r>
        <w:rPr>
          <w:rStyle w:val="default"/>
          <w:rFonts w:cs="FrankRuehl" w:hint="cs"/>
          <w:rtl/>
        </w:rPr>
        <w:tab/>
        <w:t xml:space="preserve">"היושב ראש" </w:t>
      </w:r>
      <w:r>
        <w:rPr>
          <w:rStyle w:val="default"/>
          <w:rFonts w:cs="FrankRuehl"/>
          <w:rtl/>
        </w:rPr>
        <w:t>–</w:t>
      </w:r>
      <w:r>
        <w:rPr>
          <w:rStyle w:val="default"/>
          <w:rFonts w:cs="FrankRuehl" w:hint="cs"/>
          <w:rtl/>
        </w:rPr>
        <w:t xml:space="preserve"> יושב ראש מועצת שמאי המקרקעין;</w:t>
      </w:r>
    </w:p>
    <w:p w14:paraId="3E8DF7B4" w14:textId="77777777" w:rsidR="0058654B" w:rsidRDefault="0058654B" w:rsidP="0058654B">
      <w:pPr>
        <w:pStyle w:val="P00"/>
        <w:spacing w:before="72"/>
        <w:ind w:left="0" w:right="1134"/>
        <w:rPr>
          <w:rStyle w:val="default"/>
          <w:rFonts w:cs="FrankRuehl" w:hint="cs"/>
          <w:rtl/>
        </w:rPr>
      </w:pPr>
      <w:r>
        <w:rPr>
          <w:rStyle w:val="default"/>
          <w:rFonts w:cs="FrankRuehl" w:hint="cs"/>
          <w:rtl/>
        </w:rPr>
        <w:tab/>
        <w:t xml:space="preserve">"צדדים" </w:t>
      </w:r>
      <w:r>
        <w:rPr>
          <w:rStyle w:val="default"/>
          <w:rFonts w:cs="FrankRuehl"/>
          <w:rtl/>
        </w:rPr>
        <w:t>–</w:t>
      </w:r>
      <w:r>
        <w:rPr>
          <w:rStyle w:val="default"/>
          <w:rFonts w:cs="FrankRuehl" w:hint="cs"/>
          <w:rtl/>
        </w:rPr>
        <w:t xml:space="preserve"> בעלי הדירות במקבץ פינוי ובינוי ויזם;</w:t>
      </w:r>
    </w:p>
    <w:p w14:paraId="676484B6" w14:textId="77777777" w:rsidR="0058654B" w:rsidRDefault="0058654B" w:rsidP="0058654B">
      <w:pPr>
        <w:pStyle w:val="P00"/>
        <w:spacing w:before="72"/>
        <w:ind w:left="0" w:right="1134"/>
        <w:rPr>
          <w:rStyle w:val="default"/>
          <w:rFonts w:cs="FrankRuehl" w:hint="cs"/>
          <w:rtl/>
        </w:rPr>
      </w:pPr>
      <w:r>
        <w:rPr>
          <w:rStyle w:val="default"/>
          <w:rFonts w:cs="FrankRuehl" w:hint="cs"/>
          <w:rtl/>
        </w:rPr>
        <w:tab/>
        <w:t xml:space="preserve">"ש"ח" </w:t>
      </w:r>
      <w:r>
        <w:rPr>
          <w:rStyle w:val="default"/>
          <w:rFonts w:cs="FrankRuehl"/>
          <w:rtl/>
        </w:rPr>
        <w:t>–</w:t>
      </w:r>
      <w:r>
        <w:rPr>
          <w:rStyle w:val="default"/>
          <w:rFonts w:cs="FrankRuehl" w:hint="cs"/>
          <w:rtl/>
        </w:rPr>
        <w:t xml:space="preserve"> שקלים חדשים.</w:t>
      </w:r>
    </w:p>
    <w:p w14:paraId="16442F88" w14:textId="77777777" w:rsidR="00BE055D" w:rsidRDefault="00BE055D" w:rsidP="0058654B">
      <w:pPr>
        <w:pStyle w:val="P00"/>
        <w:spacing w:before="72"/>
        <w:ind w:left="0" w:right="1134"/>
        <w:rPr>
          <w:rStyle w:val="default"/>
          <w:rFonts w:cs="FrankRuehl" w:hint="cs"/>
          <w:rtl/>
        </w:rPr>
      </w:pPr>
      <w:bookmarkStart w:id="1" w:name="Seif2"/>
      <w:bookmarkEnd w:id="1"/>
      <w:r>
        <w:rPr>
          <w:lang w:val="he-IL"/>
        </w:rPr>
        <w:pict w14:anchorId="1C08A2A6">
          <v:rect id="_x0000_s1450" style="position:absolute;left:0;text-align:left;margin-left:464.5pt;margin-top:8.05pt;width:75.05pt;height:16.7pt;z-index:251655168" o:allowincell="f" filled="f" stroked="f" strokecolor="lime" strokeweight=".25pt">
            <v:textbox style="mso-next-textbox:#_x0000_s1450" inset="0,0,0,0">
              <w:txbxContent>
                <w:p w14:paraId="4DFE59D4" w14:textId="77777777" w:rsidR="00BE055D" w:rsidRDefault="0058654B" w:rsidP="00BE055D">
                  <w:pPr>
                    <w:spacing w:line="160" w:lineRule="exact"/>
                    <w:jc w:val="left"/>
                    <w:rPr>
                      <w:rFonts w:cs="Miriam" w:hint="cs"/>
                      <w:szCs w:val="18"/>
                      <w:rtl/>
                    </w:rPr>
                  </w:pPr>
                  <w:r>
                    <w:rPr>
                      <w:rFonts w:cs="Miriam" w:hint="cs"/>
                      <w:szCs w:val="18"/>
                      <w:rtl/>
                    </w:rPr>
                    <w:t>שכרו של שמאי פינוי ובינוי</w:t>
                  </w:r>
                </w:p>
              </w:txbxContent>
            </v:textbox>
            <w10:anchorlock/>
          </v:rect>
        </w:pict>
      </w:r>
      <w:r>
        <w:rPr>
          <w:rStyle w:val="big-number"/>
          <w:rFonts w:hint="cs"/>
          <w:rtl/>
        </w:rPr>
        <w:t>2</w:t>
      </w:r>
      <w:r>
        <w:rPr>
          <w:rStyle w:val="default"/>
          <w:rFonts w:cs="FrankRuehl"/>
          <w:rtl/>
        </w:rPr>
        <w:t>.</w:t>
      </w:r>
      <w:r>
        <w:rPr>
          <w:rStyle w:val="default"/>
          <w:rFonts w:cs="FrankRuehl"/>
          <w:rtl/>
        </w:rPr>
        <w:tab/>
      </w:r>
      <w:r w:rsidR="0058654B">
        <w:rPr>
          <w:rStyle w:val="default"/>
          <w:rFonts w:cs="FrankRuehl" w:hint="cs"/>
          <w:rtl/>
        </w:rPr>
        <w:t>(א)</w:t>
      </w:r>
      <w:r w:rsidR="0058654B">
        <w:rPr>
          <w:rStyle w:val="default"/>
          <w:rFonts w:cs="FrankRuehl" w:hint="cs"/>
          <w:rtl/>
        </w:rPr>
        <w:tab/>
        <w:t>שכרו של שמאי פינוי ובינוי, בהכרעתו לפי תקנת משנה (ב), יהיה באופן הדרגתי בהתאם למספר הדירות במקבץ פינוי ובינוי נושא הבקשה ערב ביצוע עסקת פינוי ובינוי, כמפורט בתוספת</w:t>
      </w:r>
      <w:r w:rsidR="007C1657">
        <w:rPr>
          <w:rStyle w:val="default"/>
          <w:rFonts w:cs="FrankRuehl" w:hint="cs"/>
          <w:rtl/>
        </w:rPr>
        <w:t>.</w:t>
      </w:r>
    </w:p>
    <w:p w14:paraId="50E04015" w14:textId="77777777" w:rsidR="0058654B" w:rsidRDefault="0058654B" w:rsidP="005865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שמאי פינוי ובינוי יתייחס בשומתו לדירות האופייניות במקבץ פינוי ובינוי נושא הבקשה, במצבן הקיים טרם ביצוע עסקת פינוי בינוי, ובמצבן כפי שהוא צפוי להיות לאחר השלמת העסקה וביצוע הבנייה בהתאם לה, ויכריע אם העסקה שהוצעה לבעלי הדירות במקבץ פינוי בינוי היא כדאית כלכלית, ואם אינה כדאית, באילו תנאים תיחשב כדאית כלכלית, וזאת ביחס לדירות האופייניות במקבץ פינוי בינוי כאמור.</w:t>
      </w:r>
    </w:p>
    <w:p w14:paraId="46075100" w14:textId="77777777" w:rsidR="0058654B" w:rsidRDefault="0058654B" w:rsidP="005865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(א), קיבלו הצדדים את הכרעתו של שמאי פינוי בינוי לפי תקנת משנה (ב) וסבר בעל דירה במקבץ האמור כי שווי דירתו גבוה משווי דירה אופיינית במקבץ פינוי בינוי, רשאי הוא לפנות בבקשה לשמאי פינוי בינוי כדי שיקבע אם העסקה שהוצעה לו כדאית כלכלית; שכרו של שמאי פינוי בינוי בשל קביעה בבקשה לפי תקנת משנה זו יהיה 1,500 ש"ח.</w:t>
      </w:r>
    </w:p>
    <w:p w14:paraId="21BB5201" w14:textId="77777777" w:rsidR="00965141" w:rsidRDefault="00965141" w:rsidP="0058654B">
      <w:pPr>
        <w:pStyle w:val="P00"/>
        <w:spacing w:before="72"/>
        <w:ind w:left="0" w:right="1134"/>
        <w:rPr>
          <w:rStyle w:val="default"/>
          <w:rFonts w:cs="FrankRuehl" w:hint="cs"/>
          <w:rtl/>
        </w:rPr>
      </w:pPr>
      <w:bookmarkStart w:id="2" w:name="Seif3"/>
      <w:bookmarkEnd w:id="2"/>
      <w:r>
        <w:rPr>
          <w:lang w:val="he-IL"/>
        </w:rPr>
        <w:pict w14:anchorId="12547C52">
          <v:rect id="_x0000_s1451" style="position:absolute;left:0;text-align:left;margin-left:464.5pt;margin-top:8.05pt;width:75.05pt;height:14.55pt;z-index:251656192" o:allowincell="f" filled="f" stroked="f" strokecolor="lime" strokeweight=".25pt">
            <v:textbox style="mso-next-textbox:#_x0000_s1451" inset="0,0,0,0">
              <w:txbxContent>
                <w:p w14:paraId="1C4F82B5" w14:textId="77777777" w:rsidR="00965141" w:rsidRDefault="0058654B" w:rsidP="00965141">
                  <w:pPr>
                    <w:spacing w:line="160" w:lineRule="exact"/>
                    <w:jc w:val="left"/>
                    <w:rPr>
                      <w:rFonts w:cs="Miriam" w:hint="cs"/>
                      <w:szCs w:val="18"/>
                      <w:rtl/>
                    </w:rPr>
                  </w:pPr>
                  <w:r>
                    <w:rPr>
                      <w:rFonts w:cs="Miriam" w:hint="cs"/>
                      <w:szCs w:val="18"/>
                      <w:rtl/>
                    </w:rPr>
                    <w:t>שכר חריג</w:t>
                  </w:r>
                </w:p>
              </w:txbxContent>
            </v:textbox>
            <w10:anchorlock/>
          </v:rect>
        </w:pict>
      </w:r>
      <w:r w:rsidR="003B2D7E">
        <w:rPr>
          <w:rStyle w:val="big-number"/>
          <w:rFonts w:hint="cs"/>
          <w:rtl/>
        </w:rPr>
        <w:t>3</w:t>
      </w:r>
      <w:r>
        <w:rPr>
          <w:rStyle w:val="default"/>
          <w:rFonts w:cs="FrankRuehl"/>
          <w:rtl/>
        </w:rPr>
        <w:t>.</w:t>
      </w:r>
      <w:r>
        <w:rPr>
          <w:rStyle w:val="default"/>
          <w:rFonts w:cs="FrankRuehl"/>
          <w:rtl/>
        </w:rPr>
        <w:tab/>
      </w:r>
      <w:r w:rsidR="0058654B">
        <w:rPr>
          <w:rStyle w:val="default"/>
          <w:rFonts w:cs="FrankRuehl" w:hint="cs"/>
          <w:rtl/>
        </w:rPr>
        <w:t>(א)</w:t>
      </w:r>
      <w:r w:rsidR="0058654B">
        <w:rPr>
          <w:rStyle w:val="default"/>
          <w:rFonts w:cs="FrankRuehl" w:hint="cs"/>
          <w:rtl/>
        </w:rPr>
        <w:tab/>
        <w:t xml:space="preserve">היושב ראש רשאי להורות, לבקשת יזם או שמאי פינוי ובינוי, ובהתקיים נסיבות מיוחדות, כי שכרו של שמאי פינוי ובינוי יהיה גבוה יותר או נמוך יותר מהשכר המחושב לפי תקנה 2(א) (להלן </w:t>
      </w:r>
      <w:r w:rsidR="0058654B">
        <w:rPr>
          <w:rStyle w:val="default"/>
          <w:rFonts w:cs="FrankRuehl"/>
          <w:rtl/>
        </w:rPr>
        <w:t>–</w:t>
      </w:r>
      <w:r w:rsidR="0058654B">
        <w:rPr>
          <w:rStyle w:val="default"/>
          <w:rFonts w:cs="FrankRuehl" w:hint="cs"/>
          <w:rtl/>
        </w:rPr>
        <w:t xml:space="preserve"> שכר חריג), וזאת לאחר שנתן ליזם ולשמאי פינוי ובינוי הזדמנות להשמיע את טענותיהם בעניין, ונימק את החלטתו; בתקנה זו, "נסיבות מיוחדות" </w:t>
      </w:r>
      <w:r w:rsidR="0058654B">
        <w:rPr>
          <w:rStyle w:val="default"/>
          <w:rFonts w:cs="FrankRuehl"/>
          <w:rtl/>
        </w:rPr>
        <w:t>–</w:t>
      </w:r>
      <w:r w:rsidR="0058654B">
        <w:rPr>
          <w:rStyle w:val="default"/>
          <w:rFonts w:cs="FrankRuehl" w:hint="cs"/>
          <w:rtl/>
        </w:rPr>
        <w:t xml:space="preserve"> מורכבות הסוגיות הטעונות הכרעה במחלוקת או פשטותן</w:t>
      </w:r>
      <w:r w:rsidR="00B25DAB">
        <w:rPr>
          <w:rStyle w:val="default"/>
          <w:rFonts w:cs="FrankRuehl" w:hint="cs"/>
          <w:rtl/>
        </w:rPr>
        <w:t>, קיומה של הכרעה קודמת בבקשה שפרטיה דומים או איחוד דיונים בכמה בקשות שונות שהדיון בהן מתקיים לפני אותו שמאי פינוי ובינוי</w:t>
      </w:r>
      <w:r w:rsidR="007C1657">
        <w:rPr>
          <w:rStyle w:val="default"/>
          <w:rFonts w:cs="FrankRuehl" w:hint="cs"/>
          <w:rtl/>
        </w:rPr>
        <w:t>.</w:t>
      </w:r>
    </w:p>
    <w:p w14:paraId="2A45C482" w14:textId="77777777" w:rsidR="00B25DAB" w:rsidRDefault="00B25DAB" w:rsidP="005865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המוגשת ליושב ראש לפי תקנת משנה (א) תוגש בתוך 14 ימים מיום קבלת ההודעה על גובה שכרו של שמאי פינוי ובינוי לפי תקנה 6(א).</w:t>
      </w:r>
    </w:p>
    <w:p w14:paraId="51908864" w14:textId="77777777" w:rsidR="00B25DAB" w:rsidRDefault="00B25DAB" w:rsidP="005865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הורה היושב ראש על מתן שכר חריג לשמאי פינוי ובינוי, יודיע לשמאי פינוי ובינוי, ליזם וליושב ראש הוועדה לעניין מתחמי פינוי בינוי, על גובה שכרו בסמוך להעברת הבקשה בעניין לטיפולו.</w:t>
      </w:r>
    </w:p>
    <w:p w14:paraId="30CD4403" w14:textId="77777777" w:rsidR="00B25DAB" w:rsidRDefault="00B25DAB" w:rsidP="00B25DA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הוועדה המייעצת תמנה שלושה מחבריה שיכהנו בוועדת משנה להשגות לעניין קביעת שכר חריד (להלן </w:t>
      </w:r>
      <w:r>
        <w:rPr>
          <w:rStyle w:val="default"/>
          <w:rFonts w:cs="FrankRuehl"/>
          <w:rtl/>
        </w:rPr>
        <w:t>–</w:t>
      </w:r>
      <w:r>
        <w:rPr>
          <w:rStyle w:val="default"/>
          <w:rFonts w:cs="FrankRuehl" w:hint="cs"/>
          <w:rtl/>
        </w:rPr>
        <w:t xml:space="preserve"> ועדת המשנה להשגות); היושב ראש לא יהיה חבר בוועדת המשנה להשגות.</w:t>
      </w:r>
    </w:p>
    <w:p w14:paraId="4DB6FF34" w14:textId="77777777" w:rsidR="00B25DAB" w:rsidRDefault="00B25DAB" w:rsidP="00B25DA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החלטתו של היושב ראש לפי תקנת משנה (א) ניתן להשיג לפני ועדת המשנה להשגות, בתוך 7 ימים מיום שהודיע היושב ראש על מתן שכר חריג כאמור בתקנת משנה (ג); ועדת המשנה להשגות תכריע בהשגה ותודיע על החלטתה לשמאי פינוי ובינוי, ליזם וליושב ראש הוועדה לעניין מתחמי פינוי בינוי, בתוך 14 ימים מיום הגשת ההשגה.</w:t>
      </w:r>
    </w:p>
    <w:p w14:paraId="00695F1D" w14:textId="77777777" w:rsidR="001F14B1" w:rsidRDefault="001F14B1" w:rsidP="00B25DAB">
      <w:pPr>
        <w:pStyle w:val="P00"/>
        <w:spacing w:before="72"/>
        <w:ind w:left="0" w:right="1134"/>
        <w:rPr>
          <w:rStyle w:val="default"/>
          <w:rFonts w:cs="FrankRuehl" w:hint="cs"/>
          <w:rtl/>
        </w:rPr>
      </w:pPr>
      <w:bookmarkStart w:id="3" w:name="Seif4"/>
      <w:bookmarkEnd w:id="3"/>
      <w:r>
        <w:rPr>
          <w:lang w:val="he-IL"/>
        </w:rPr>
        <w:pict w14:anchorId="4E320A3D">
          <v:rect id="_x0000_s1455" style="position:absolute;left:0;text-align:left;margin-left:464.5pt;margin-top:8.05pt;width:75.05pt;height:8.15pt;z-index:251657216" o:allowincell="f" filled="f" stroked="f" strokecolor="lime" strokeweight=".25pt">
            <v:textbox style="mso-next-textbox:#_x0000_s1455" inset="0,0,0,0">
              <w:txbxContent>
                <w:p w14:paraId="4B6FA559" w14:textId="77777777" w:rsidR="001F14B1" w:rsidRDefault="00B25DAB" w:rsidP="001F14B1">
                  <w:pPr>
                    <w:spacing w:line="160" w:lineRule="exact"/>
                    <w:jc w:val="left"/>
                    <w:rPr>
                      <w:rFonts w:cs="Miriam" w:hint="cs"/>
                      <w:szCs w:val="18"/>
                      <w:rtl/>
                    </w:rPr>
                  </w:pPr>
                  <w:r>
                    <w:rPr>
                      <w:rFonts w:cs="Miriam" w:hint="cs"/>
                      <w:szCs w:val="18"/>
                      <w:rtl/>
                    </w:rPr>
                    <w:t>מלוא השכר</w:t>
                  </w:r>
                </w:p>
              </w:txbxContent>
            </v:textbox>
            <w10:anchorlock/>
          </v:rect>
        </w:pict>
      </w:r>
      <w:r w:rsidR="00B25DAB">
        <w:rPr>
          <w:rStyle w:val="big-number"/>
          <w:rFonts w:hint="cs"/>
          <w:rtl/>
        </w:rPr>
        <w:t>4</w:t>
      </w:r>
      <w:r>
        <w:rPr>
          <w:rStyle w:val="default"/>
          <w:rFonts w:cs="FrankRuehl"/>
          <w:rtl/>
        </w:rPr>
        <w:t>.</w:t>
      </w:r>
      <w:r>
        <w:rPr>
          <w:rStyle w:val="default"/>
          <w:rFonts w:cs="FrankRuehl"/>
          <w:rtl/>
        </w:rPr>
        <w:tab/>
      </w:r>
      <w:r w:rsidR="00B25DAB">
        <w:rPr>
          <w:rStyle w:val="default"/>
          <w:rFonts w:cs="FrankRuehl" w:hint="cs"/>
          <w:rtl/>
        </w:rPr>
        <w:t xml:space="preserve">שכרו של שמאי פינוי ובינוי לפי תקנה 2 או לפי תקנה 3 יהווה את מלוא השכר ולא ייווספו </w:t>
      </w:r>
      <w:r w:rsidR="00B25DAB">
        <w:rPr>
          <w:rStyle w:val="default"/>
          <w:rFonts w:cs="FrankRuehl" w:hint="cs"/>
          <w:rtl/>
        </w:rPr>
        <w:lastRenderedPageBreak/>
        <w:t>לו תשלומים נוספים מאת הצדדים, למעט תשלום בעד המצאת מידע שהמצאתו כרוכה בהוצאות מיוחדות</w:t>
      </w:r>
      <w:r>
        <w:rPr>
          <w:rStyle w:val="default"/>
          <w:rFonts w:cs="FrankRuehl" w:hint="cs"/>
          <w:rtl/>
        </w:rPr>
        <w:t>.</w:t>
      </w:r>
    </w:p>
    <w:p w14:paraId="65727A41" w14:textId="77777777" w:rsidR="001F14B1" w:rsidRDefault="001F14B1" w:rsidP="00B25DAB">
      <w:pPr>
        <w:pStyle w:val="P00"/>
        <w:spacing w:before="72"/>
        <w:ind w:left="0" w:right="1134"/>
        <w:rPr>
          <w:rStyle w:val="default"/>
          <w:rFonts w:cs="FrankRuehl" w:hint="cs"/>
          <w:rtl/>
        </w:rPr>
      </w:pPr>
      <w:bookmarkStart w:id="4" w:name="Seif5"/>
      <w:bookmarkEnd w:id="4"/>
      <w:r>
        <w:rPr>
          <w:lang w:val="he-IL"/>
        </w:rPr>
        <w:pict w14:anchorId="70BFA5B1">
          <v:rect id="_x0000_s1456" style="position:absolute;left:0;text-align:left;margin-left:464.5pt;margin-top:8.05pt;width:75.05pt;height:20.8pt;z-index:251658240" o:allowincell="f" filled="f" stroked="f" strokecolor="lime" strokeweight=".25pt">
            <v:textbox style="mso-next-textbox:#_x0000_s1456" inset="0,0,0,0">
              <w:txbxContent>
                <w:p w14:paraId="5C8A622D" w14:textId="77777777" w:rsidR="001F14B1" w:rsidRDefault="00B25DAB" w:rsidP="001F14B1">
                  <w:pPr>
                    <w:spacing w:line="160" w:lineRule="exact"/>
                    <w:jc w:val="left"/>
                    <w:rPr>
                      <w:rFonts w:cs="Miriam" w:hint="cs"/>
                      <w:szCs w:val="18"/>
                      <w:rtl/>
                    </w:rPr>
                  </w:pPr>
                  <w:r>
                    <w:rPr>
                      <w:rFonts w:cs="Miriam" w:hint="cs"/>
                      <w:szCs w:val="18"/>
                      <w:rtl/>
                    </w:rPr>
                    <w:t>נשיאה בשכרו של שמאי פינוי ובינוי</w:t>
                  </w:r>
                </w:p>
              </w:txbxContent>
            </v:textbox>
            <w10:anchorlock/>
          </v:rect>
        </w:pict>
      </w:r>
      <w:r w:rsidR="00B25DAB">
        <w:rPr>
          <w:rStyle w:val="big-number"/>
          <w:rFonts w:hint="cs"/>
          <w:rtl/>
        </w:rPr>
        <w:t>5</w:t>
      </w:r>
      <w:r>
        <w:rPr>
          <w:rStyle w:val="default"/>
          <w:rFonts w:cs="FrankRuehl"/>
          <w:rtl/>
        </w:rPr>
        <w:t>.</w:t>
      </w:r>
      <w:r>
        <w:rPr>
          <w:rStyle w:val="default"/>
          <w:rFonts w:cs="FrankRuehl"/>
          <w:rtl/>
        </w:rPr>
        <w:tab/>
      </w:r>
      <w:r w:rsidR="00B25DAB">
        <w:rPr>
          <w:rStyle w:val="default"/>
          <w:rFonts w:cs="FrankRuehl" w:hint="cs"/>
          <w:rtl/>
        </w:rPr>
        <w:t>(א)</w:t>
      </w:r>
      <w:r w:rsidR="00B25DAB">
        <w:rPr>
          <w:rStyle w:val="default"/>
          <w:rFonts w:cs="FrankRuehl" w:hint="cs"/>
          <w:rtl/>
        </w:rPr>
        <w:tab/>
        <w:t>היזם יישא בשכרו של שמאי פינוי ובינוי; היו כמה יזמים בעסקה, יישאו הם, בינם לבין עצמם, בשכר כאמור, בחלקים שווים</w:t>
      </w:r>
      <w:r>
        <w:rPr>
          <w:rStyle w:val="default"/>
          <w:rFonts w:cs="FrankRuehl" w:hint="cs"/>
          <w:rtl/>
        </w:rPr>
        <w:t>.</w:t>
      </w:r>
    </w:p>
    <w:p w14:paraId="73C8FB95" w14:textId="77777777" w:rsidR="00B25DAB" w:rsidRDefault="00B25DAB" w:rsidP="00B25D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בבקשה לפי תקנה 2(ג), יישא בעל הדירה נושא הבקשה בשכרו של שמאי פינוי ובינוי, ואולם שמאי פינוי ובינוי רשאי להטיל את תשלום שכרו לפי התקנה האמורה, כולו או חלקו, על היזם, אם ראה שבקשת בעל הדירה מוצדקת באופן מובהק ושהעסקה שהוצעה לו מלתחילה על ידי היזם חורגת מגדר הסביר.</w:t>
      </w:r>
    </w:p>
    <w:p w14:paraId="006887E8" w14:textId="77777777" w:rsidR="001F14B1" w:rsidRDefault="001F14B1" w:rsidP="005104BA">
      <w:pPr>
        <w:pStyle w:val="P00"/>
        <w:spacing w:before="72"/>
        <w:ind w:left="0" w:right="1134"/>
        <w:rPr>
          <w:rStyle w:val="default"/>
          <w:rFonts w:cs="FrankRuehl" w:hint="cs"/>
          <w:rtl/>
        </w:rPr>
      </w:pPr>
      <w:bookmarkStart w:id="5" w:name="Seif6"/>
      <w:bookmarkEnd w:id="5"/>
      <w:r>
        <w:rPr>
          <w:lang w:val="he-IL"/>
        </w:rPr>
        <w:pict w14:anchorId="034467D9">
          <v:rect id="_x0000_s1457" style="position:absolute;left:0;text-align:left;margin-left:464.5pt;margin-top:8.05pt;width:75.05pt;height:21.9pt;z-index:251659264" o:allowincell="f" filled="f" stroked="f" strokecolor="lime" strokeweight=".25pt">
            <v:textbox style="mso-next-textbox:#_x0000_s1457" inset="0,0,0,0">
              <w:txbxContent>
                <w:p w14:paraId="31CA034D" w14:textId="77777777" w:rsidR="001F14B1" w:rsidRDefault="005104BA" w:rsidP="001F14B1">
                  <w:pPr>
                    <w:spacing w:line="160" w:lineRule="exact"/>
                    <w:jc w:val="left"/>
                    <w:rPr>
                      <w:rFonts w:cs="Miriam" w:hint="cs"/>
                      <w:szCs w:val="18"/>
                      <w:rtl/>
                    </w:rPr>
                  </w:pPr>
                  <w:r>
                    <w:rPr>
                      <w:rFonts w:cs="Miriam" w:hint="cs"/>
                      <w:szCs w:val="18"/>
                      <w:rtl/>
                    </w:rPr>
                    <w:t>הודעה על גובה שכרו של שמאי פינוי ובינוי</w:t>
                  </w:r>
                </w:p>
              </w:txbxContent>
            </v:textbox>
            <w10:anchorlock/>
          </v:rect>
        </w:pict>
      </w:r>
      <w:r w:rsidR="00B25DAB">
        <w:rPr>
          <w:rStyle w:val="big-number"/>
          <w:rFonts w:hint="cs"/>
          <w:rtl/>
        </w:rPr>
        <w:t>6</w:t>
      </w:r>
      <w:r>
        <w:rPr>
          <w:rStyle w:val="default"/>
          <w:rFonts w:cs="FrankRuehl"/>
          <w:rtl/>
        </w:rPr>
        <w:t>.</w:t>
      </w:r>
      <w:r>
        <w:rPr>
          <w:rStyle w:val="default"/>
          <w:rFonts w:cs="FrankRuehl"/>
          <w:rtl/>
        </w:rPr>
        <w:tab/>
      </w:r>
      <w:r w:rsidR="005104BA">
        <w:rPr>
          <w:rStyle w:val="default"/>
          <w:rFonts w:cs="FrankRuehl" w:hint="cs"/>
          <w:rtl/>
        </w:rPr>
        <w:t>(א)</w:t>
      </w:r>
      <w:r w:rsidR="005104BA">
        <w:rPr>
          <w:rStyle w:val="default"/>
          <w:rFonts w:cs="FrankRuehl" w:hint="cs"/>
          <w:rtl/>
        </w:rPr>
        <w:tab/>
        <w:t xml:space="preserve">שמאי פינוי ובינוי שקיבל הודעה על מינויו לפי סעיף 2א(ב) לחוק, יודיע לצדדים וליושב ראש הוועדה לעניין מתחמי פינוי בינוי, בתוך שבעה ימים, מהו גובה שכרו לפי תקנה 2, והוא רשאי לדרוש ממי שעליו לשאת בתשלום שכרו לפי תקנה 5, לשלם רבע משכרו מיד לאחר קבלת ההודעה; היתה ההכרעה לפי תקנה 2(ג), רשאי שמאי פינוי ובינוי לדרוש את מלוא שכרו מיד לאחר קבלת בקשתו של בעל הדירה; </w:t>
      </w:r>
      <w:r w:rsidR="003D16B0">
        <w:rPr>
          <w:rStyle w:val="default"/>
          <w:rFonts w:cs="FrankRuehl" w:hint="cs"/>
          <w:rtl/>
        </w:rPr>
        <w:t xml:space="preserve">על תשלום כאמור יחול סעיף 5(ב) לחוק פסיקת ריבית והצמדה, התשכ"א-1961 (להלן </w:t>
      </w:r>
      <w:r w:rsidR="003D16B0">
        <w:rPr>
          <w:rStyle w:val="default"/>
          <w:rFonts w:cs="FrankRuehl"/>
          <w:rtl/>
        </w:rPr>
        <w:t>–</w:t>
      </w:r>
      <w:r w:rsidR="003D16B0">
        <w:rPr>
          <w:rStyle w:val="default"/>
          <w:rFonts w:cs="FrankRuehl" w:hint="cs"/>
          <w:rtl/>
        </w:rPr>
        <w:t xml:space="preserve"> חוק פסיקת ריבית)</w:t>
      </w:r>
      <w:r>
        <w:rPr>
          <w:rStyle w:val="default"/>
          <w:rFonts w:cs="FrankRuehl" w:hint="cs"/>
          <w:rtl/>
        </w:rPr>
        <w:t>.</w:t>
      </w:r>
    </w:p>
    <w:p w14:paraId="45327DA9" w14:textId="77777777" w:rsidR="003D16B0" w:rsidRDefault="003D16B0" w:rsidP="005104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יתרת שכרו של שמאי פינוי ובינוי תשולם במועד קבלת ההודעה על קבלת ההחלטה של שמאי פינוי ובינוי; על תשלום כאמור יחול סעיף 5(ב) לחוק פסיקת ריבית.</w:t>
      </w:r>
    </w:p>
    <w:p w14:paraId="3D0BA6F2" w14:textId="77777777" w:rsidR="001F14B1" w:rsidRDefault="001F14B1" w:rsidP="003D16B0">
      <w:pPr>
        <w:pStyle w:val="P00"/>
        <w:spacing w:before="72"/>
        <w:ind w:left="0" w:right="1134"/>
        <w:rPr>
          <w:rStyle w:val="default"/>
          <w:rFonts w:cs="FrankRuehl" w:hint="cs"/>
          <w:rtl/>
        </w:rPr>
      </w:pPr>
      <w:bookmarkStart w:id="6" w:name="Seif7"/>
      <w:bookmarkEnd w:id="6"/>
      <w:r>
        <w:rPr>
          <w:lang w:val="he-IL"/>
        </w:rPr>
        <w:pict w14:anchorId="72509CB6">
          <v:rect id="_x0000_s1458" style="position:absolute;left:0;text-align:left;margin-left:464.5pt;margin-top:8.05pt;width:75.05pt;height:24.95pt;z-index:251660288" o:allowincell="f" filled="f" stroked="f" strokecolor="lime" strokeweight=".25pt">
            <v:textbox style="mso-next-textbox:#_x0000_s1458" inset="0,0,0,0">
              <w:txbxContent>
                <w:p w14:paraId="00443522" w14:textId="77777777" w:rsidR="001F14B1" w:rsidRDefault="003D16B0" w:rsidP="001F14B1">
                  <w:pPr>
                    <w:spacing w:line="160" w:lineRule="exact"/>
                    <w:jc w:val="left"/>
                    <w:rPr>
                      <w:rFonts w:cs="Miriam" w:hint="cs"/>
                      <w:szCs w:val="18"/>
                      <w:rtl/>
                    </w:rPr>
                  </w:pPr>
                  <w:r>
                    <w:rPr>
                      <w:rFonts w:cs="Miriam" w:hint="cs"/>
                      <w:szCs w:val="18"/>
                      <w:rtl/>
                    </w:rPr>
                    <w:t>שכר שמאי פינוי ובינוי שהפסיק את טיפולו</w:t>
                  </w:r>
                </w:p>
              </w:txbxContent>
            </v:textbox>
            <w10:anchorlock/>
          </v:rect>
        </w:pict>
      </w:r>
      <w:r w:rsidR="003D16B0">
        <w:rPr>
          <w:rStyle w:val="big-number"/>
          <w:rFonts w:hint="cs"/>
          <w:rtl/>
        </w:rPr>
        <w:t>7</w:t>
      </w:r>
      <w:r>
        <w:rPr>
          <w:rStyle w:val="default"/>
          <w:rFonts w:cs="FrankRuehl"/>
          <w:rtl/>
        </w:rPr>
        <w:t>.</w:t>
      </w:r>
      <w:r>
        <w:rPr>
          <w:rStyle w:val="default"/>
          <w:rFonts w:cs="FrankRuehl"/>
          <w:rtl/>
        </w:rPr>
        <w:tab/>
      </w:r>
      <w:r w:rsidR="003D16B0">
        <w:rPr>
          <w:rStyle w:val="default"/>
          <w:rFonts w:cs="FrankRuehl" w:hint="cs"/>
          <w:rtl/>
        </w:rPr>
        <w:t>הועבר עניין שלפני שמאי פינוי ובינוי לשמאי פינוי ובינוי אחר, או הודיע בעל דירה במתחם פינוי ובינוי שהסכמתו להתדיין לפני שמאי פינוי ובינוי נדרשת, שאין הוא מעוניין להמשיך את ההליך לפני שמאי פינוי ובינוי, רשאי היושב ראש, לבקשת שמאי פינוי ובינוי, לקבוע אם שמאי פינוי ובינוי זכאי לשכר ואם כן, את שיעורו, ורשאי הוא להורות על החזרת סכומים ששולמו לשמאי פינוי ובינוי על חשבון שכרו, ככל ששולמו</w:t>
      </w:r>
      <w:r>
        <w:rPr>
          <w:rStyle w:val="default"/>
          <w:rFonts w:cs="FrankRuehl" w:hint="cs"/>
          <w:rtl/>
        </w:rPr>
        <w:t>.</w:t>
      </w:r>
    </w:p>
    <w:p w14:paraId="03105F05" w14:textId="77777777" w:rsidR="001F14B1" w:rsidRDefault="001F14B1" w:rsidP="003D16B0">
      <w:pPr>
        <w:pStyle w:val="P00"/>
        <w:spacing w:before="72"/>
        <w:ind w:left="0" w:right="1134"/>
        <w:rPr>
          <w:rStyle w:val="default"/>
          <w:rFonts w:cs="FrankRuehl" w:hint="cs"/>
          <w:rtl/>
        </w:rPr>
      </w:pPr>
      <w:bookmarkStart w:id="7" w:name="Seif8"/>
      <w:bookmarkEnd w:id="7"/>
      <w:r>
        <w:rPr>
          <w:lang w:val="he-IL"/>
        </w:rPr>
        <w:pict w14:anchorId="1998EAC2">
          <v:rect id="_x0000_s1459" style="position:absolute;left:0;text-align:left;margin-left:464.5pt;margin-top:8.05pt;width:75.05pt;height:14.65pt;z-index:251661312" o:allowincell="f" filled="f" stroked="f" strokecolor="lime" strokeweight=".25pt">
            <v:textbox style="mso-next-textbox:#_x0000_s1459" inset="0,0,0,0">
              <w:txbxContent>
                <w:p w14:paraId="3609DB46" w14:textId="77777777" w:rsidR="001F14B1" w:rsidRDefault="003D16B0" w:rsidP="001F14B1">
                  <w:pPr>
                    <w:spacing w:line="160" w:lineRule="exact"/>
                    <w:jc w:val="left"/>
                    <w:rPr>
                      <w:rFonts w:cs="Miriam" w:hint="cs"/>
                      <w:szCs w:val="18"/>
                      <w:rtl/>
                    </w:rPr>
                  </w:pPr>
                  <w:r>
                    <w:rPr>
                      <w:rFonts w:cs="Miriam" w:hint="cs"/>
                      <w:szCs w:val="18"/>
                      <w:rtl/>
                    </w:rPr>
                    <w:t>תוספת מס ערך מוסף</w:t>
                  </w:r>
                </w:p>
              </w:txbxContent>
            </v:textbox>
            <w10:anchorlock/>
          </v:rect>
        </w:pict>
      </w:r>
      <w:r w:rsidR="003D16B0">
        <w:rPr>
          <w:rStyle w:val="big-number"/>
          <w:rFonts w:hint="cs"/>
          <w:rtl/>
        </w:rPr>
        <w:t>8</w:t>
      </w:r>
      <w:r>
        <w:rPr>
          <w:rStyle w:val="default"/>
          <w:rFonts w:cs="FrankRuehl"/>
          <w:rtl/>
        </w:rPr>
        <w:t>.</w:t>
      </w:r>
      <w:r>
        <w:rPr>
          <w:rStyle w:val="default"/>
          <w:rFonts w:cs="FrankRuehl"/>
          <w:rtl/>
        </w:rPr>
        <w:tab/>
      </w:r>
      <w:r w:rsidR="003D16B0">
        <w:rPr>
          <w:rStyle w:val="default"/>
          <w:rFonts w:cs="FrankRuehl" w:hint="cs"/>
          <w:rtl/>
        </w:rPr>
        <w:t>על שכר כאמור בתקנות אלה ייווסף מס ערך מוסף לפי חוק מס ערך מוסף, התשל"ו-1975</w:t>
      </w:r>
      <w:r>
        <w:rPr>
          <w:rStyle w:val="default"/>
          <w:rFonts w:cs="FrankRuehl" w:hint="cs"/>
          <w:rtl/>
        </w:rPr>
        <w:t>.</w:t>
      </w:r>
    </w:p>
    <w:p w14:paraId="2619F2C6" w14:textId="77777777" w:rsidR="00147903" w:rsidRDefault="00147903">
      <w:pPr>
        <w:pStyle w:val="P00"/>
        <w:spacing w:before="72"/>
        <w:ind w:left="0" w:right="1134"/>
        <w:rPr>
          <w:rStyle w:val="default"/>
          <w:rFonts w:cs="FrankRuehl" w:hint="cs"/>
          <w:rtl/>
        </w:rPr>
      </w:pPr>
    </w:p>
    <w:p w14:paraId="4C835300" w14:textId="77777777" w:rsidR="00E63675" w:rsidRPr="007C1657" w:rsidRDefault="007C1657" w:rsidP="007C1657">
      <w:pPr>
        <w:pStyle w:val="P00"/>
        <w:spacing w:before="72"/>
        <w:ind w:left="0" w:right="1134"/>
        <w:jc w:val="center"/>
        <w:rPr>
          <w:rStyle w:val="default"/>
          <w:rFonts w:cs="FrankRuehl" w:hint="cs"/>
          <w:b/>
          <w:bCs/>
          <w:rtl/>
        </w:rPr>
      </w:pPr>
      <w:r w:rsidRPr="007C1657">
        <w:rPr>
          <w:rStyle w:val="default"/>
          <w:rFonts w:cs="FrankRuehl" w:hint="cs"/>
          <w:b/>
          <w:bCs/>
          <w:rtl/>
        </w:rPr>
        <w:t>תוספת</w:t>
      </w:r>
    </w:p>
    <w:p w14:paraId="6513F2E7" w14:textId="77777777" w:rsidR="00E63675" w:rsidRPr="007C1657" w:rsidRDefault="007C1657" w:rsidP="003D16B0">
      <w:pPr>
        <w:pStyle w:val="P00"/>
        <w:spacing w:before="72"/>
        <w:ind w:left="0" w:right="1134"/>
        <w:jc w:val="center"/>
        <w:rPr>
          <w:rStyle w:val="default"/>
          <w:rFonts w:cs="FrankRuehl" w:hint="cs"/>
          <w:sz w:val="24"/>
          <w:szCs w:val="24"/>
          <w:rtl/>
        </w:rPr>
      </w:pPr>
      <w:r w:rsidRPr="007C1657">
        <w:rPr>
          <w:rStyle w:val="default"/>
          <w:rFonts w:cs="FrankRuehl" w:hint="cs"/>
          <w:sz w:val="24"/>
          <w:szCs w:val="24"/>
          <w:rtl/>
        </w:rPr>
        <w:t xml:space="preserve">(תקנה </w:t>
      </w:r>
      <w:r w:rsidR="003D16B0">
        <w:rPr>
          <w:rStyle w:val="default"/>
          <w:rFonts w:cs="FrankRuehl" w:hint="cs"/>
          <w:sz w:val="24"/>
          <w:szCs w:val="24"/>
          <w:rtl/>
        </w:rPr>
        <w:t>2(א)</w:t>
      </w:r>
      <w:r w:rsidRPr="007C1657">
        <w:rPr>
          <w:rStyle w:val="default"/>
          <w:rFonts w:cs="FrankRuehl" w:hint="cs"/>
          <w:sz w:val="24"/>
          <w:szCs w:val="24"/>
          <w:rtl/>
        </w:rPr>
        <w:t>)</w:t>
      </w:r>
    </w:p>
    <w:p w14:paraId="495A61D5" w14:textId="77777777" w:rsidR="003D16B0" w:rsidRPr="003D16B0" w:rsidRDefault="003D16B0" w:rsidP="003D16B0">
      <w:pPr>
        <w:pStyle w:val="P00"/>
        <w:tabs>
          <w:tab w:val="clear" w:pos="624"/>
          <w:tab w:val="clear" w:pos="1021"/>
          <w:tab w:val="clear" w:pos="1474"/>
          <w:tab w:val="clear" w:pos="1928"/>
          <w:tab w:val="clear" w:pos="2381"/>
          <w:tab w:val="clear" w:pos="2835"/>
          <w:tab w:val="clear" w:pos="6259"/>
          <w:tab w:val="center" w:pos="1701"/>
          <w:tab w:val="center" w:pos="5103"/>
        </w:tabs>
        <w:spacing w:before="72"/>
        <w:ind w:left="0" w:right="1134"/>
        <w:rPr>
          <w:rStyle w:val="default"/>
          <w:rFonts w:cs="FrankRuehl" w:hint="cs"/>
          <w:sz w:val="22"/>
          <w:szCs w:val="22"/>
          <w:rtl/>
        </w:rPr>
      </w:pPr>
      <w:r w:rsidRPr="003D16B0">
        <w:rPr>
          <w:rStyle w:val="default"/>
          <w:rFonts w:cs="FrankRuehl" w:hint="cs"/>
          <w:sz w:val="22"/>
          <w:szCs w:val="22"/>
          <w:rtl/>
        </w:rPr>
        <w:tab/>
        <w:t>מספר הדירות במקבץ פינוי ובינוי</w:t>
      </w:r>
      <w:r w:rsidRPr="003D16B0">
        <w:rPr>
          <w:rStyle w:val="default"/>
          <w:rFonts w:cs="FrankRuehl" w:hint="cs"/>
          <w:sz w:val="22"/>
          <w:szCs w:val="22"/>
          <w:rtl/>
        </w:rPr>
        <w:tab/>
        <w:t>שכרו של שמאי פינוי בינוי בעד כל</w:t>
      </w:r>
    </w:p>
    <w:p w14:paraId="2B680105" w14:textId="77777777" w:rsidR="003D16B0" w:rsidRPr="003D16B0" w:rsidRDefault="003D16B0" w:rsidP="003D16B0">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103"/>
        </w:tabs>
        <w:spacing w:before="0"/>
        <w:ind w:left="0" w:right="1134"/>
        <w:rPr>
          <w:rStyle w:val="default"/>
          <w:rFonts w:cs="FrankRuehl" w:hint="cs"/>
          <w:sz w:val="22"/>
          <w:szCs w:val="22"/>
          <w:rtl/>
        </w:rPr>
      </w:pPr>
      <w:r w:rsidRPr="003D16B0">
        <w:rPr>
          <w:rStyle w:val="default"/>
          <w:rFonts w:cs="FrankRuehl" w:hint="cs"/>
          <w:sz w:val="22"/>
          <w:szCs w:val="22"/>
          <w:rtl/>
        </w:rPr>
        <w:tab/>
        <w:t>ערב ביצוע עסקת פינוי בינוי</w:t>
      </w:r>
      <w:r w:rsidRPr="003D16B0">
        <w:rPr>
          <w:rStyle w:val="default"/>
          <w:rFonts w:cs="FrankRuehl" w:hint="cs"/>
          <w:sz w:val="22"/>
          <w:szCs w:val="22"/>
          <w:rtl/>
        </w:rPr>
        <w:tab/>
        <w:t>דירה במקבץ (בש"ח)</w:t>
      </w:r>
    </w:p>
    <w:p w14:paraId="4FFBF216" w14:textId="77777777" w:rsidR="003D16B0" w:rsidRDefault="003D16B0" w:rsidP="003D16B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בעד 40 הדירות הראשונות</w:t>
      </w:r>
      <w:r>
        <w:rPr>
          <w:rStyle w:val="default"/>
          <w:rFonts w:cs="FrankRuehl" w:hint="cs"/>
          <w:rtl/>
        </w:rPr>
        <w:tab/>
        <w:t>800</w:t>
      </w:r>
    </w:p>
    <w:p w14:paraId="0F830498" w14:textId="77777777" w:rsidR="003D16B0" w:rsidRDefault="003D16B0" w:rsidP="003D16B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בעד הדירה ה-41 עד הדירה ה-80</w:t>
      </w:r>
      <w:r>
        <w:rPr>
          <w:rStyle w:val="default"/>
          <w:rFonts w:cs="FrankRuehl" w:hint="cs"/>
          <w:rtl/>
        </w:rPr>
        <w:tab/>
        <w:t>400</w:t>
      </w:r>
    </w:p>
    <w:p w14:paraId="30540373" w14:textId="77777777" w:rsidR="003D16B0" w:rsidRDefault="003D16B0" w:rsidP="003D16B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בעד הדירה ה-81 ואילך</w:t>
      </w:r>
      <w:r>
        <w:rPr>
          <w:rStyle w:val="default"/>
          <w:rFonts w:cs="FrankRuehl" w:hint="cs"/>
          <w:rtl/>
        </w:rPr>
        <w:tab/>
        <w:t>200</w:t>
      </w:r>
    </w:p>
    <w:p w14:paraId="22153084" w14:textId="77777777" w:rsidR="001F14B1" w:rsidRDefault="001F14B1">
      <w:pPr>
        <w:pStyle w:val="P00"/>
        <w:spacing w:before="72"/>
        <w:ind w:left="0" w:right="1134"/>
        <w:rPr>
          <w:rStyle w:val="default"/>
          <w:rFonts w:cs="FrankRuehl" w:hint="cs"/>
          <w:rtl/>
        </w:rPr>
      </w:pPr>
    </w:p>
    <w:p w14:paraId="21F2F459" w14:textId="77777777" w:rsidR="00AB08E5" w:rsidRDefault="00AB08E5">
      <w:pPr>
        <w:pStyle w:val="P00"/>
        <w:spacing w:before="72"/>
        <w:ind w:left="0" w:right="1134"/>
        <w:rPr>
          <w:rStyle w:val="default"/>
          <w:rFonts w:cs="FrankRuehl" w:hint="cs"/>
          <w:rtl/>
        </w:rPr>
      </w:pPr>
    </w:p>
    <w:p w14:paraId="0094BD3F" w14:textId="77777777" w:rsidR="001153D7" w:rsidRDefault="003D16B0" w:rsidP="003D16B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ד</w:t>
      </w:r>
      <w:r w:rsidR="007C1657">
        <w:rPr>
          <w:rFonts w:hint="cs"/>
          <w:rtl/>
        </w:rPr>
        <w:t>' בכסלו</w:t>
      </w:r>
      <w:r w:rsidR="00417C35">
        <w:rPr>
          <w:rFonts w:hint="cs"/>
          <w:rtl/>
        </w:rPr>
        <w:t xml:space="preserve"> התשע"ב (</w:t>
      </w:r>
      <w:r>
        <w:rPr>
          <w:rFonts w:hint="cs"/>
          <w:rtl/>
        </w:rPr>
        <w:t>30</w:t>
      </w:r>
      <w:r w:rsidR="005E5860">
        <w:rPr>
          <w:rFonts w:hint="cs"/>
          <w:rtl/>
        </w:rPr>
        <w:t xml:space="preserve"> בנובמבר</w:t>
      </w:r>
      <w:r w:rsidR="00C76B56">
        <w:rPr>
          <w:rFonts w:hint="cs"/>
          <w:rtl/>
        </w:rPr>
        <w:t xml:space="preserve"> 2011</w:t>
      </w:r>
      <w:r w:rsidR="001153D7">
        <w:rPr>
          <w:rFonts w:hint="cs"/>
          <w:rtl/>
        </w:rPr>
        <w:t>)</w:t>
      </w:r>
      <w:r w:rsidR="001153D7">
        <w:rPr>
          <w:rFonts w:hint="cs"/>
          <w:rtl/>
        </w:rPr>
        <w:tab/>
      </w:r>
      <w:r>
        <w:rPr>
          <w:rFonts w:hint="cs"/>
          <w:rtl/>
        </w:rPr>
        <w:t>יעקב נאמן</w:t>
      </w:r>
    </w:p>
    <w:p w14:paraId="652CD53A" w14:textId="77777777" w:rsidR="00D14E13" w:rsidRPr="00147903" w:rsidRDefault="00D14E13" w:rsidP="003D16B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3D16B0">
        <w:rPr>
          <w:rFonts w:hint="cs"/>
          <w:sz w:val="22"/>
          <w:szCs w:val="22"/>
          <w:rtl/>
        </w:rPr>
        <w:t>שר המשפטים</w:t>
      </w:r>
    </w:p>
    <w:p w14:paraId="03FD0CE2" w14:textId="77777777" w:rsidR="007C3ABE" w:rsidRDefault="007C3ABE">
      <w:pPr>
        <w:pStyle w:val="P00"/>
        <w:spacing w:before="72"/>
        <w:ind w:left="0" w:right="1134"/>
        <w:rPr>
          <w:rFonts w:hint="cs"/>
          <w:rtl/>
        </w:rPr>
      </w:pPr>
    </w:p>
    <w:p w14:paraId="1DE3EDE1" w14:textId="77777777" w:rsidR="00FD691D" w:rsidRDefault="00FD691D">
      <w:pPr>
        <w:pStyle w:val="P00"/>
        <w:spacing w:before="72"/>
        <w:ind w:left="0" w:right="1134"/>
        <w:rPr>
          <w:rtl/>
        </w:rPr>
      </w:pPr>
    </w:p>
    <w:p w14:paraId="4C2997EB" w14:textId="77777777" w:rsidR="00FD691D" w:rsidRDefault="00FD691D">
      <w:pPr>
        <w:pStyle w:val="P00"/>
        <w:spacing w:before="72"/>
        <w:ind w:left="0" w:right="1134"/>
        <w:rPr>
          <w:rtl/>
        </w:rPr>
      </w:pPr>
    </w:p>
    <w:p w14:paraId="72B601A3" w14:textId="77777777" w:rsidR="00FD691D" w:rsidRDefault="00FD691D" w:rsidP="00FD691D">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4B69C04D" w14:textId="77777777" w:rsidR="006415BC" w:rsidRPr="00FD691D" w:rsidRDefault="006415BC" w:rsidP="00FD691D">
      <w:pPr>
        <w:pStyle w:val="P00"/>
        <w:spacing w:before="72"/>
        <w:ind w:left="0" w:right="1134"/>
        <w:jc w:val="center"/>
        <w:rPr>
          <w:rFonts w:cs="David" w:hint="cs"/>
          <w:color w:val="0000FF"/>
          <w:szCs w:val="24"/>
          <w:u w:val="single"/>
          <w:rtl/>
        </w:rPr>
      </w:pPr>
    </w:p>
    <w:sectPr w:rsidR="006415BC" w:rsidRPr="00FD691D">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F3B05" w14:textId="77777777" w:rsidR="000C6DFD" w:rsidRDefault="000C6DFD" w:rsidP="001153D7">
      <w:pPr>
        <w:pStyle w:val="P00"/>
      </w:pPr>
      <w:r>
        <w:separator/>
      </w:r>
    </w:p>
  </w:endnote>
  <w:endnote w:type="continuationSeparator" w:id="0">
    <w:p w14:paraId="690B5278" w14:textId="77777777" w:rsidR="000C6DFD" w:rsidRDefault="000C6DFD"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10AF" w14:textId="77777777"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02BE391" w14:textId="77777777"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C5EAEC" w14:textId="77777777"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A1D14" w14:textId="77777777"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56FCA">
      <w:rPr>
        <w:rFonts w:hAnsi="FrankRuehl"/>
        <w:noProof/>
        <w:sz w:val="24"/>
        <w:szCs w:val="24"/>
        <w:rtl/>
      </w:rPr>
      <w:t>2</w:t>
    </w:r>
    <w:r>
      <w:rPr>
        <w:rFonts w:hAnsi="FrankRuehl"/>
        <w:sz w:val="24"/>
        <w:szCs w:val="24"/>
        <w:rtl/>
      </w:rPr>
      <w:fldChar w:fldCharType="end"/>
    </w:r>
  </w:p>
  <w:p w14:paraId="2C2A4CFA" w14:textId="77777777"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D7DBF3" w14:textId="77777777"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C99A" w14:textId="77777777" w:rsidR="000C6DFD" w:rsidRDefault="000C6DFD">
      <w:pPr>
        <w:spacing w:before="60" w:line="240" w:lineRule="auto"/>
        <w:ind w:right="1134"/>
      </w:pPr>
      <w:r>
        <w:separator/>
      </w:r>
    </w:p>
  </w:footnote>
  <w:footnote w:type="continuationSeparator" w:id="0">
    <w:p w14:paraId="44ABC90C" w14:textId="77777777" w:rsidR="000C6DFD" w:rsidRDefault="000C6DFD">
      <w:r>
        <w:separator/>
      </w:r>
    </w:p>
  </w:footnote>
  <w:footnote w:id="1">
    <w:p w14:paraId="481CE58E" w14:textId="77777777" w:rsidR="00D3191D" w:rsidRDefault="002D0660" w:rsidP="00D3191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sidR="006B7387">
        <w:rPr>
          <w:rFonts w:hint="cs"/>
          <w:sz w:val="20"/>
          <w:rtl/>
        </w:rPr>
        <w:t>מו</w:t>
      </w:r>
      <w:r>
        <w:rPr>
          <w:rFonts w:hint="cs"/>
          <w:sz w:val="20"/>
          <w:rtl/>
        </w:rPr>
        <w:t xml:space="preserve"> </w:t>
      </w:r>
      <w:hyperlink r:id="rId1" w:history="1">
        <w:r w:rsidRPr="00D3191D">
          <w:rPr>
            <w:rStyle w:val="Hyperlink"/>
            <w:rFonts w:hint="cs"/>
            <w:sz w:val="20"/>
            <w:rtl/>
          </w:rPr>
          <w:t>ק"ת תשע"ב מס' 705</w:t>
        </w:r>
        <w:r w:rsidR="001F14B1" w:rsidRPr="00D3191D">
          <w:rPr>
            <w:rStyle w:val="Hyperlink"/>
            <w:rFonts w:hint="cs"/>
            <w:sz w:val="20"/>
            <w:rtl/>
          </w:rPr>
          <w:t>9</w:t>
        </w:r>
      </w:hyperlink>
      <w:r>
        <w:rPr>
          <w:rFonts w:hint="cs"/>
          <w:sz w:val="20"/>
          <w:rtl/>
        </w:rPr>
        <w:t xml:space="preserve"> מיום </w:t>
      </w:r>
      <w:r w:rsidR="00965141">
        <w:rPr>
          <w:rFonts w:hint="cs"/>
          <w:sz w:val="20"/>
          <w:rtl/>
        </w:rPr>
        <w:t>1</w:t>
      </w:r>
      <w:r w:rsidR="001F14B1">
        <w:rPr>
          <w:rFonts w:hint="cs"/>
          <w:sz w:val="20"/>
          <w:rtl/>
        </w:rPr>
        <w:t>3</w:t>
      </w:r>
      <w:r w:rsidR="00F575F2">
        <w:rPr>
          <w:rFonts w:hint="cs"/>
          <w:sz w:val="20"/>
          <w:rtl/>
        </w:rPr>
        <w:t>.12</w:t>
      </w:r>
      <w:r>
        <w:rPr>
          <w:rFonts w:hint="cs"/>
          <w:sz w:val="20"/>
          <w:rtl/>
        </w:rPr>
        <w:t xml:space="preserve">.2011 עמ' </w:t>
      </w:r>
      <w:r w:rsidR="001F14B1">
        <w:rPr>
          <w:rFonts w:hint="cs"/>
          <w:sz w:val="20"/>
          <w:rtl/>
        </w:rPr>
        <w:t>272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246F" w14:textId="77777777" w:rsidR="002D0660" w:rsidRDefault="002D066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3642695A" w14:textId="77777777"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CD06FEC" w14:textId="77777777"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E9364" w14:textId="77777777" w:rsidR="002D0660" w:rsidRDefault="006B7387" w:rsidP="001F14B1">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w:t>
    </w:r>
    <w:r w:rsidR="001F14B1">
      <w:rPr>
        <w:rFonts w:hAnsi="FrankRuehl" w:hint="cs"/>
        <w:color w:val="000000"/>
        <w:sz w:val="28"/>
        <w:szCs w:val="28"/>
        <w:rtl/>
      </w:rPr>
      <w:t>פינוי בינוי (פיצויים</w:t>
    </w:r>
    <w:r w:rsidR="00E63675">
      <w:rPr>
        <w:rFonts w:hAnsi="FrankRuehl" w:hint="cs"/>
        <w:color w:val="000000"/>
        <w:sz w:val="28"/>
        <w:szCs w:val="28"/>
        <w:rtl/>
      </w:rPr>
      <w:t>)</w:t>
    </w:r>
    <w:r w:rsidR="001F14B1">
      <w:rPr>
        <w:rFonts w:hAnsi="FrankRuehl" w:hint="cs"/>
        <w:color w:val="000000"/>
        <w:sz w:val="28"/>
        <w:szCs w:val="28"/>
        <w:rtl/>
      </w:rPr>
      <w:t xml:space="preserve"> (כללים לקביעת שכרו של שמאי פינוי בינוי)</w:t>
    </w:r>
    <w:r w:rsidR="002D0660">
      <w:rPr>
        <w:rFonts w:hAnsi="FrankRuehl" w:hint="cs"/>
        <w:color w:val="000000"/>
        <w:sz w:val="28"/>
        <w:szCs w:val="28"/>
        <w:rtl/>
      </w:rPr>
      <w:t>,</w:t>
    </w:r>
    <w:r w:rsidR="002D0660">
      <w:rPr>
        <w:rFonts w:hAnsi="FrankRuehl"/>
        <w:color w:val="000000"/>
        <w:sz w:val="28"/>
        <w:szCs w:val="28"/>
        <w:rtl/>
      </w:rPr>
      <w:t xml:space="preserve"> </w:t>
    </w:r>
    <w:r w:rsidR="002D0660">
      <w:rPr>
        <w:rFonts w:hAnsi="FrankRuehl" w:hint="cs"/>
        <w:color w:val="000000"/>
        <w:sz w:val="28"/>
        <w:szCs w:val="28"/>
        <w:rtl/>
      </w:rPr>
      <w:t>תשע"ב-2011</w:t>
    </w:r>
  </w:p>
  <w:p w14:paraId="55791DD9" w14:textId="77777777"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27AE25A" w14:textId="77777777"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12E82"/>
    <w:rsid w:val="00054DF2"/>
    <w:rsid w:val="000604D6"/>
    <w:rsid w:val="00062DA7"/>
    <w:rsid w:val="00070291"/>
    <w:rsid w:val="0007387F"/>
    <w:rsid w:val="000764DF"/>
    <w:rsid w:val="00083C69"/>
    <w:rsid w:val="000A2305"/>
    <w:rsid w:val="000A27F1"/>
    <w:rsid w:val="000C3D03"/>
    <w:rsid w:val="000C6DFD"/>
    <w:rsid w:val="000D457A"/>
    <w:rsid w:val="000F7AD1"/>
    <w:rsid w:val="00104663"/>
    <w:rsid w:val="001101B1"/>
    <w:rsid w:val="00111ABB"/>
    <w:rsid w:val="001153D7"/>
    <w:rsid w:val="00117487"/>
    <w:rsid w:val="0012009D"/>
    <w:rsid w:val="00120443"/>
    <w:rsid w:val="0012244D"/>
    <w:rsid w:val="00147903"/>
    <w:rsid w:val="00147D1D"/>
    <w:rsid w:val="001555E4"/>
    <w:rsid w:val="00171A6D"/>
    <w:rsid w:val="00190AF4"/>
    <w:rsid w:val="001C2251"/>
    <w:rsid w:val="001C3E05"/>
    <w:rsid w:val="001D75C6"/>
    <w:rsid w:val="001E5CC5"/>
    <w:rsid w:val="001F14B1"/>
    <w:rsid w:val="001F5448"/>
    <w:rsid w:val="001F773B"/>
    <w:rsid w:val="002005AF"/>
    <w:rsid w:val="0021551A"/>
    <w:rsid w:val="002167E6"/>
    <w:rsid w:val="00216A99"/>
    <w:rsid w:val="002337A0"/>
    <w:rsid w:val="00237811"/>
    <w:rsid w:val="00240149"/>
    <w:rsid w:val="00240188"/>
    <w:rsid w:val="00256B53"/>
    <w:rsid w:val="00260683"/>
    <w:rsid w:val="00271669"/>
    <w:rsid w:val="0027319C"/>
    <w:rsid w:val="00275B3C"/>
    <w:rsid w:val="00290B14"/>
    <w:rsid w:val="00292CC1"/>
    <w:rsid w:val="002A4BB3"/>
    <w:rsid w:val="002B0FB3"/>
    <w:rsid w:val="002B1A66"/>
    <w:rsid w:val="002D0660"/>
    <w:rsid w:val="00301E70"/>
    <w:rsid w:val="003305DA"/>
    <w:rsid w:val="00331D4D"/>
    <w:rsid w:val="003404D2"/>
    <w:rsid w:val="0034342A"/>
    <w:rsid w:val="0034739E"/>
    <w:rsid w:val="00351366"/>
    <w:rsid w:val="00387C3F"/>
    <w:rsid w:val="003A1471"/>
    <w:rsid w:val="003A263B"/>
    <w:rsid w:val="003B2D7E"/>
    <w:rsid w:val="003C645B"/>
    <w:rsid w:val="003C76B8"/>
    <w:rsid w:val="003D16B0"/>
    <w:rsid w:val="003D20B9"/>
    <w:rsid w:val="003E2D9B"/>
    <w:rsid w:val="003F001F"/>
    <w:rsid w:val="00405796"/>
    <w:rsid w:val="004110E9"/>
    <w:rsid w:val="00413942"/>
    <w:rsid w:val="00415410"/>
    <w:rsid w:val="00417C35"/>
    <w:rsid w:val="00423115"/>
    <w:rsid w:val="004521F9"/>
    <w:rsid w:val="00461A97"/>
    <w:rsid w:val="004625E2"/>
    <w:rsid w:val="00493778"/>
    <w:rsid w:val="00497258"/>
    <w:rsid w:val="004A2062"/>
    <w:rsid w:val="004A5EA5"/>
    <w:rsid w:val="004B1BC6"/>
    <w:rsid w:val="004B3AB3"/>
    <w:rsid w:val="004F3CDA"/>
    <w:rsid w:val="004F7707"/>
    <w:rsid w:val="005104BA"/>
    <w:rsid w:val="0052780E"/>
    <w:rsid w:val="00535CC5"/>
    <w:rsid w:val="00550DF9"/>
    <w:rsid w:val="005736AB"/>
    <w:rsid w:val="0058654B"/>
    <w:rsid w:val="005A5B87"/>
    <w:rsid w:val="005A6225"/>
    <w:rsid w:val="005A658F"/>
    <w:rsid w:val="005B05B8"/>
    <w:rsid w:val="005C15CB"/>
    <w:rsid w:val="005D245F"/>
    <w:rsid w:val="005D582D"/>
    <w:rsid w:val="005E0E13"/>
    <w:rsid w:val="005E5860"/>
    <w:rsid w:val="005F4D1A"/>
    <w:rsid w:val="005F7021"/>
    <w:rsid w:val="00600F57"/>
    <w:rsid w:val="0060619B"/>
    <w:rsid w:val="006075C5"/>
    <w:rsid w:val="0061159D"/>
    <w:rsid w:val="00615319"/>
    <w:rsid w:val="00617BBB"/>
    <w:rsid w:val="00622C7D"/>
    <w:rsid w:val="006415BC"/>
    <w:rsid w:val="00642FBF"/>
    <w:rsid w:val="00647114"/>
    <w:rsid w:val="006516ED"/>
    <w:rsid w:val="00661610"/>
    <w:rsid w:val="006A18F9"/>
    <w:rsid w:val="006B097D"/>
    <w:rsid w:val="006B4DFA"/>
    <w:rsid w:val="006B7387"/>
    <w:rsid w:val="006D567F"/>
    <w:rsid w:val="006E0BEF"/>
    <w:rsid w:val="0071029B"/>
    <w:rsid w:val="00731BA8"/>
    <w:rsid w:val="0073201B"/>
    <w:rsid w:val="007551B3"/>
    <w:rsid w:val="00756CAB"/>
    <w:rsid w:val="00756FCA"/>
    <w:rsid w:val="00766404"/>
    <w:rsid w:val="00776512"/>
    <w:rsid w:val="007767F0"/>
    <w:rsid w:val="00784556"/>
    <w:rsid w:val="007A02F7"/>
    <w:rsid w:val="007A1683"/>
    <w:rsid w:val="007A7DCC"/>
    <w:rsid w:val="007C1657"/>
    <w:rsid w:val="007C3ABE"/>
    <w:rsid w:val="007D08CF"/>
    <w:rsid w:val="007F4790"/>
    <w:rsid w:val="007F7072"/>
    <w:rsid w:val="00800CDF"/>
    <w:rsid w:val="00835904"/>
    <w:rsid w:val="00851C93"/>
    <w:rsid w:val="008D3627"/>
    <w:rsid w:val="008D4DB8"/>
    <w:rsid w:val="008D4DBF"/>
    <w:rsid w:val="008D7430"/>
    <w:rsid w:val="008E2561"/>
    <w:rsid w:val="008E3F93"/>
    <w:rsid w:val="008F09B2"/>
    <w:rsid w:val="0090546C"/>
    <w:rsid w:val="00920730"/>
    <w:rsid w:val="00947D07"/>
    <w:rsid w:val="00954AEA"/>
    <w:rsid w:val="00965141"/>
    <w:rsid w:val="009673BD"/>
    <w:rsid w:val="00976D3D"/>
    <w:rsid w:val="009C5F92"/>
    <w:rsid w:val="009F4699"/>
    <w:rsid w:val="009F65F4"/>
    <w:rsid w:val="00A02041"/>
    <w:rsid w:val="00A14553"/>
    <w:rsid w:val="00A1570F"/>
    <w:rsid w:val="00A21BAF"/>
    <w:rsid w:val="00A335E8"/>
    <w:rsid w:val="00A35851"/>
    <w:rsid w:val="00A44A3F"/>
    <w:rsid w:val="00A478B2"/>
    <w:rsid w:val="00A50CD4"/>
    <w:rsid w:val="00A53ADF"/>
    <w:rsid w:val="00A622C7"/>
    <w:rsid w:val="00A706E7"/>
    <w:rsid w:val="00A72624"/>
    <w:rsid w:val="00A971C7"/>
    <w:rsid w:val="00A974FD"/>
    <w:rsid w:val="00AA370D"/>
    <w:rsid w:val="00AB08E5"/>
    <w:rsid w:val="00AB7A67"/>
    <w:rsid w:val="00AD0C71"/>
    <w:rsid w:val="00AD4A85"/>
    <w:rsid w:val="00AD5320"/>
    <w:rsid w:val="00B11453"/>
    <w:rsid w:val="00B1250A"/>
    <w:rsid w:val="00B1453E"/>
    <w:rsid w:val="00B23890"/>
    <w:rsid w:val="00B25DAB"/>
    <w:rsid w:val="00B2613D"/>
    <w:rsid w:val="00B306DE"/>
    <w:rsid w:val="00B679F1"/>
    <w:rsid w:val="00B913AB"/>
    <w:rsid w:val="00B92511"/>
    <w:rsid w:val="00B93388"/>
    <w:rsid w:val="00BC6821"/>
    <w:rsid w:val="00BD3960"/>
    <w:rsid w:val="00BE055D"/>
    <w:rsid w:val="00BF4052"/>
    <w:rsid w:val="00C12988"/>
    <w:rsid w:val="00C463D8"/>
    <w:rsid w:val="00C52951"/>
    <w:rsid w:val="00C55213"/>
    <w:rsid w:val="00C65047"/>
    <w:rsid w:val="00C76B56"/>
    <w:rsid w:val="00C97091"/>
    <w:rsid w:val="00CA1B93"/>
    <w:rsid w:val="00CB7E37"/>
    <w:rsid w:val="00CC6E39"/>
    <w:rsid w:val="00CD3272"/>
    <w:rsid w:val="00CD41CB"/>
    <w:rsid w:val="00CD79E8"/>
    <w:rsid w:val="00CF0B2A"/>
    <w:rsid w:val="00CF583D"/>
    <w:rsid w:val="00CF71AB"/>
    <w:rsid w:val="00D14E13"/>
    <w:rsid w:val="00D26125"/>
    <w:rsid w:val="00D268E8"/>
    <w:rsid w:val="00D26B78"/>
    <w:rsid w:val="00D3191D"/>
    <w:rsid w:val="00D57B76"/>
    <w:rsid w:val="00D702B8"/>
    <w:rsid w:val="00D706C7"/>
    <w:rsid w:val="00D74842"/>
    <w:rsid w:val="00DB7234"/>
    <w:rsid w:val="00DC6DCE"/>
    <w:rsid w:val="00DC7087"/>
    <w:rsid w:val="00DC7731"/>
    <w:rsid w:val="00DD4C30"/>
    <w:rsid w:val="00DD6B39"/>
    <w:rsid w:val="00DF433F"/>
    <w:rsid w:val="00E05922"/>
    <w:rsid w:val="00E07DA5"/>
    <w:rsid w:val="00E13678"/>
    <w:rsid w:val="00E2551A"/>
    <w:rsid w:val="00E26F4A"/>
    <w:rsid w:val="00E30ABF"/>
    <w:rsid w:val="00E35306"/>
    <w:rsid w:val="00E4424C"/>
    <w:rsid w:val="00E51B25"/>
    <w:rsid w:val="00E61634"/>
    <w:rsid w:val="00E63675"/>
    <w:rsid w:val="00E66CC0"/>
    <w:rsid w:val="00EA42E3"/>
    <w:rsid w:val="00EB6191"/>
    <w:rsid w:val="00EB7F7B"/>
    <w:rsid w:val="00ED227B"/>
    <w:rsid w:val="00ED35FD"/>
    <w:rsid w:val="00EE5228"/>
    <w:rsid w:val="00EF64C7"/>
    <w:rsid w:val="00EF6CF7"/>
    <w:rsid w:val="00EF7854"/>
    <w:rsid w:val="00F24B0F"/>
    <w:rsid w:val="00F26384"/>
    <w:rsid w:val="00F35A91"/>
    <w:rsid w:val="00F575F2"/>
    <w:rsid w:val="00F70FC4"/>
    <w:rsid w:val="00F74789"/>
    <w:rsid w:val="00F86EA4"/>
    <w:rsid w:val="00FC11F7"/>
    <w:rsid w:val="00FC2629"/>
    <w:rsid w:val="00FD691D"/>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E6842A3"/>
  <w15:chartTrackingRefBased/>
  <w15:docId w15:val="{2CF998A6-B502-46CE-9684-7FEBF140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5714</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8060929</vt:i4>
      </vt:variant>
      <vt:variant>
        <vt:i4>0</vt:i4>
      </vt:variant>
      <vt:variant>
        <vt:i4>0</vt:i4>
      </vt:variant>
      <vt:variant>
        <vt:i4>5</vt:i4>
      </vt:variant>
      <vt:variant>
        <vt:lpwstr>http://www.nevo.co.il/Law_word/law06/TAK-7059.pdf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תכנון ובניה</vt:lpwstr>
  </property>
  <property fmtid="{D5CDD505-2E9C-101B-9397-08002B2CF9AE}" pid="4" name="LAWNAME">
    <vt:lpwstr>תקנות פינוי בינוי (פיצויים) (כללים לקביעת שכרו של שמאי פינוי בינוי), תשע"ב-2011</vt:lpwstr>
  </property>
  <property fmtid="{D5CDD505-2E9C-101B-9397-08002B2CF9AE}" pid="5" name="LAWNUMBER">
    <vt:lpwstr>0599</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רשויות ומשפט מנהלי</vt:lpwstr>
  </property>
  <property fmtid="{D5CDD505-2E9C-101B-9397-08002B2CF9AE}" pid="23" name="NOSE21">
    <vt:lpwstr>תכנון ובניה</vt:lpwstr>
  </property>
  <property fmtid="{D5CDD505-2E9C-101B-9397-08002B2CF9AE}" pid="24" name="NOSE31">
    <vt:lpwstr>בינוי ופינוי </vt:lpwstr>
  </property>
  <property fmtid="{D5CDD505-2E9C-101B-9397-08002B2CF9AE}" pid="25" name="NOSE41">
    <vt:lpwstr>פיצויים</vt:lpwstr>
  </property>
  <property fmtid="{D5CDD505-2E9C-101B-9397-08002B2CF9AE}" pid="26" name="NOSE12">
    <vt:lpwstr>משפט פרטי וכלכלה</vt:lpwstr>
  </property>
  <property fmtid="{D5CDD505-2E9C-101B-9397-08002B2CF9AE}" pid="27" name="NOSE22">
    <vt:lpwstr>קניין</vt:lpwstr>
  </property>
  <property fmtid="{D5CDD505-2E9C-101B-9397-08002B2CF9AE}" pid="28" name="NOSE32">
    <vt:lpwstr>מקרקעין</vt:lpwstr>
  </property>
  <property fmtid="{D5CDD505-2E9C-101B-9397-08002B2CF9AE}" pid="29" name="NOSE42">
    <vt:lpwstr>פינוי והפקעה</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פינוי ובינוי (פיצויים)</vt:lpwstr>
  </property>
  <property fmtid="{D5CDD505-2E9C-101B-9397-08002B2CF9AE}" pid="63" name="MEKOR_SAIF1">
    <vt:lpwstr>7XבX</vt:lpwstr>
  </property>
  <property fmtid="{D5CDD505-2E9C-101B-9397-08002B2CF9AE}" pid="64" name="LINKK1">
    <vt:lpwstr>http://www.nevo.co.il/Law_word/law06/TAK-7059.pdf;‎רשומות - תקנות כלליות#פורסמו ק"ת תשע"ב ‏מס' 7059# מיום 13.12.2011 עמ' 272‏</vt:lpwstr>
  </property>
</Properties>
</file>