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55A" w:rsidRDefault="00BB555A">
      <w:pPr>
        <w:pStyle w:val="big-header"/>
        <w:ind w:left="0" w:right="1134"/>
        <w:rPr>
          <w:rFonts w:cs="FrankRuehl" w:hint="cs"/>
          <w:sz w:val="32"/>
          <w:rtl/>
        </w:rPr>
      </w:pPr>
      <w:r>
        <w:rPr>
          <w:rFonts w:cs="FrankRuehl" w:hint="cs"/>
          <w:sz w:val="32"/>
          <w:rtl/>
        </w:rPr>
        <w:t>תקנות צער בעלי חיים (הגנה על בעלי חיים) (הובלת בהמות), תשס"ו-2006</w:t>
      </w:r>
    </w:p>
    <w:p w:rsidR="00E62D76" w:rsidRPr="00E62D76" w:rsidRDefault="00E62D76" w:rsidP="00E62D76">
      <w:pPr>
        <w:spacing w:line="320" w:lineRule="auto"/>
        <w:rPr>
          <w:rFonts w:cs="FrankRuehl"/>
          <w:szCs w:val="26"/>
          <w:rtl/>
        </w:rPr>
      </w:pPr>
    </w:p>
    <w:p w:rsidR="00E62D76" w:rsidRPr="00E62D76" w:rsidRDefault="00E62D76" w:rsidP="00E62D76">
      <w:pPr>
        <w:spacing w:line="320" w:lineRule="auto"/>
        <w:rPr>
          <w:rFonts w:cs="Miriam" w:hint="cs"/>
          <w:szCs w:val="22"/>
          <w:rtl/>
        </w:rPr>
      </w:pPr>
      <w:r w:rsidRPr="00E62D76">
        <w:rPr>
          <w:rFonts w:cs="Miriam"/>
          <w:szCs w:val="22"/>
          <w:rtl/>
        </w:rPr>
        <w:t>חקלאות טבע וסביבה</w:t>
      </w:r>
      <w:r w:rsidRPr="00E62D76">
        <w:rPr>
          <w:rFonts w:cs="FrankRuehl"/>
          <w:szCs w:val="26"/>
          <w:rtl/>
        </w:rPr>
        <w:t xml:space="preserve"> – בע"ח – צער בע"ח – הגנה על בע"ח</w:t>
      </w:r>
    </w:p>
    <w:p w:rsidR="00BB555A" w:rsidRDefault="00BB555A">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Seif0</w:instrText>
            </w:r>
            <w:r>
              <w:rPr>
                <w:rtl/>
              </w:rPr>
              <w:instrText xml:space="preserve"> </w:instrText>
            </w:r>
            <w:r>
              <w:rPr>
                <w:rtl/>
              </w:rPr>
              <w:fldChar w:fldCharType="separate"/>
            </w:r>
            <w:r w:rsidR="00364FA2">
              <w:rPr>
                <w:noProof/>
                <w:rtl/>
              </w:rPr>
              <w:t>2</w:t>
            </w:r>
            <w:r>
              <w:rPr>
                <w:rtl/>
              </w:rPr>
              <w:fldChar w:fldCharType="end"/>
            </w:r>
          </w:p>
        </w:tc>
        <w:tc>
          <w:tcPr>
            <w:tcW w:w="567" w:type="dxa"/>
          </w:tcPr>
          <w:p w:rsidR="00BB555A" w:rsidRDefault="00BB555A">
            <w:hyperlink w:anchor="Seif0" w:tooltip="מטרה" w:history="1">
              <w:r>
                <w:rPr>
                  <w:rStyle w:val="Hyperlink"/>
                </w:rPr>
                <w:t>Go</w:t>
              </w:r>
            </w:hyperlink>
          </w:p>
        </w:tc>
        <w:tc>
          <w:tcPr>
            <w:tcW w:w="5669" w:type="dxa"/>
          </w:tcPr>
          <w:p w:rsidR="00BB555A" w:rsidRDefault="00BB555A">
            <w:pPr>
              <w:rPr>
                <w:rtl/>
              </w:rPr>
            </w:pPr>
            <w:r>
              <w:rPr>
                <w:rtl/>
              </w:rPr>
              <w:t>מטרה</w:t>
            </w:r>
          </w:p>
        </w:tc>
        <w:tc>
          <w:tcPr>
            <w:tcW w:w="1247" w:type="dxa"/>
          </w:tcPr>
          <w:p w:rsidR="00BB555A" w:rsidRDefault="00BB555A">
            <w:r>
              <w:rPr>
                <w:rtl/>
              </w:rPr>
              <w:t xml:space="preserve">סעיף 1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w:instrText>
            </w:r>
            <w:r>
              <w:rPr>
                <w:rtl/>
              </w:rPr>
              <w:instrText xml:space="preserve"> </w:instrText>
            </w:r>
            <w:r>
              <w:rPr>
                <w:rtl/>
              </w:rPr>
              <w:fldChar w:fldCharType="separate"/>
            </w:r>
            <w:r w:rsidR="00364FA2">
              <w:rPr>
                <w:noProof/>
                <w:rtl/>
              </w:rPr>
              <w:t>2</w:t>
            </w:r>
            <w:r>
              <w:rPr>
                <w:rtl/>
              </w:rPr>
              <w:fldChar w:fldCharType="end"/>
            </w:r>
          </w:p>
        </w:tc>
        <w:tc>
          <w:tcPr>
            <w:tcW w:w="567" w:type="dxa"/>
          </w:tcPr>
          <w:p w:rsidR="00BB555A" w:rsidRDefault="00BB555A">
            <w:hyperlink w:anchor="Seif1" w:tooltip="הגדרות" w:history="1">
              <w:r>
                <w:rPr>
                  <w:rStyle w:val="Hyperlink"/>
                </w:rPr>
                <w:t>Go</w:t>
              </w:r>
            </w:hyperlink>
          </w:p>
        </w:tc>
        <w:tc>
          <w:tcPr>
            <w:tcW w:w="5669" w:type="dxa"/>
          </w:tcPr>
          <w:p w:rsidR="00BB555A" w:rsidRDefault="00BB555A">
            <w:pPr>
              <w:rPr>
                <w:rtl/>
              </w:rPr>
            </w:pPr>
            <w:r>
              <w:rPr>
                <w:rtl/>
              </w:rPr>
              <w:t>הגדרות</w:t>
            </w:r>
          </w:p>
        </w:tc>
        <w:tc>
          <w:tcPr>
            <w:tcW w:w="1247" w:type="dxa"/>
          </w:tcPr>
          <w:p w:rsidR="00BB555A" w:rsidRDefault="00BB555A">
            <w:r>
              <w:rPr>
                <w:rtl/>
              </w:rPr>
              <w:t xml:space="preserve">סעיף 2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Seif2</w:instrText>
            </w:r>
            <w:r>
              <w:rPr>
                <w:rtl/>
              </w:rPr>
              <w:instrText xml:space="preserve"> </w:instrText>
            </w:r>
            <w:r>
              <w:rPr>
                <w:rtl/>
              </w:rPr>
              <w:fldChar w:fldCharType="separate"/>
            </w:r>
            <w:r w:rsidR="00364FA2">
              <w:rPr>
                <w:noProof/>
                <w:rtl/>
              </w:rPr>
              <w:t>2</w:t>
            </w:r>
            <w:r>
              <w:rPr>
                <w:rtl/>
              </w:rPr>
              <w:fldChar w:fldCharType="end"/>
            </w:r>
          </w:p>
        </w:tc>
        <w:tc>
          <w:tcPr>
            <w:tcW w:w="567" w:type="dxa"/>
          </w:tcPr>
          <w:p w:rsidR="00BB555A" w:rsidRDefault="00BB555A">
            <w:hyperlink w:anchor="Seif2" w:tooltip="הכשרת משגיחים" w:history="1">
              <w:r>
                <w:rPr>
                  <w:rStyle w:val="Hyperlink"/>
                </w:rPr>
                <w:t>Go</w:t>
              </w:r>
            </w:hyperlink>
          </w:p>
        </w:tc>
        <w:tc>
          <w:tcPr>
            <w:tcW w:w="5669" w:type="dxa"/>
          </w:tcPr>
          <w:p w:rsidR="00BB555A" w:rsidRDefault="00BB555A">
            <w:pPr>
              <w:rPr>
                <w:rtl/>
              </w:rPr>
            </w:pPr>
            <w:r>
              <w:rPr>
                <w:rtl/>
              </w:rPr>
              <w:t>הכשרת משגיחים</w:t>
            </w:r>
          </w:p>
        </w:tc>
        <w:tc>
          <w:tcPr>
            <w:tcW w:w="1247" w:type="dxa"/>
          </w:tcPr>
          <w:p w:rsidR="00BB555A" w:rsidRDefault="00BB555A">
            <w:r>
              <w:rPr>
                <w:rtl/>
              </w:rPr>
              <w:t xml:space="preserve">סעיף 3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Seif3</w:instrText>
            </w:r>
            <w:r>
              <w:rPr>
                <w:rtl/>
              </w:rPr>
              <w:instrText xml:space="preserve"> </w:instrText>
            </w:r>
            <w:r>
              <w:rPr>
                <w:rtl/>
              </w:rPr>
              <w:fldChar w:fldCharType="separate"/>
            </w:r>
            <w:r w:rsidR="00364FA2">
              <w:rPr>
                <w:noProof/>
                <w:rtl/>
              </w:rPr>
              <w:t>2</w:t>
            </w:r>
            <w:r>
              <w:rPr>
                <w:rtl/>
              </w:rPr>
              <w:fldChar w:fldCharType="end"/>
            </w:r>
          </w:p>
        </w:tc>
        <w:tc>
          <w:tcPr>
            <w:tcW w:w="567" w:type="dxa"/>
          </w:tcPr>
          <w:p w:rsidR="00BB555A" w:rsidRDefault="00BB555A">
            <w:hyperlink w:anchor="Seif3" w:tooltip="חובת השגחה ופיקוח" w:history="1">
              <w:r>
                <w:rPr>
                  <w:rStyle w:val="Hyperlink"/>
                </w:rPr>
                <w:t>Go</w:t>
              </w:r>
            </w:hyperlink>
          </w:p>
        </w:tc>
        <w:tc>
          <w:tcPr>
            <w:tcW w:w="5669" w:type="dxa"/>
          </w:tcPr>
          <w:p w:rsidR="00BB555A" w:rsidRDefault="00BB555A">
            <w:pPr>
              <w:rPr>
                <w:rtl/>
              </w:rPr>
            </w:pPr>
            <w:r>
              <w:rPr>
                <w:rtl/>
              </w:rPr>
              <w:t>חובת השגחה ופיקוח</w:t>
            </w:r>
          </w:p>
        </w:tc>
        <w:tc>
          <w:tcPr>
            <w:tcW w:w="1247" w:type="dxa"/>
          </w:tcPr>
          <w:p w:rsidR="00BB555A" w:rsidRDefault="00BB555A">
            <w:r>
              <w:rPr>
                <w:rtl/>
              </w:rPr>
              <w:t xml:space="preserve">סעיף 4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Seif4</w:instrText>
            </w:r>
            <w:r>
              <w:rPr>
                <w:rtl/>
              </w:rPr>
              <w:instrText xml:space="preserve"> </w:instrText>
            </w:r>
            <w:r>
              <w:rPr>
                <w:rtl/>
              </w:rPr>
              <w:fldChar w:fldCharType="separate"/>
            </w:r>
            <w:r w:rsidR="00364FA2">
              <w:rPr>
                <w:noProof/>
                <w:rtl/>
              </w:rPr>
              <w:t>3</w:t>
            </w:r>
            <w:r>
              <w:rPr>
                <w:rtl/>
              </w:rPr>
              <w:fldChar w:fldCharType="end"/>
            </w:r>
          </w:p>
        </w:tc>
        <w:tc>
          <w:tcPr>
            <w:tcW w:w="567" w:type="dxa"/>
          </w:tcPr>
          <w:p w:rsidR="00BB555A" w:rsidRDefault="00BB555A">
            <w:hyperlink w:anchor="Seif4" w:tooltip="היתר להובלה" w:history="1">
              <w:r>
                <w:rPr>
                  <w:rStyle w:val="Hyperlink"/>
                </w:rPr>
                <w:t>Go</w:t>
              </w:r>
            </w:hyperlink>
          </w:p>
        </w:tc>
        <w:tc>
          <w:tcPr>
            <w:tcW w:w="5669" w:type="dxa"/>
          </w:tcPr>
          <w:p w:rsidR="00BB555A" w:rsidRDefault="00BB555A">
            <w:pPr>
              <w:rPr>
                <w:rtl/>
              </w:rPr>
            </w:pPr>
            <w:r>
              <w:rPr>
                <w:rtl/>
              </w:rPr>
              <w:t>היתר להובלה</w:t>
            </w:r>
          </w:p>
        </w:tc>
        <w:tc>
          <w:tcPr>
            <w:tcW w:w="1247" w:type="dxa"/>
          </w:tcPr>
          <w:p w:rsidR="00BB555A" w:rsidRDefault="00BB555A">
            <w:r>
              <w:rPr>
                <w:rtl/>
              </w:rPr>
              <w:t xml:space="preserve">סעיף 5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Seif5</w:instrText>
            </w:r>
            <w:r>
              <w:rPr>
                <w:rtl/>
              </w:rPr>
              <w:instrText xml:space="preserve"> </w:instrText>
            </w:r>
            <w:r>
              <w:rPr>
                <w:rtl/>
              </w:rPr>
              <w:fldChar w:fldCharType="separate"/>
            </w:r>
            <w:r w:rsidR="00364FA2">
              <w:rPr>
                <w:noProof/>
                <w:rtl/>
              </w:rPr>
              <w:t>3</w:t>
            </w:r>
            <w:r>
              <w:rPr>
                <w:rtl/>
              </w:rPr>
              <w:fldChar w:fldCharType="end"/>
            </w:r>
          </w:p>
        </w:tc>
        <w:tc>
          <w:tcPr>
            <w:tcW w:w="567" w:type="dxa"/>
          </w:tcPr>
          <w:p w:rsidR="00BB555A" w:rsidRDefault="00BB555A">
            <w:hyperlink w:anchor="Seif5" w:tooltip="הובלה אסורה" w:history="1">
              <w:r>
                <w:rPr>
                  <w:rStyle w:val="Hyperlink"/>
                </w:rPr>
                <w:t>Go</w:t>
              </w:r>
            </w:hyperlink>
          </w:p>
        </w:tc>
        <w:tc>
          <w:tcPr>
            <w:tcW w:w="5669" w:type="dxa"/>
          </w:tcPr>
          <w:p w:rsidR="00BB555A" w:rsidRDefault="00BB555A">
            <w:pPr>
              <w:rPr>
                <w:rtl/>
              </w:rPr>
            </w:pPr>
            <w:r>
              <w:rPr>
                <w:rtl/>
              </w:rPr>
              <w:t>הובלה אסורה</w:t>
            </w:r>
          </w:p>
        </w:tc>
        <w:tc>
          <w:tcPr>
            <w:tcW w:w="1247" w:type="dxa"/>
          </w:tcPr>
          <w:p w:rsidR="00BB555A" w:rsidRDefault="00BB555A">
            <w:r>
              <w:rPr>
                <w:rtl/>
              </w:rPr>
              <w:t xml:space="preserve">סעיף 6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Seif6</w:instrText>
            </w:r>
            <w:r>
              <w:rPr>
                <w:rtl/>
              </w:rPr>
              <w:instrText xml:space="preserve"> </w:instrText>
            </w:r>
            <w:r>
              <w:rPr>
                <w:rtl/>
              </w:rPr>
              <w:fldChar w:fldCharType="separate"/>
            </w:r>
            <w:r w:rsidR="00364FA2">
              <w:rPr>
                <w:noProof/>
                <w:rtl/>
              </w:rPr>
              <w:t>3</w:t>
            </w:r>
            <w:r>
              <w:rPr>
                <w:rtl/>
              </w:rPr>
              <w:fldChar w:fldCharType="end"/>
            </w:r>
          </w:p>
        </w:tc>
        <w:tc>
          <w:tcPr>
            <w:tcW w:w="567" w:type="dxa"/>
          </w:tcPr>
          <w:p w:rsidR="00BB555A" w:rsidRDefault="00BB555A">
            <w:hyperlink w:anchor="Seif6" w:tooltip="זמני ההובלה" w:history="1">
              <w:r>
                <w:rPr>
                  <w:rStyle w:val="Hyperlink"/>
                </w:rPr>
                <w:t>Go</w:t>
              </w:r>
            </w:hyperlink>
          </w:p>
        </w:tc>
        <w:tc>
          <w:tcPr>
            <w:tcW w:w="5669" w:type="dxa"/>
          </w:tcPr>
          <w:p w:rsidR="00BB555A" w:rsidRDefault="00BB555A">
            <w:pPr>
              <w:rPr>
                <w:rtl/>
              </w:rPr>
            </w:pPr>
            <w:r>
              <w:rPr>
                <w:rtl/>
              </w:rPr>
              <w:t>זמני ההובלה</w:t>
            </w:r>
          </w:p>
        </w:tc>
        <w:tc>
          <w:tcPr>
            <w:tcW w:w="1247" w:type="dxa"/>
          </w:tcPr>
          <w:p w:rsidR="00BB555A" w:rsidRDefault="00BB555A">
            <w:r>
              <w:rPr>
                <w:rtl/>
              </w:rPr>
              <w:t xml:space="preserve">סעיף 7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Seif7</w:instrText>
            </w:r>
            <w:r>
              <w:rPr>
                <w:rtl/>
              </w:rPr>
              <w:instrText xml:space="preserve"> </w:instrText>
            </w:r>
            <w:r>
              <w:rPr>
                <w:rtl/>
              </w:rPr>
              <w:fldChar w:fldCharType="separate"/>
            </w:r>
            <w:r w:rsidR="00364FA2">
              <w:rPr>
                <w:noProof/>
                <w:rtl/>
              </w:rPr>
              <w:t>3</w:t>
            </w:r>
            <w:r>
              <w:rPr>
                <w:rtl/>
              </w:rPr>
              <w:fldChar w:fldCharType="end"/>
            </w:r>
          </w:p>
        </w:tc>
        <w:tc>
          <w:tcPr>
            <w:tcW w:w="567" w:type="dxa"/>
          </w:tcPr>
          <w:p w:rsidR="00BB555A" w:rsidRDefault="00BB555A">
            <w:hyperlink w:anchor="Seif7" w:tooltip="מזון ומים בנקודת המוצא והיעד" w:history="1">
              <w:r>
                <w:rPr>
                  <w:rStyle w:val="Hyperlink"/>
                </w:rPr>
                <w:t>Go</w:t>
              </w:r>
            </w:hyperlink>
          </w:p>
        </w:tc>
        <w:tc>
          <w:tcPr>
            <w:tcW w:w="5669" w:type="dxa"/>
          </w:tcPr>
          <w:p w:rsidR="00BB555A" w:rsidRDefault="00BB555A">
            <w:pPr>
              <w:rPr>
                <w:rtl/>
              </w:rPr>
            </w:pPr>
            <w:r>
              <w:rPr>
                <w:rtl/>
              </w:rPr>
              <w:t>מזון ומים בנקודת המוצא והיעד</w:t>
            </w:r>
          </w:p>
        </w:tc>
        <w:tc>
          <w:tcPr>
            <w:tcW w:w="1247" w:type="dxa"/>
          </w:tcPr>
          <w:p w:rsidR="00BB555A" w:rsidRDefault="00BB555A">
            <w:r>
              <w:rPr>
                <w:rtl/>
              </w:rPr>
              <w:t xml:space="preserve">סעיף 8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Seif8</w:instrText>
            </w:r>
            <w:r>
              <w:rPr>
                <w:rtl/>
              </w:rPr>
              <w:instrText xml:space="preserve"> </w:instrText>
            </w:r>
            <w:r>
              <w:rPr>
                <w:rtl/>
              </w:rPr>
              <w:fldChar w:fldCharType="separate"/>
            </w:r>
            <w:r w:rsidR="00364FA2">
              <w:rPr>
                <w:noProof/>
                <w:rtl/>
              </w:rPr>
              <w:t>4</w:t>
            </w:r>
            <w:r>
              <w:rPr>
                <w:rtl/>
              </w:rPr>
              <w:fldChar w:fldCharType="end"/>
            </w:r>
          </w:p>
        </w:tc>
        <w:tc>
          <w:tcPr>
            <w:tcW w:w="567" w:type="dxa"/>
          </w:tcPr>
          <w:p w:rsidR="00BB555A" w:rsidRDefault="00BB555A">
            <w:hyperlink w:anchor="Seif8" w:tooltip="איסוף בהמות הטענתן ופריקתן" w:history="1">
              <w:r>
                <w:rPr>
                  <w:rStyle w:val="Hyperlink"/>
                </w:rPr>
                <w:t>Go</w:t>
              </w:r>
            </w:hyperlink>
          </w:p>
        </w:tc>
        <w:tc>
          <w:tcPr>
            <w:tcW w:w="5669" w:type="dxa"/>
          </w:tcPr>
          <w:p w:rsidR="00BB555A" w:rsidRDefault="00BB555A">
            <w:pPr>
              <w:rPr>
                <w:rtl/>
              </w:rPr>
            </w:pPr>
            <w:r>
              <w:rPr>
                <w:rtl/>
              </w:rPr>
              <w:t>איסוף בהמות הטענתן ופריקתן</w:t>
            </w:r>
          </w:p>
        </w:tc>
        <w:tc>
          <w:tcPr>
            <w:tcW w:w="1247" w:type="dxa"/>
          </w:tcPr>
          <w:p w:rsidR="00BB555A" w:rsidRDefault="00BB555A">
            <w:r>
              <w:rPr>
                <w:rtl/>
              </w:rPr>
              <w:t xml:space="preserve">סעיף 9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Seif9</w:instrText>
            </w:r>
            <w:r>
              <w:rPr>
                <w:rtl/>
              </w:rPr>
              <w:instrText xml:space="preserve"> </w:instrText>
            </w:r>
            <w:r>
              <w:rPr>
                <w:rtl/>
              </w:rPr>
              <w:fldChar w:fldCharType="separate"/>
            </w:r>
            <w:r w:rsidR="00364FA2">
              <w:rPr>
                <w:noProof/>
                <w:rtl/>
              </w:rPr>
              <w:t>4</w:t>
            </w:r>
            <w:r>
              <w:rPr>
                <w:rtl/>
              </w:rPr>
              <w:fldChar w:fldCharType="end"/>
            </w:r>
          </w:p>
        </w:tc>
        <w:tc>
          <w:tcPr>
            <w:tcW w:w="567" w:type="dxa"/>
          </w:tcPr>
          <w:p w:rsidR="00BB555A" w:rsidRDefault="00BB555A">
            <w:hyperlink w:anchor="Seif9" w:tooltip="מעבר, כבש" w:history="1">
              <w:r>
                <w:rPr>
                  <w:rStyle w:val="Hyperlink"/>
                </w:rPr>
                <w:t>Go</w:t>
              </w:r>
            </w:hyperlink>
          </w:p>
        </w:tc>
        <w:tc>
          <w:tcPr>
            <w:tcW w:w="5669" w:type="dxa"/>
          </w:tcPr>
          <w:p w:rsidR="00BB555A" w:rsidRDefault="00BB555A">
            <w:pPr>
              <w:rPr>
                <w:rtl/>
              </w:rPr>
            </w:pPr>
            <w:r>
              <w:rPr>
                <w:rtl/>
              </w:rPr>
              <w:t>מעבר, כבש</w:t>
            </w:r>
          </w:p>
        </w:tc>
        <w:tc>
          <w:tcPr>
            <w:tcW w:w="1247" w:type="dxa"/>
          </w:tcPr>
          <w:p w:rsidR="00BB555A" w:rsidRDefault="00BB555A">
            <w:r>
              <w:rPr>
                <w:rtl/>
              </w:rPr>
              <w:t xml:space="preserve">סעיף 10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Seif10</w:instrText>
            </w:r>
            <w:r>
              <w:rPr>
                <w:rtl/>
              </w:rPr>
              <w:instrText xml:space="preserve"> </w:instrText>
            </w:r>
            <w:r>
              <w:rPr>
                <w:rtl/>
              </w:rPr>
              <w:fldChar w:fldCharType="separate"/>
            </w:r>
            <w:r w:rsidR="00364FA2">
              <w:rPr>
                <w:noProof/>
                <w:rtl/>
              </w:rPr>
              <w:t>4</w:t>
            </w:r>
            <w:r>
              <w:rPr>
                <w:rtl/>
              </w:rPr>
              <w:fldChar w:fldCharType="end"/>
            </w:r>
          </w:p>
        </w:tc>
        <w:tc>
          <w:tcPr>
            <w:tcW w:w="567" w:type="dxa"/>
          </w:tcPr>
          <w:p w:rsidR="00BB555A" w:rsidRDefault="00BB555A">
            <w:hyperlink w:anchor="Seif10" w:tooltip="תאי הובלה" w:history="1">
              <w:r>
                <w:rPr>
                  <w:rStyle w:val="Hyperlink"/>
                </w:rPr>
                <w:t>Go</w:t>
              </w:r>
            </w:hyperlink>
          </w:p>
        </w:tc>
        <w:tc>
          <w:tcPr>
            <w:tcW w:w="5669" w:type="dxa"/>
          </w:tcPr>
          <w:p w:rsidR="00BB555A" w:rsidRDefault="00BB555A">
            <w:pPr>
              <w:rPr>
                <w:rtl/>
              </w:rPr>
            </w:pPr>
            <w:r>
              <w:rPr>
                <w:rtl/>
              </w:rPr>
              <w:t>תאי הובלה</w:t>
            </w:r>
          </w:p>
        </w:tc>
        <w:tc>
          <w:tcPr>
            <w:tcW w:w="1247" w:type="dxa"/>
          </w:tcPr>
          <w:p w:rsidR="00BB555A" w:rsidRDefault="00BB555A">
            <w:r>
              <w:rPr>
                <w:rtl/>
              </w:rPr>
              <w:t xml:space="preserve">סעיף 11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Seif11</w:instrText>
            </w:r>
            <w:r>
              <w:rPr>
                <w:rtl/>
              </w:rPr>
              <w:instrText xml:space="preserve"> </w:instrText>
            </w:r>
            <w:r>
              <w:rPr>
                <w:rtl/>
              </w:rPr>
              <w:fldChar w:fldCharType="separate"/>
            </w:r>
            <w:r w:rsidR="00364FA2">
              <w:rPr>
                <w:noProof/>
                <w:rtl/>
              </w:rPr>
              <w:t>4</w:t>
            </w:r>
            <w:r>
              <w:rPr>
                <w:rtl/>
              </w:rPr>
              <w:fldChar w:fldCharType="end"/>
            </w:r>
          </w:p>
        </w:tc>
        <w:tc>
          <w:tcPr>
            <w:tcW w:w="567" w:type="dxa"/>
          </w:tcPr>
          <w:p w:rsidR="00BB555A" w:rsidRDefault="00BB555A">
            <w:hyperlink w:anchor="Seif11" w:tooltip="מרחב בהובלה" w:history="1">
              <w:r>
                <w:rPr>
                  <w:rStyle w:val="Hyperlink"/>
                </w:rPr>
                <w:t>Go</w:t>
              </w:r>
            </w:hyperlink>
          </w:p>
        </w:tc>
        <w:tc>
          <w:tcPr>
            <w:tcW w:w="5669" w:type="dxa"/>
          </w:tcPr>
          <w:p w:rsidR="00BB555A" w:rsidRDefault="00BB555A">
            <w:pPr>
              <w:rPr>
                <w:rtl/>
              </w:rPr>
            </w:pPr>
            <w:r>
              <w:rPr>
                <w:rtl/>
              </w:rPr>
              <w:t>מרחב בהובלה</w:t>
            </w:r>
          </w:p>
        </w:tc>
        <w:tc>
          <w:tcPr>
            <w:tcW w:w="1247" w:type="dxa"/>
          </w:tcPr>
          <w:p w:rsidR="00BB555A" w:rsidRDefault="00BB555A">
            <w:r>
              <w:rPr>
                <w:rtl/>
              </w:rPr>
              <w:t xml:space="preserve">סעיף 12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Seif12</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2" w:tooltip="הפרדה בין בהמות" w:history="1">
              <w:r>
                <w:rPr>
                  <w:rStyle w:val="Hyperlink"/>
                </w:rPr>
                <w:t>Go</w:t>
              </w:r>
            </w:hyperlink>
          </w:p>
        </w:tc>
        <w:tc>
          <w:tcPr>
            <w:tcW w:w="5669" w:type="dxa"/>
          </w:tcPr>
          <w:p w:rsidR="00BB555A" w:rsidRDefault="00BB555A">
            <w:pPr>
              <w:rPr>
                <w:rtl/>
              </w:rPr>
            </w:pPr>
            <w:r>
              <w:rPr>
                <w:rtl/>
              </w:rPr>
              <w:t>הפרדה בין בהמות</w:t>
            </w:r>
          </w:p>
        </w:tc>
        <w:tc>
          <w:tcPr>
            <w:tcW w:w="1247" w:type="dxa"/>
          </w:tcPr>
          <w:p w:rsidR="00BB555A" w:rsidRDefault="00BB555A">
            <w:r>
              <w:rPr>
                <w:rtl/>
              </w:rPr>
              <w:t xml:space="preserve">סעיף 13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Seif13</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3" w:tooltip="תנאים סביבתיים" w:history="1">
              <w:r>
                <w:rPr>
                  <w:rStyle w:val="Hyperlink"/>
                </w:rPr>
                <w:t>Go</w:t>
              </w:r>
            </w:hyperlink>
          </w:p>
        </w:tc>
        <w:tc>
          <w:tcPr>
            <w:tcW w:w="5669" w:type="dxa"/>
          </w:tcPr>
          <w:p w:rsidR="00BB555A" w:rsidRDefault="00BB555A">
            <w:pPr>
              <w:rPr>
                <w:rtl/>
              </w:rPr>
            </w:pPr>
            <w:r>
              <w:rPr>
                <w:rtl/>
              </w:rPr>
              <w:t>תנאים סביבתיים</w:t>
            </w:r>
          </w:p>
        </w:tc>
        <w:tc>
          <w:tcPr>
            <w:tcW w:w="1247" w:type="dxa"/>
          </w:tcPr>
          <w:p w:rsidR="00BB555A" w:rsidRDefault="00BB555A">
            <w:r>
              <w:rPr>
                <w:rtl/>
              </w:rPr>
              <w:t xml:space="preserve">סעיף 14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Seif14</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4" w:tooltip="אוורור" w:history="1">
              <w:r>
                <w:rPr>
                  <w:rStyle w:val="Hyperlink"/>
                </w:rPr>
                <w:t>Go</w:t>
              </w:r>
            </w:hyperlink>
          </w:p>
        </w:tc>
        <w:tc>
          <w:tcPr>
            <w:tcW w:w="5669" w:type="dxa"/>
          </w:tcPr>
          <w:p w:rsidR="00BB555A" w:rsidRDefault="00BB555A">
            <w:pPr>
              <w:rPr>
                <w:rtl/>
              </w:rPr>
            </w:pPr>
            <w:r>
              <w:rPr>
                <w:rtl/>
              </w:rPr>
              <w:t>אוורור</w:t>
            </w:r>
          </w:p>
        </w:tc>
        <w:tc>
          <w:tcPr>
            <w:tcW w:w="1247" w:type="dxa"/>
          </w:tcPr>
          <w:p w:rsidR="00BB555A" w:rsidRDefault="00BB555A">
            <w:r>
              <w:rPr>
                <w:rtl/>
              </w:rPr>
              <w:t xml:space="preserve">סעיף 15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Seif15</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5" w:tooltip="צידוק מיוחד" w:history="1">
              <w:r>
                <w:rPr>
                  <w:rStyle w:val="Hyperlink"/>
                </w:rPr>
                <w:t>Go</w:t>
              </w:r>
            </w:hyperlink>
          </w:p>
        </w:tc>
        <w:tc>
          <w:tcPr>
            <w:tcW w:w="5669" w:type="dxa"/>
          </w:tcPr>
          <w:p w:rsidR="00BB555A" w:rsidRDefault="00BB555A">
            <w:pPr>
              <w:rPr>
                <w:rtl/>
              </w:rPr>
            </w:pPr>
            <w:r>
              <w:rPr>
                <w:rtl/>
              </w:rPr>
              <w:t>צידוק מיוחד</w:t>
            </w:r>
          </w:p>
        </w:tc>
        <w:tc>
          <w:tcPr>
            <w:tcW w:w="1247" w:type="dxa"/>
          </w:tcPr>
          <w:p w:rsidR="00BB555A" w:rsidRDefault="00BB555A">
            <w:r>
              <w:rPr>
                <w:rtl/>
              </w:rPr>
              <w:t xml:space="preserve">סעיף 16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Seif16</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6" w:tooltip="פטור מתחולה" w:history="1">
              <w:r>
                <w:rPr>
                  <w:rStyle w:val="Hyperlink"/>
                </w:rPr>
                <w:t>Go</w:t>
              </w:r>
            </w:hyperlink>
          </w:p>
        </w:tc>
        <w:tc>
          <w:tcPr>
            <w:tcW w:w="5669" w:type="dxa"/>
          </w:tcPr>
          <w:p w:rsidR="00BB555A" w:rsidRDefault="00BB555A">
            <w:pPr>
              <w:rPr>
                <w:rtl/>
              </w:rPr>
            </w:pPr>
            <w:r>
              <w:rPr>
                <w:rtl/>
              </w:rPr>
              <w:t>פטור מתחולה</w:t>
            </w:r>
          </w:p>
        </w:tc>
        <w:tc>
          <w:tcPr>
            <w:tcW w:w="1247" w:type="dxa"/>
          </w:tcPr>
          <w:p w:rsidR="00BB555A" w:rsidRDefault="00BB555A">
            <w:r>
              <w:rPr>
                <w:rtl/>
              </w:rPr>
              <w:t xml:space="preserve">סעיף 17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Seif17</w:instrText>
            </w:r>
            <w:r>
              <w:rPr>
                <w:rtl/>
              </w:rPr>
              <w:instrText xml:space="preserve"> </w:instrText>
            </w:r>
            <w:r>
              <w:rPr>
                <w:rtl/>
              </w:rPr>
              <w:fldChar w:fldCharType="separate"/>
            </w:r>
            <w:r w:rsidR="00364FA2">
              <w:rPr>
                <w:noProof/>
                <w:rtl/>
              </w:rPr>
              <w:t>5</w:t>
            </w:r>
            <w:r>
              <w:rPr>
                <w:rtl/>
              </w:rPr>
              <w:fldChar w:fldCharType="end"/>
            </w:r>
          </w:p>
        </w:tc>
        <w:tc>
          <w:tcPr>
            <w:tcW w:w="567" w:type="dxa"/>
          </w:tcPr>
          <w:p w:rsidR="00BB555A" w:rsidRDefault="00BB555A">
            <w:hyperlink w:anchor="Seif17" w:tooltip="עונשין" w:history="1">
              <w:r>
                <w:rPr>
                  <w:rStyle w:val="Hyperlink"/>
                </w:rPr>
                <w:t>Go</w:t>
              </w:r>
            </w:hyperlink>
          </w:p>
        </w:tc>
        <w:tc>
          <w:tcPr>
            <w:tcW w:w="5669" w:type="dxa"/>
          </w:tcPr>
          <w:p w:rsidR="00BB555A" w:rsidRDefault="00BB555A">
            <w:pPr>
              <w:rPr>
                <w:rtl/>
              </w:rPr>
            </w:pPr>
            <w:r>
              <w:rPr>
                <w:rtl/>
              </w:rPr>
              <w:t>עונשין</w:t>
            </w:r>
          </w:p>
        </w:tc>
        <w:tc>
          <w:tcPr>
            <w:tcW w:w="1247" w:type="dxa"/>
          </w:tcPr>
          <w:p w:rsidR="00BB555A" w:rsidRDefault="00BB555A">
            <w:r>
              <w:rPr>
                <w:rtl/>
              </w:rPr>
              <w:t xml:space="preserve">סעיף 18 </w:t>
            </w:r>
          </w:p>
        </w:tc>
      </w:tr>
      <w:tr w:rsidR="00BB555A">
        <w:tblPrEx>
          <w:tblCellMar>
            <w:top w:w="0" w:type="dxa"/>
            <w:bottom w:w="0" w:type="dxa"/>
          </w:tblCellMar>
        </w:tblPrEx>
        <w:trPr>
          <w:jc w:val="right"/>
        </w:trPr>
        <w:tc>
          <w:tcPr>
            <w:tcW w:w="850" w:type="dxa"/>
          </w:tcPr>
          <w:p w:rsidR="00BB555A" w:rsidRDefault="00BB555A">
            <w:r>
              <w:rPr>
                <w:rtl/>
              </w:rPr>
              <w:fldChar w:fldCharType="begin"/>
            </w:r>
            <w:r>
              <w:rPr>
                <w:rtl/>
              </w:rPr>
              <w:instrText xml:space="preserve"> </w:instrText>
            </w:r>
            <w:r>
              <w:instrText>PAGEREF Seif18</w:instrText>
            </w:r>
            <w:r>
              <w:rPr>
                <w:rtl/>
              </w:rPr>
              <w:instrText xml:space="preserve"> </w:instrText>
            </w:r>
            <w:r>
              <w:rPr>
                <w:rtl/>
              </w:rPr>
              <w:fldChar w:fldCharType="separate"/>
            </w:r>
            <w:r w:rsidR="00364FA2">
              <w:rPr>
                <w:noProof/>
                <w:rtl/>
              </w:rPr>
              <w:t>6</w:t>
            </w:r>
            <w:r>
              <w:rPr>
                <w:rtl/>
              </w:rPr>
              <w:fldChar w:fldCharType="end"/>
            </w:r>
          </w:p>
        </w:tc>
        <w:tc>
          <w:tcPr>
            <w:tcW w:w="567" w:type="dxa"/>
          </w:tcPr>
          <w:p w:rsidR="00BB555A" w:rsidRDefault="00BB555A">
            <w:hyperlink w:anchor="Seif18" w:tooltip="תחילה" w:history="1">
              <w:r>
                <w:rPr>
                  <w:rStyle w:val="Hyperlink"/>
                </w:rPr>
                <w:t>Go</w:t>
              </w:r>
            </w:hyperlink>
          </w:p>
        </w:tc>
        <w:tc>
          <w:tcPr>
            <w:tcW w:w="5669" w:type="dxa"/>
          </w:tcPr>
          <w:p w:rsidR="00BB555A" w:rsidRDefault="00BB555A">
            <w:pPr>
              <w:rPr>
                <w:rtl/>
              </w:rPr>
            </w:pPr>
            <w:r>
              <w:rPr>
                <w:rtl/>
              </w:rPr>
              <w:t>תחילה</w:t>
            </w:r>
          </w:p>
        </w:tc>
        <w:tc>
          <w:tcPr>
            <w:tcW w:w="1247" w:type="dxa"/>
          </w:tcPr>
          <w:p w:rsidR="00BB555A" w:rsidRDefault="00BB555A">
            <w:r>
              <w:rPr>
                <w:rtl/>
              </w:rPr>
              <w:t xml:space="preserve">סעיף 19 </w:t>
            </w:r>
          </w:p>
        </w:tc>
      </w:tr>
    </w:tbl>
    <w:p w:rsidR="00BB555A" w:rsidRPr="00E62D76" w:rsidRDefault="00BB555A" w:rsidP="00E62D76">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צער בעלי חיים (הגנה על בעלי חיים) (הובלת בהמות), תשס"ו-2006</w:t>
      </w:r>
      <w:r>
        <w:rPr>
          <w:rStyle w:val="default"/>
          <w:sz w:val="22"/>
          <w:szCs w:val="22"/>
          <w:rtl/>
        </w:rPr>
        <w:footnoteReference w:customMarkFollows="1" w:id="1"/>
        <w:t>*</w:t>
      </w:r>
    </w:p>
    <w:p w:rsidR="00BB555A" w:rsidRDefault="00BB555A">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w:t>
      </w:r>
      <w:r>
        <w:rPr>
          <w:rStyle w:val="default"/>
          <w:rFonts w:cs="FrankRuehl" w:hint="cs"/>
          <w:rtl/>
        </w:rPr>
        <w:t>י</w:t>
      </w:r>
      <w:r>
        <w:rPr>
          <w:rStyle w:val="default"/>
          <w:rFonts w:cs="FrankRuehl"/>
          <w:rtl/>
        </w:rPr>
        <w:t xml:space="preserve"> לפי סעיף </w:t>
      </w:r>
      <w:r>
        <w:rPr>
          <w:rStyle w:val="default"/>
          <w:rFonts w:cs="FrankRuehl" w:hint="cs"/>
          <w:rtl/>
        </w:rPr>
        <w:t>19(2)</w:t>
      </w:r>
      <w:r>
        <w:rPr>
          <w:rStyle w:val="default"/>
          <w:rFonts w:cs="FrankRuehl"/>
          <w:rtl/>
        </w:rPr>
        <w:t xml:space="preserve"> לחוק </w:t>
      </w:r>
      <w:r>
        <w:rPr>
          <w:rStyle w:val="default"/>
          <w:rFonts w:cs="FrankRuehl" w:hint="cs"/>
          <w:rtl/>
        </w:rPr>
        <w:t>צער בעלי חיים (הגנה על בעלי חיים)</w:t>
      </w:r>
      <w:r>
        <w:rPr>
          <w:rStyle w:val="default"/>
          <w:rFonts w:cs="FrankRuehl"/>
          <w:rtl/>
        </w:rPr>
        <w:t>, התשנ"</w:t>
      </w:r>
      <w:r>
        <w:rPr>
          <w:rStyle w:val="default"/>
          <w:rFonts w:cs="FrankRuehl" w:hint="cs"/>
          <w:rtl/>
        </w:rPr>
        <w:t>ד-1994</w:t>
      </w:r>
      <w:r>
        <w:rPr>
          <w:rStyle w:val="default"/>
          <w:rFonts w:cs="FrankRuehl"/>
          <w:rtl/>
        </w:rPr>
        <w:t xml:space="preserve"> (להלן – החוק), </w:t>
      </w:r>
      <w:r>
        <w:rPr>
          <w:rStyle w:val="default"/>
          <w:rFonts w:cs="FrankRuehl" w:hint="cs"/>
          <w:rtl/>
        </w:rPr>
        <w:t>באישור ועדת החינוך והתרבות של הכנסת, אני מתקין תקנות אלה</w:t>
      </w:r>
      <w:r>
        <w:rPr>
          <w:rStyle w:val="default"/>
          <w:rFonts w:cs="FrankRuehl"/>
          <w:rtl/>
        </w:rPr>
        <w:t>:</w:t>
      </w:r>
    </w:p>
    <w:p w:rsidR="00BB555A" w:rsidRDefault="00BB555A">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4.35pt;margin-top:7.1pt;width:75.05pt;height:9.95pt;z-index:251648512" o:allowincell="f" filled="f" stroked="f" strokecolor="lime" strokeweight=".25pt">
            <v:textbox style="mso-next-textbox:#_x0000_s1026" inset="0,0,0,0">
              <w:txbxContent>
                <w:p w:rsidR="00BB555A" w:rsidRDefault="00BB555A">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מטרת תקנות אלה לצמצם את סבלן של בהמות בעת הובלתן, תוך התחשבות בצורכי החקלאות.</w:t>
      </w:r>
    </w:p>
    <w:p w:rsidR="00BB555A" w:rsidRDefault="00BB555A">
      <w:pPr>
        <w:pStyle w:val="P00"/>
        <w:spacing w:before="72"/>
        <w:ind w:left="0" w:right="1134"/>
        <w:rPr>
          <w:rStyle w:val="big-number"/>
          <w:rFonts w:cs="FrankRuehl" w:hint="cs"/>
          <w:sz w:val="26"/>
          <w:szCs w:val="26"/>
          <w:rtl/>
        </w:rPr>
      </w:pPr>
      <w:bookmarkStart w:id="1" w:name="Seif1"/>
      <w:bookmarkEnd w:id="1"/>
      <w:r>
        <w:rPr>
          <w:rFonts w:cs="Miriam"/>
          <w:lang w:val="he-IL"/>
        </w:rPr>
        <w:pict>
          <v:rect id="_x0000_s1170" style="position:absolute;left:0;text-align:left;margin-left:464.35pt;margin-top:7.1pt;width:75.05pt;height:15.45pt;z-index:251649536" o:allowincell="f" filled="f" stroked="f" strokecolor="lime" strokeweight=".25pt">
            <v:textbox style="mso-next-textbox:#_x0000_s1170" inset="0,0,0,0">
              <w:txbxContent>
                <w:p w:rsidR="00BB555A" w:rsidRDefault="00BB555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"בהמות" </w:t>
      </w:r>
      <w:r>
        <w:rPr>
          <w:rStyle w:val="big-number"/>
          <w:rFonts w:cs="FrankRuehl"/>
          <w:sz w:val="26"/>
          <w:szCs w:val="26"/>
          <w:rtl/>
        </w:rPr>
        <w:t>–</w:t>
      </w:r>
      <w:r>
        <w:rPr>
          <w:rStyle w:val="big-number"/>
          <w:rFonts w:cs="FrankRuehl" w:hint="cs"/>
          <w:sz w:val="26"/>
          <w:szCs w:val="26"/>
          <w:rtl/>
        </w:rPr>
        <w:t xml:space="preserve"> בקר, צאן, גמלים וחזירים;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"בעל הרכב" </w:t>
      </w:r>
      <w:r>
        <w:rPr>
          <w:rStyle w:val="big-number"/>
          <w:rFonts w:cs="FrankRuehl"/>
          <w:sz w:val="26"/>
          <w:szCs w:val="26"/>
          <w:rtl/>
        </w:rPr>
        <w:t>–</w:t>
      </w:r>
      <w:r>
        <w:rPr>
          <w:rStyle w:val="big-number"/>
          <w:rFonts w:cs="FrankRuehl" w:hint="cs"/>
          <w:sz w:val="26"/>
          <w:szCs w:val="26"/>
          <w:rtl/>
        </w:rPr>
        <w:t xml:space="preserve"> הבעל הרשום ברישיון הרכב, לענין רכב שיש עליו הסכם שכירות או הסכם של מקח-אגב-שכירות או הסכם מכר </w:t>
      </w:r>
      <w:r>
        <w:rPr>
          <w:rStyle w:val="big-number"/>
          <w:rFonts w:cs="FrankRuehl"/>
          <w:sz w:val="26"/>
          <w:szCs w:val="26"/>
          <w:rtl/>
        </w:rPr>
        <w:t>–</w:t>
      </w:r>
      <w:r>
        <w:rPr>
          <w:rStyle w:val="big-number"/>
          <w:rFonts w:cs="FrankRuehl" w:hint="cs"/>
          <w:sz w:val="26"/>
          <w:szCs w:val="26"/>
          <w:rtl/>
        </w:rPr>
        <w:t xml:space="preserve"> האדם המחזיק ברכב מכוח ההסכם;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"הובלה" </w:t>
      </w:r>
      <w:r>
        <w:rPr>
          <w:rStyle w:val="big-number"/>
          <w:rFonts w:cs="FrankRuehl"/>
          <w:sz w:val="26"/>
          <w:szCs w:val="26"/>
          <w:rtl/>
        </w:rPr>
        <w:t>–</w:t>
      </w:r>
      <w:r>
        <w:rPr>
          <w:rStyle w:val="big-number"/>
          <w:rFonts w:cs="FrankRuehl" w:hint="cs"/>
          <w:sz w:val="26"/>
          <w:szCs w:val="26"/>
          <w:rtl/>
        </w:rPr>
        <w:t xml:space="preserve"> העברת בהמה ממקום אחד למשנהו באמצעות כלי רכב לרבות טעינתה ופריקתה;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"היתר" </w:t>
      </w:r>
      <w:r>
        <w:rPr>
          <w:rStyle w:val="big-number"/>
          <w:rFonts w:cs="FrankRuehl"/>
          <w:sz w:val="26"/>
          <w:szCs w:val="26"/>
          <w:rtl/>
        </w:rPr>
        <w:t>–</w:t>
      </w:r>
      <w:r>
        <w:rPr>
          <w:rStyle w:val="big-number"/>
          <w:rFonts w:cs="FrankRuehl" w:hint="cs"/>
          <w:sz w:val="26"/>
          <w:szCs w:val="26"/>
          <w:rtl/>
        </w:rPr>
        <w:t xml:space="preserve"> היתר שניתן לפי תקנות מחלות בעלי חיים (הסדרת תנועת בעלי חיים בישראל), התשמ"ב-1982;</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"המנהל" </w:t>
      </w:r>
      <w:r>
        <w:rPr>
          <w:rStyle w:val="big-number"/>
          <w:rFonts w:cs="FrankRuehl"/>
          <w:sz w:val="26"/>
          <w:szCs w:val="26"/>
          <w:rtl/>
        </w:rPr>
        <w:t>–</w:t>
      </w:r>
      <w:r>
        <w:rPr>
          <w:rStyle w:val="big-number"/>
          <w:rFonts w:cs="FrankRuehl" w:hint="cs"/>
          <w:sz w:val="26"/>
          <w:szCs w:val="26"/>
          <w:rtl/>
        </w:rPr>
        <w:t xml:space="preserve"> מנהל השירותים הווטרינריים או מי שהוא הסמיך לענין תקנות אלה, כולן או מקצתן;</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"משגיח" </w:t>
      </w:r>
      <w:r>
        <w:rPr>
          <w:rStyle w:val="big-number"/>
          <w:rFonts w:cs="FrankRuehl"/>
          <w:sz w:val="26"/>
          <w:szCs w:val="26"/>
          <w:rtl/>
        </w:rPr>
        <w:t>–</w:t>
      </w:r>
      <w:r>
        <w:rPr>
          <w:rStyle w:val="big-number"/>
          <w:rFonts w:cs="FrankRuehl" w:hint="cs"/>
          <w:sz w:val="26"/>
          <w:szCs w:val="26"/>
          <w:rtl/>
        </w:rPr>
        <w:t xml:space="preserve"> אדם שעבר הכשרה כאמור בתקנה 3;</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"משך ההובלה" </w:t>
      </w:r>
      <w:r>
        <w:rPr>
          <w:rStyle w:val="big-number"/>
          <w:rFonts w:cs="FrankRuehl"/>
          <w:sz w:val="26"/>
          <w:szCs w:val="26"/>
          <w:rtl/>
        </w:rPr>
        <w:t>–</w:t>
      </w:r>
      <w:r>
        <w:rPr>
          <w:rStyle w:val="big-number"/>
          <w:rFonts w:cs="FrankRuehl" w:hint="cs"/>
          <w:sz w:val="26"/>
          <w:szCs w:val="26"/>
          <w:rtl/>
        </w:rPr>
        <w:t xml:space="preserve"> משך הזמן שמתחילת ההובלה עד סיום ההובלה;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"נקודת המוצא" </w:t>
      </w:r>
      <w:r>
        <w:rPr>
          <w:rStyle w:val="big-number"/>
          <w:rFonts w:cs="FrankRuehl"/>
          <w:sz w:val="26"/>
          <w:szCs w:val="26"/>
          <w:rtl/>
        </w:rPr>
        <w:t>–</w:t>
      </w:r>
      <w:r>
        <w:rPr>
          <w:rStyle w:val="big-number"/>
          <w:rFonts w:cs="FrankRuehl" w:hint="cs"/>
          <w:sz w:val="26"/>
          <w:szCs w:val="26"/>
          <w:rtl/>
        </w:rPr>
        <w:t xml:space="preserve"> המקום שהוטענה בו הבהמה על כלי הרכב;</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"נקודת יעד" </w:t>
      </w:r>
      <w:r>
        <w:rPr>
          <w:rStyle w:val="big-number"/>
          <w:rFonts w:cs="FrankRuehl"/>
          <w:sz w:val="26"/>
          <w:szCs w:val="26"/>
          <w:rtl/>
        </w:rPr>
        <w:t>–</w:t>
      </w:r>
      <w:r>
        <w:rPr>
          <w:rStyle w:val="big-number"/>
          <w:rFonts w:cs="FrankRuehl" w:hint="cs"/>
          <w:sz w:val="26"/>
          <w:szCs w:val="26"/>
          <w:rtl/>
        </w:rPr>
        <w:t xml:space="preserve"> המקום שנפרקה בו הבהמה מכלי הרכב;</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"סיום ההובלה" </w:t>
      </w:r>
      <w:r>
        <w:rPr>
          <w:rStyle w:val="big-number"/>
          <w:rFonts w:cs="FrankRuehl"/>
          <w:sz w:val="26"/>
          <w:szCs w:val="26"/>
          <w:rtl/>
        </w:rPr>
        <w:t>–</w:t>
      </w:r>
      <w:r>
        <w:rPr>
          <w:rStyle w:val="big-number"/>
          <w:rFonts w:cs="FrankRuehl" w:hint="cs"/>
          <w:sz w:val="26"/>
          <w:szCs w:val="26"/>
          <w:rtl/>
        </w:rPr>
        <w:t xml:space="preserve"> רגע הפריקה של הבהמה האחרונה מכלי הרכב;</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"עיסוק" </w:t>
      </w:r>
      <w:r>
        <w:rPr>
          <w:rStyle w:val="big-number"/>
          <w:rFonts w:cs="FrankRuehl"/>
          <w:sz w:val="26"/>
          <w:szCs w:val="26"/>
          <w:rtl/>
        </w:rPr>
        <w:t>–</w:t>
      </w:r>
      <w:r>
        <w:rPr>
          <w:rStyle w:val="big-number"/>
          <w:rFonts w:cs="FrankRuehl" w:hint="cs"/>
          <w:sz w:val="26"/>
          <w:szCs w:val="26"/>
          <w:rtl/>
        </w:rPr>
        <w:t xml:space="preserve"> בתמורה או שלא בתמורה;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"תא הובלה" </w:t>
      </w:r>
      <w:r>
        <w:rPr>
          <w:rStyle w:val="big-number"/>
          <w:rFonts w:cs="FrankRuehl"/>
          <w:sz w:val="26"/>
          <w:szCs w:val="26"/>
          <w:rtl/>
        </w:rPr>
        <w:t>–</w:t>
      </w:r>
      <w:r>
        <w:rPr>
          <w:rStyle w:val="big-number"/>
          <w:rFonts w:cs="FrankRuehl" w:hint="cs"/>
          <w:sz w:val="26"/>
          <w:szCs w:val="26"/>
          <w:rtl/>
        </w:rPr>
        <w:t xml:space="preserve"> רכב או חלק ממנו שאיננו מחולק במחיצות פנימיות;</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"תחילת ההובלה" </w:t>
      </w:r>
      <w:r>
        <w:rPr>
          <w:rStyle w:val="big-number"/>
          <w:rFonts w:cs="FrankRuehl"/>
          <w:sz w:val="26"/>
          <w:szCs w:val="26"/>
          <w:rtl/>
        </w:rPr>
        <w:t>–</w:t>
      </w:r>
      <w:r>
        <w:rPr>
          <w:rStyle w:val="big-number"/>
          <w:rFonts w:cs="FrankRuehl" w:hint="cs"/>
          <w:sz w:val="26"/>
          <w:szCs w:val="26"/>
          <w:rtl/>
        </w:rPr>
        <w:t xml:space="preserve"> רגע התפיסה של הבהמה הראשונה לצורך הטענתה כל כלי הרכב שישמש להובלתה.</w:t>
      </w:r>
    </w:p>
    <w:p w:rsidR="00BB555A" w:rsidRDefault="00BB555A">
      <w:pPr>
        <w:pStyle w:val="P00"/>
        <w:spacing w:before="72"/>
        <w:ind w:left="0" w:right="1134"/>
        <w:rPr>
          <w:rStyle w:val="big-number"/>
          <w:rFonts w:cs="FrankRuehl" w:hint="cs"/>
          <w:sz w:val="26"/>
          <w:szCs w:val="26"/>
          <w:rtl/>
        </w:rPr>
      </w:pPr>
      <w:bookmarkStart w:id="2" w:name="Seif2"/>
      <w:bookmarkEnd w:id="2"/>
      <w:r>
        <w:rPr>
          <w:rFonts w:cs="Miriam"/>
          <w:lang w:val="he-IL"/>
        </w:rPr>
        <w:pict>
          <v:rect id="_x0000_s1171" style="position:absolute;left:0;text-align:left;margin-left:464.35pt;margin-top:7.1pt;width:75.05pt;height:9.95pt;z-index:251650560" o:allowincell="f" filled="f" stroked="f" strokecolor="lime" strokeweight=".25pt">
            <v:textbox style="mso-next-textbox:#_x0000_s1171" inset="0,0,0,0">
              <w:txbxContent>
                <w:p w:rsidR="00BB555A" w:rsidRDefault="00BB555A">
                  <w:pPr>
                    <w:spacing w:line="160" w:lineRule="exact"/>
                    <w:rPr>
                      <w:rFonts w:cs="Miriam" w:hint="cs"/>
                      <w:noProof/>
                      <w:sz w:val="18"/>
                      <w:szCs w:val="18"/>
                      <w:rtl/>
                    </w:rPr>
                  </w:pPr>
                  <w:r>
                    <w:rPr>
                      <w:rFonts w:cs="Miriam" w:hint="cs"/>
                      <w:sz w:val="18"/>
                      <w:szCs w:val="18"/>
                      <w:rtl/>
                    </w:rPr>
                    <w:t>הכשרת משגיחים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תכנית להכשרת משגיחים תכלול למידה של:</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תקנות אלה;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טכניקות הובלה וצורכי רווחה של בהמות;</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שיטות למזעור סבלן של בהמות בהובלה.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תכנית ההכשרה תוגש לאישור המנהל; ראה המנהל כי התכנית תואמת את מטרות החוק יאשרה, ורשאי הוא לאשרה בתנאים.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סיים אדם הכשרה תינתן לו תעודת משגיח.</w:t>
      </w:r>
    </w:p>
    <w:p w:rsidR="00BB555A" w:rsidRDefault="00BB555A">
      <w:pPr>
        <w:pStyle w:val="P00"/>
        <w:spacing w:before="72"/>
        <w:ind w:left="0" w:right="1134"/>
        <w:rPr>
          <w:rStyle w:val="big-number"/>
          <w:rFonts w:cs="FrankRuehl" w:hint="cs"/>
          <w:sz w:val="26"/>
          <w:szCs w:val="26"/>
          <w:rtl/>
        </w:rPr>
      </w:pPr>
      <w:bookmarkStart w:id="3" w:name="Seif3"/>
      <w:bookmarkEnd w:id="3"/>
      <w:r>
        <w:rPr>
          <w:rFonts w:cs="Miriam"/>
          <w:lang w:val="he-IL"/>
        </w:rPr>
        <w:pict>
          <v:rect id="_x0000_s1172" style="position:absolute;left:0;text-align:left;margin-left:464.35pt;margin-top:7.1pt;width:75.05pt;height:9.95pt;z-index:251651584" o:allowincell="f" filled="f" stroked="f" strokecolor="lime" strokeweight=".25pt">
            <v:textbox style="mso-next-textbox:#_x0000_s1172" inset="0,0,0,0">
              <w:txbxContent>
                <w:p w:rsidR="00BB555A" w:rsidRDefault="00BB555A">
                  <w:pPr>
                    <w:spacing w:line="160" w:lineRule="exact"/>
                    <w:rPr>
                      <w:rFonts w:cs="Miriam" w:hint="cs"/>
                      <w:noProof/>
                      <w:sz w:val="18"/>
                      <w:szCs w:val="18"/>
                      <w:rtl/>
                    </w:rPr>
                  </w:pPr>
                  <w:r>
                    <w:rPr>
                      <w:rFonts w:cs="Miriam" w:hint="cs"/>
                      <w:sz w:val="18"/>
                      <w:szCs w:val="18"/>
                      <w:rtl/>
                    </w:rPr>
                    <w:t>חובת השגחה ופיקוח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יוביל אדם בהמות, אלא אם כן הוא משגיח או שבמשך ההובלה כולה נוכח משגיח.</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המשגיח חייב בהשגחה על הבהמות ברציפות או בפרקי זמן קצובים לפי נסיבות ההובלה ורגישותן של הבהמות המובלות וכן חייב הוא לעשות כל שניתן למניעת הפרה של תקנות אלה; נעברה עבירה לפי תקנה 18 רואים את המשגיח כמי שהפר את חובתו כאמור זולת אם הוכיח שנהג בלא מחשבה פלילית ובלא רשלנות ועשה כל שניתן כדי למנוע את העבירה.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 xml:space="preserve">בעת ההובלה יהיו בידי המשגיח הוראות ואמצעים להזעקת עזרה, לרבות עזרה </w:t>
      </w:r>
      <w:r>
        <w:rPr>
          <w:rStyle w:val="big-number"/>
          <w:rFonts w:cs="FrankRuehl" w:hint="cs"/>
          <w:sz w:val="26"/>
          <w:szCs w:val="26"/>
          <w:rtl/>
        </w:rPr>
        <w:lastRenderedPageBreak/>
        <w:t>וטרינרית במקרה חירום.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נפגעה בהמה במשך ההובלה, ידאג המשגיח למתן עזרה ראשונה במהירות האפשרית, ובמידת הצורך לטיפול על ידי רופא וטרינר או להמתת חסד.</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ראה משגיח במשך הובלת בהמות כי הופרה הוראה מהוראות תקנות אלה, יודיע על כך לאלתר לממונה, בכתב.</w:t>
      </w:r>
    </w:p>
    <w:p w:rsidR="00BB555A" w:rsidRDefault="00BB555A">
      <w:pPr>
        <w:pStyle w:val="P00"/>
        <w:spacing w:before="72"/>
        <w:ind w:left="0" w:right="1134"/>
        <w:rPr>
          <w:rStyle w:val="big-number"/>
          <w:rFonts w:cs="FrankRuehl" w:hint="cs"/>
          <w:sz w:val="26"/>
          <w:szCs w:val="26"/>
          <w:rtl/>
        </w:rPr>
      </w:pPr>
      <w:bookmarkStart w:id="4" w:name="Seif4"/>
      <w:bookmarkEnd w:id="4"/>
      <w:r>
        <w:rPr>
          <w:rFonts w:cs="Miriam"/>
          <w:lang w:val="he-IL"/>
        </w:rPr>
        <w:pict>
          <v:rect id="_x0000_s1173" style="position:absolute;left:0;text-align:left;margin-left:464.35pt;margin-top:7.1pt;width:75.05pt;height:9.95pt;z-index:251652608" o:allowincell="f" filled="f" stroked="f" strokecolor="lime" strokeweight=".25pt">
            <v:textbox style="mso-next-textbox:#_x0000_s1173" inset="0,0,0,0">
              <w:txbxContent>
                <w:p w:rsidR="00BB555A" w:rsidRDefault="00BB555A">
                  <w:pPr>
                    <w:spacing w:line="160" w:lineRule="exact"/>
                    <w:rPr>
                      <w:rFonts w:cs="Miriam" w:hint="cs"/>
                      <w:noProof/>
                      <w:sz w:val="18"/>
                      <w:szCs w:val="18"/>
                      <w:rtl/>
                    </w:rPr>
                  </w:pPr>
                  <w:r>
                    <w:rPr>
                      <w:rFonts w:cs="Miriam" w:hint="cs"/>
                      <w:sz w:val="18"/>
                      <w:szCs w:val="18"/>
                      <w:rtl/>
                    </w:rPr>
                    <w:t>היתר הובלה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לפני תחילת כל הובלה ימלא המשגיח, במקום שיועד לכך בהיתר, את הפרטים הרשומים בתוספת הראשונה.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ההיתר יהיה ברשות הנהג בעת ההובלה, ועותק אחד שלו יימסר למי שמוסמך לדרוש אותו לפי כל דין, אם דרש.</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בתום ההובלה יוסיף המשגיח במקום שיועד לכך בהיתר את מקום ומועד סיום ההובלה ואירועים מיוחדים אם התרחשו, ויחתים עליו את מי שקיבל את הבהמות לשליטתו.</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בסיום ההובלה ישלח המשגיח עותק אחד של ההיתר ללשכה הווטרינרית המחוזית שבתחומה נמצאת נקודת היעד; היתר שהתקבל בלשכה וטרינרית יישמר לתקופה שלא תפחת מ-5 שנים.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עותק אחד לפחות של ההיתר יישמר בידי המשגיח לתקופה שלא תפחת משנה.</w:t>
      </w:r>
    </w:p>
    <w:p w:rsidR="00BB555A" w:rsidRDefault="00BB555A">
      <w:pPr>
        <w:pStyle w:val="P00"/>
        <w:spacing w:before="72"/>
        <w:ind w:left="0" w:right="1134"/>
        <w:rPr>
          <w:rStyle w:val="big-number"/>
          <w:rFonts w:cs="FrankRuehl" w:hint="cs"/>
          <w:sz w:val="26"/>
          <w:szCs w:val="26"/>
          <w:rtl/>
        </w:rPr>
      </w:pPr>
      <w:bookmarkStart w:id="5" w:name="Seif5"/>
      <w:bookmarkEnd w:id="5"/>
      <w:r>
        <w:rPr>
          <w:rFonts w:cs="Miriam"/>
          <w:lang w:val="he-IL"/>
        </w:rPr>
        <w:pict>
          <v:rect id="_x0000_s1174" style="position:absolute;left:0;text-align:left;margin-left:464.35pt;margin-top:7.1pt;width:75.05pt;height:9.95pt;z-index:251653632" o:allowincell="f" filled="f" stroked="f" strokecolor="lime" strokeweight=".25pt">
            <v:textbox style="mso-next-textbox:#_x0000_s1174" inset="0,0,0,0">
              <w:txbxContent>
                <w:p w:rsidR="00BB555A" w:rsidRDefault="00BB555A">
                  <w:pPr>
                    <w:spacing w:line="160" w:lineRule="exact"/>
                    <w:rPr>
                      <w:rFonts w:cs="Miriam" w:hint="cs"/>
                      <w:noProof/>
                      <w:sz w:val="18"/>
                      <w:szCs w:val="18"/>
                      <w:rtl/>
                    </w:rPr>
                  </w:pPr>
                  <w:r>
                    <w:rPr>
                      <w:rFonts w:cs="Miriam" w:hint="cs"/>
                      <w:sz w:val="18"/>
                      <w:szCs w:val="18"/>
                      <w:rtl/>
                    </w:rPr>
                    <w:t>הובלה אסורה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לא יטעין אדם בהמה בכלי רכב לצורך הובלתה </w:t>
      </w:r>
      <w:r>
        <w:rPr>
          <w:rStyle w:val="big-number"/>
          <w:rFonts w:cs="FrankRuehl"/>
          <w:sz w:val="26"/>
          <w:szCs w:val="26"/>
          <w:rtl/>
        </w:rPr>
        <w:t>–</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אם היא חולה או פצועה, למעט </w:t>
      </w:r>
      <w:r>
        <w:rPr>
          <w:rStyle w:val="big-number"/>
          <w:rFonts w:cs="FrankRuehl"/>
          <w:sz w:val="26"/>
          <w:szCs w:val="26"/>
          <w:rtl/>
        </w:rPr>
        <w:t>–</w:t>
      </w:r>
      <w:r>
        <w:rPr>
          <w:rStyle w:val="big-number"/>
          <w:rFonts w:cs="FrankRuehl" w:hint="cs"/>
          <w:sz w:val="26"/>
          <w:szCs w:val="26"/>
          <w:rtl/>
        </w:rPr>
        <w:t xml:space="preserve"> לצורך טיפול רפואי, ולמעט אם פציעתה או מחלקתה קלה ואינה משפיעה על רווחתה בעת ההובלה;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אם היא המליטה במהלך 48 השעות שלפני ההובלה, למעט לצורך טיפול רפואי;</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אם קיימת אפשרות ממשית שהובלתה תגרום לה, עקב מצבה, לעקה חמורה.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על אף האמור בתקנת משנה (א) </w:t>
      </w:r>
      <w:r>
        <w:rPr>
          <w:rStyle w:val="big-number"/>
          <w:rFonts w:cs="FrankRuehl"/>
          <w:sz w:val="26"/>
          <w:szCs w:val="26"/>
          <w:rtl/>
        </w:rPr>
        <w:t>–</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להטעין בהמה לשחיטה דחופה כמשמעותה בתקנה 78 לתקנות מחלות בעלי חיים (שחיטת בהמות), התשכ"ד-1964, ובלבד שהיא מסוגלת לעמוד בכוחות עצמה ובתעודה שנתן רופא וטרינר בהתאם לתקנה האמורה קבע הרופא הווטרינר תנאי הובלה הולמים למצבה ואת משך הזמן המרבי להובלתה;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רשאי המנהל, מטעמים מיוחדים שיירשמו, להתיר הובלה אם ראה שהנסיבות מחייבות זאת.</w:t>
      </w:r>
    </w:p>
    <w:p w:rsidR="00BB555A" w:rsidRDefault="00BB555A">
      <w:pPr>
        <w:pStyle w:val="P00"/>
        <w:spacing w:before="72"/>
        <w:ind w:left="0" w:right="1134"/>
        <w:rPr>
          <w:rStyle w:val="big-number"/>
          <w:rFonts w:cs="FrankRuehl" w:hint="cs"/>
          <w:sz w:val="26"/>
          <w:szCs w:val="26"/>
          <w:rtl/>
        </w:rPr>
      </w:pPr>
      <w:bookmarkStart w:id="6" w:name="Seif6"/>
      <w:bookmarkEnd w:id="6"/>
      <w:r>
        <w:rPr>
          <w:rFonts w:cs="Miriam"/>
          <w:lang w:val="he-IL"/>
        </w:rPr>
        <w:pict>
          <v:rect id="_x0000_s1175" style="position:absolute;left:0;text-align:left;margin-left:464.35pt;margin-top:7.1pt;width:75.05pt;height:9.95pt;z-index:251654656" o:allowincell="f" filled="f" stroked="f" strokecolor="lime" strokeweight=".25pt">
            <v:textbox style="mso-next-textbox:#_x0000_s1175" inset="0,0,0,0">
              <w:txbxContent>
                <w:p w:rsidR="00BB555A" w:rsidRDefault="00BB555A">
                  <w:pPr>
                    <w:spacing w:line="160" w:lineRule="exact"/>
                    <w:rPr>
                      <w:rFonts w:cs="Miriam" w:hint="cs"/>
                      <w:noProof/>
                      <w:sz w:val="18"/>
                      <w:szCs w:val="18"/>
                      <w:rtl/>
                    </w:rPr>
                  </w:pPr>
                  <w:r>
                    <w:rPr>
                      <w:rFonts w:cs="Miriam" w:hint="cs"/>
                      <w:sz w:val="18"/>
                      <w:szCs w:val="18"/>
                      <w:rtl/>
                    </w:rPr>
                    <w:t>זמני ההובלה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לא יוביל אדם בהמה אם משך ההובלה עולה על </w:t>
      </w:r>
      <w:r>
        <w:rPr>
          <w:rStyle w:val="big-number"/>
          <w:rFonts w:cs="FrankRuehl"/>
          <w:sz w:val="26"/>
          <w:szCs w:val="26"/>
          <w:rtl/>
        </w:rPr>
        <w:t>–</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שש שעות לצאן, בקר וגמלים;</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ארבע שעות לחזירים.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מוביל בהמה יובילה בלא הפסקות ובאופן רצוף בנסיבות הענין.</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המנהל רשאי, מטעמים מיוחדים שיירשמו, לאשר משך הובלה ארוך מזה הנקוב בתקנה משנה (א), אם ראה שהנסיבות מצדיקות זאת.</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על אף האמור בתקנות משנה (א) ו-(ב) מותרים עיכובים הנחוצים לרווחת הבהמות המובלות, או הנחוצים לשם בדיקות וטרינריות, בדיקות מכס, בדיקות ביטחוניות ובדיקות מטעם גורמי פיקוח וטרינריים, ובלבד שעיכובים אלה לא יימשכו מעבר לזמן הקצר ביותר המספיק למטרת העיכוב; גורמי עיכוב כאמור יובאו בחשבון לפני תחילת ההובלה ויינקטו כל האמצעים למניעתם, לצמצומם או להכוונה מראש של הבהמות לנקודת יעד חלופית.</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עוכבה הובלת בהמות, ינקוט המשגיח את כל האמצעים הנחוצים לטיפול בהן ובמידת הצורך לפריקתן או להעברתן לתנאי החזקה מתאימים.</w:t>
      </w:r>
    </w:p>
    <w:p w:rsidR="00BB555A" w:rsidRDefault="00BB555A">
      <w:pPr>
        <w:pStyle w:val="P00"/>
        <w:spacing w:before="72"/>
        <w:ind w:left="0" w:right="1134"/>
        <w:rPr>
          <w:rStyle w:val="big-number"/>
          <w:rFonts w:cs="FrankRuehl" w:hint="cs"/>
          <w:sz w:val="26"/>
          <w:szCs w:val="26"/>
          <w:rtl/>
        </w:rPr>
      </w:pPr>
      <w:bookmarkStart w:id="7" w:name="Seif7"/>
      <w:bookmarkEnd w:id="7"/>
      <w:r>
        <w:rPr>
          <w:rFonts w:cs="Miriam"/>
          <w:lang w:val="he-IL"/>
        </w:rPr>
        <w:pict>
          <v:rect id="_x0000_s1176" style="position:absolute;left:0;text-align:left;margin-left:464.35pt;margin-top:7.1pt;width:75.05pt;height:19.8pt;z-index:251655680" o:allowincell="f" filled="f" stroked="f" strokecolor="lime" strokeweight=".25pt">
            <v:textbox style="mso-next-textbox:#_x0000_s1176" inset="0,0,0,0">
              <w:txbxContent>
                <w:p w:rsidR="00BB555A" w:rsidRDefault="00BB555A">
                  <w:pPr>
                    <w:spacing w:line="160" w:lineRule="exact"/>
                    <w:rPr>
                      <w:rFonts w:cs="Miriam" w:hint="cs"/>
                      <w:noProof/>
                      <w:sz w:val="18"/>
                      <w:szCs w:val="18"/>
                      <w:rtl/>
                    </w:rPr>
                  </w:pPr>
                  <w:r>
                    <w:rPr>
                      <w:rFonts w:cs="Miriam" w:hint="cs"/>
                      <w:sz w:val="18"/>
                      <w:szCs w:val="18"/>
                      <w:rtl/>
                    </w:rPr>
                    <w:t>מזון ומים בנקודת המוצא והיעד</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אדם שבהמה נמצאות בשליטתו בנקודת המוצא ייתן לה גישה מלאה למזון ולמים, עד לטעינתה על כלי רכב, ואולם לחזיר המובל לשחיטה אין לתת מזון לאחר השעה השמינית שלפני טעינתו.</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אדם שבהמה נמצאת בשליטתו מעת פריקתה מכלי רכב, ייתן לה גישה למים מיד עם פריקתה.</w:t>
      </w:r>
    </w:p>
    <w:p w:rsidR="00BB555A" w:rsidRDefault="00BB555A">
      <w:pPr>
        <w:pStyle w:val="P00"/>
        <w:spacing w:before="72"/>
        <w:ind w:left="0" w:right="1134"/>
        <w:rPr>
          <w:rStyle w:val="big-number"/>
          <w:rFonts w:cs="FrankRuehl" w:hint="cs"/>
          <w:sz w:val="26"/>
          <w:szCs w:val="26"/>
          <w:rtl/>
        </w:rPr>
      </w:pPr>
      <w:bookmarkStart w:id="8" w:name="Seif8"/>
      <w:bookmarkEnd w:id="8"/>
      <w:r>
        <w:rPr>
          <w:rFonts w:cs="Miriam"/>
          <w:lang w:val="he-IL"/>
        </w:rPr>
        <w:pict>
          <v:rect id="_x0000_s1177" style="position:absolute;left:0;text-align:left;margin-left:464.35pt;margin-top:7.1pt;width:75.05pt;height:22.35pt;z-index:251656704" o:allowincell="f" filled="f" stroked="f" strokecolor="lime" strokeweight=".25pt">
            <v:textbox style="mso-next-textbox:#_x0000_s1177" inset="0,0,0,0">
              <w:txbxContent>
                <w:p w:rsidR="00BB555A" w:rsidRDefault="00BB555A">
                  <w:pPr>
                    <w:spacing w:line="160" w:lineRule="exact"/>
                    <w:rPr>
                      <w:rFonts w:cs="Miriam" w:hint="cs"/>
                      <w:noProof/>
                      <w:sz w:val="18"/>
                      <w:szCs w:val="18"/>
                      <w:rtl/>
                    </w:rPr>
                  </w:pPr>
                  <w:r>
                    <w:rPr>
                      <w:rFonts w:cs="Miriam" w:hint="cs"/>
                      <w:sz w:val="18"/>
                      <w:szCs w:val="18"/>
                      <w:rtl/>
                    </w:rPr>
                    <w:t>איסוף בהמות הטענתן ופריקתן</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בעת איסוף בהמות, הטענתן ופריקתן </w:t>
      </w:r>
      <w:r>
        <w:rPr>
          <w:rStyle w:val="big-number"/>
          <w:rFonts w:cs="FrankRuehl"/>
          <w:sz w:val="26"/>
          <w:szCs w:val="26"/>
          <w:rtl/>
        </w:rPr>
        <w:t>–</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לא יטעין אדם צאן בכלי רכב, אלא אם כן תא ההובלה שבו נטען הצאן, מואר;</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לא ישליך אדם בהמה;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לא יכה אדם בהמה במקל או במכשיר אחר לרבות במאיץ חשמלי, ואולם לא יישא אדם באחריות פלילית על שימוש סביר בכוח אם היא בוגרת, והשימוש בכוח היה נחוץ באופן סביר בנסיבות הענין והוא לא פגע בראשה;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לא ירים אדם בהמה על ידי תפיסה בראשה, בקרניה, בזנבה או בפרוותה;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לא ידחוף אדם בהמה ולא יגרור אותה באמצעים מכניים;</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לא יתלה אדם בהמה באוויר.</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הוראות תקנת משנה (א)(5) ו-(6) לא יחולו לענין הטענה או פריקה של בהמה באמצעים מכניים המתאימים לסוגה ובלבד שניתן לכך מראש ובכתב אישור של רופא וטרינר, שפורטו בו האמצעים המכניים, הנסיבות והנימוקים לאישור השימוש בהם.</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בלי לגרוע מהוראות תקנת משנה (א), לא יעשה אדם התופס בהמה לשם הובלתה, מטעין אותה בכלי רכב, או פורק אותה ממנו, דבר שיש אפשרות ממשית שיגרום לה עקה חמורה.</w:t>
      </w:r>
    </w:p>
    <w:p w:rsidR="00BB555A" w:rsidRDefault="00BB555A">
      <w:pPr>
        <w:pStyle w:val="P00"/>
        <w:spacing w:before="72"/>
        <w:ind w:left="0" w:right="1134"/>
        <w:rPr>
          <w:rStyle w:val="big-number"/>
          <w:rFonts w:cs="FrankRuehl" w:hint="cs"/>
          <w:sz w:val="26"/>
          <w:szCs w:val="26"/>
          <w:rtl/>
        </w:rPr>
      </w:pPr>
      <w:bookmarkStart w:id="9" w:name="Seif9"/>
      <w:bookmarkEnd w:id="9"/>
      <w:r>
        <w:rPr>
          <w:rFonts w:cs="Miriam"/>
          <w:lang w:val="he-IL"/>
        </w:rPr>
        <w:pict>
          <v:rect id="_x0000_s1178" style="position:absolute;left:0;text-align:left;margin-left:464.35pt;margin-top:7.1pt;width:75.05pt;height:20.65pt;z-index:251657728" o:allowincell="f" filled="f" stroked="f" strokecolor="lime" strokeweight=".25pt">
            <v:textbox style="mso-next-textbox:#_x0000_s1178" inset="0,0,0,0">
              <w:txbxContent>
                <w:p w:rsidR="00BB555A" w:rsidRDefault="00BB555A">
                  <w:pPr>
                    <w:spacing w:line="160" w:lineRule="exact"/>
                    <w:rPr>
                      <w:rFonts w:cs="Miriam" w:hint="cs"/>
                      <w:noProof/>
                      <w:sz w:val="18"/>
                      <w:szCs w:val="18"/>
                      <w:rtl/>
                    </w:rPr>
                  </w:pPr>
                  <w:r>
                    <w:rPr>
                      <w:rFonts w:cs="Miriam" w:hint="cs"/>
                      <w:sz w:val="18"/>
                      <w:szCs w:val="18"/>
                      <w:rtl/>
                    </w:rPr>
                    <w:t>מעבר, כבש (רמפה) ומשטח הטענה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מי שבהמה נמצאת בשליטתו לצורך איסופה, טעינתה בכלי ההובלה או פריקתה ממנו, לא יאסוף, יעמיס או יפרוק כאמור, ולא ירשה לאחר לעשות כן, אלא אם כן התקיימו תנאים אלה:</w:t>
      </w:r>
    </w:p>
    <w:p w:rsidR="00BB555A" w:rsidRDefault="00BB555A" w:rsidP="00364FA2">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המעבר, הכבש ומשטח ההעמסה המיועד למעבר בהמות לצורך איסופן, העמסתן ופריקתן בנוי או מרופד באופן שמונע החל</w:t>
      </w:r>
      <w:r w:rsidR="00364FA2">
        <w:rPr>
          <w:rStyle w:val="big-number"/>
          <w:rFonts w:cs="FrankRuehl" w:hint="cs"/>
          <w:sz w:val="26"/>
          <w:szCs w:val="26"/>
          <w:rtl/>
        </w:rPr>
        <w:t>ק</w:t>
      </w:r>
      <w:r>
        <w:rPr>
          <w:rStyle w:val="big-number"/>
          <w:rFonts w:cs="FrankRuehl" w:hint="cs"/>
          <w:sz w:val="26"/>
          <w:szCs w:val="26"/>
          <w:rtl/>
        </w:rPr>
        <w:t>ה של הבהמות, נפילתן או פגיעה אחרת בהן, וכן באופן שמאפשר ניקויו וחיטויו;</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היה הכבש משופע, אין השיפוע עולה על 30 מעלות ועל גבי הכבש מותקנים פסי רוחב שגובהם שני סנטימטרים והמרחק ביניהם 20 סנטימטרים;</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המעבר, הכבש ומשטח ההעמסה מצוידים בדפנות המונעות נפילת בהמות מהם ואשר חוסמות את שדה הראיה של בהמות לצדדים;</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המעבר, הכבש ומשטח ההעמסה עשויים באופן שאינו מאפשר לבהמות לראות דרכם;</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לעוסקים בהטענה יש גישה נוחה לכל קטע של המעבר, הכבש ומשטח ההטענה המיועד למעבר הבהמות.</w:t>
      </w:r>
    </w:p>
    <w:p w:rsidR="00BB555A" w:rsidRDefault="00BB555A">
      <w:pPr>
        <w:pStyle w:val="P00"/>
        <w:spacing w:before="72"/>
        <w:ind w:left="0" w:right="1134"/>
        <w:rPr>
          <w:rStyle w:val="big-number"/>
          <w:rFonts w:cs="FrankRuehl" w:hint="cs"/>
          <w:sz w:val="26"/>
          <w:szCs w:val="26"/>
          <w:rtl/>
        </w:rPr>
      </w:pPr>
      <w:bookmarkStart w:id="10" w:name="Seif10"/>
      <w:bookmarkEnd w:id="10"/>
      <w:r>
        <w:rPr>
          <w:rFonts w:cs="Miriam"/>
          <w:lang w:val="he-IL"/>
        </w:rPr>
        <w:pict>
          <v:rect id="_x0000_s1179" style="position:absolute;left:0;text-align:left;margin-left:464.35pt;margin-top:7.1pt;width:75.05pt;height:9.95pt;z-index:251658752" o:allowincell="f" filled="f" stroked="f" strokecolor="lime" strokeweight=".25pt">
            <v:textbox style="mso-next-textbox:#_x0000_s1179" inset="0,0,0,0">
              <w:txbxContent>
                <w:p w:rsidR="00BB555A" w:rsidRDefault="00BB555A">
                  <w:pPr>
                    <w:spacing w:line="160" w:lineRule="exact"/>
                    <w:rPr>
                      <w:rFonts w:cs="Miriam" w:hint="cs"/>
                      <w:noProof/>
                      <w:sz w:val="18"/>
                      <w:szCs w:val="18"/>
                      <w:rtl/>
                    </w:rPr>
                  </w:pPr>
                  <w:r>
                    <w:rPr>
                      <w:rFonts w:cs="Miriam" w:hint="cs"/>
                      <w:sz w:val="18"/>
                      <w:szCs w:val="18"/>
                      <w:rtl/>
                    </w:rPr>
                    <w:t>תאי הובלה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בעל רכב, לא יוביל בהמה ולא ירשה לאחר לעשות כן אלא אם כן התקיימו בתאי ההובלה תנאים אלה:</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דפנות התאים חזקות דיין לשאת את משקל הבהמות ולעמוד בתנאי ההובלה;</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אין בתאים בליטות או חריצים העלולים לפגוע בבהמות או שהבהמות עלולות להילכד בהם;</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רצפת התאים אינה משופעת והיא עשויה מחומר המונע החלקה;</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פתח תא ההובלה יהיה בנוי באופן שמאפשר הכנסת בהמות, הוצאתן וסגירת התא בלא חשש לפגיעה בבהמות;</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מבנה הרכב והתאים מאפשר פיקוח מבחוץ על מצב הבהמות שבתוכם;</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תאי ההובלה יהיו נקיים לפני תחילת כל הובלה, ינוקו לאחר סיומה ויחוטאו בחומר שאושר לכך לפי תקנות מחלות בעלי חיים (תכשירים כימיים), התשמ"ב-1982.</w:t>
      </w:r>
    </w:p>
    <w:p w:rsidR="00BB555A" w:rsidRDefault="00BB555A">
      <w:pPr>
        <w:pStyle w:val="P00"/>
        <w:spacing w:before="72"/>
        <w:ind w:left="0" w:right="1134"/>
        <w:rPr>
          <w:rStyle w:val="big-number"/>
          <w:rFonts w:cs="FrankRuehl" w:hint="cs"/>
          <w:sz w:val="26"/>
          <w:szCs w:val="26"/>
          <w:rtl/>
        </w:rPr>
      </w:pPr>
      <w:bookmarkStart w:id="11" w:name="Seif11"/>
      <w:bookmarkEnd w:id="11"/>
      <w:r>
        <w:rPr>
          <w:rFonts w:cs="Miriam"/>
          <w:lang w:val="he-IL"/>
        </w:rPr>
        <w:pict>
          <v:rect id="_x0000_s1180" style="position:absolute;left:0;text-align:left;margin-left:464.35pt;margin-top:7.1pt;width:75.05pt;height:9.95pt;z-index:251659776" o:allowincell="f" filled="f" stroked="f" strokecolor="lime" strokeweight=".25pt">
            <v:textbox style="mso-next-textbox:#_x0000_s1180" inset="0,0,0,0">
              <w:txbxContent>
                <w:p w:rsidR="00BB555A" w:rsidRDefault="00BB555A">
                  <w:pPr>
                    <w:spacing w:line="160" w:lineRule="exact"/>
                    <w:rPr>
                      <w:rFonts w:cs="Miriam" w:hint="cs"/>
                      <w:noProof/>
                      <w:sz w:val="18"/>
                      <w:szCs w:val="18"/>
                      <w:rtl/>
                    </w:rPr>
                  </w:pPr>
                  <w:r>
                    <w:rPr>
                      <w:rFonts w:cs="Miriam" w:hint="cs"/>
                      <w:sz w:val="18"/>
                      <w:szCs w:val="18"/>
                      <w:rtl/>
                    </w:rPr>
                    <w:t>מרחב בהובלה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בעל הרכב או מי שהבהמות נמצאות בשליטתו בנקודת המוצא לא יוביל בהמות ולא ירשה לאחר לעשות כן אלא בהתקיים תנאים אלה:</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צפיפות הבהמות בתא ההובלה לא תעלה על הקבוע בתוספת השניה לגבי אותו סוג של בהמות;</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בתא אחד לא יובלו יותר משלושים כבשים או יותר מעשרים חזירים.</w:t>
      </w:r>
    </w:p>
    <w:p w:rsidR="00BB555A" w:rsidRDefault="00BB555A">
      <w:pPr>
        <w:pStyle w:val="P00"/>
        <w:spacing w:before="72"/>
        <w:ind w:left="0" w:right="1134"/>
        <w:rPr>
          <w:rStyle w:val="big-number"/>
          <w:rFonts w:cs="FrankRuehl" w:hint="cs"/>
          <w:sz w:val="26"/>
          <w:szCs w:val="26"/>
          <w:rtl/>
        </w:rPr>
      </w:pPr>
      <w:bookmarkStart w:id="12" w:name="Seif12"/>
      <w:bookmarkEnd w:id="12"/>
      <w:r>
        <w:rPr>
          <w:rFonts w:cs="Miriam"/>
          <w:lang w:val="he-IL"/>
        </w:rPr>
        <w:pict>
          <v:rect id="_x0000_s1181" style="position:absolute;left:0;text-align:left;margin-left:464.35pt;margin-top:7.1pt;width:75.05pt;height:9.95pt;z-index:251660800" o:allowincell="f" filled="f" stroked="f" strokecolor="lime" strokeweight=".25pt">
            <v:textbox style="mso-next-textbox:#_x0000_s1181" inset="0,0,0,0">
              <w:txbxContent>
                <w:p w:rsidR="00BB555A" w:rsidRDefault="00BB555A">
                  <w:pPr>
                    <w:spacing w:line="160" w:lineRule="exact"/>
                    <w:rPr>
                      <w:rFonts w:cs="Miriam" w:hint="cs"/>
                      <w:noProof/>
                      <w:sz w:val="18"/>
                      <w:szCs w:val="18"/>
                      <w:rtl/>
                    </w:rPr>
                  </w:pPr>
                  <w:r>
                    <w:rPr>
                      <w:rFonts w:cs="Miriam" w:hint="cs"/>
                      <w:sz w:val="18"/>
                      <w:szCs w:val="18"/>
                      <w:rtl/>
                    </w:rPr>
                    <w:t>הפרדה בין בהמות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מי שהבהמות נמצאות בשליטתו בנקודת המוצא לא יאפשר הובלה בתא אחד של:</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בהמות העלולות לפגוע זו בזו;</w:t>
      </w:r>
    </w:p>
    <w:p w:rsidR="00BB555A" w:rsidRDefault="00BB555A">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בהמות ממינים ביולוגיים שונים או בגדלים שונים באופן משמעותי; ואולם הוראה זו לא תחול על הובלת עזים וכבשים שמקורם באותו עדר;</w:t>
      </w:r>
    </w:p>
    <w:p w:rsidR="00BB555A" w:rsidRDefault="00BB555A">
      <w:pPr>
        <w:pStyle w:val="P00"/>
        <w:spacing w:before="72"/>
        <w:ind w:left="624" w:right="1134"/>
        <w:rPr>
          <w:rStyle w:val="big-number"/>
          <w:rFonts w:cs="FrankRuehl"/>
          <w:sz w:val="26"/>
          <w:szCs w:val="26"/>
          <w:rtl/>
        </w:rPr>
      </w:pPr>
      <w:r>
        <w:rPr>
          <w:rStyle w:val="big-number"/>
          <w:rFonts w:cs="FrankRuehl" w:hint="cs"/>
          <w:sz w:val="26"/>
          <w:szCs w:val="26"/>
          <w:rtl/>
        </w:rPr>
        <w:t>(3)</w:t>
      </w:r>
      <w:r>
        <w:rPr>
          <w:rStyle w:val="big-number"/>
          <w:rFonts w:cs="FrankRuehl" w:hint="cs"/>
          <w:sz w:val="26"/>
          <w:szCs w:val="26"/>
          <w:rtl/>
        </w:rPr>
        <w:tab/>
        <w:t>פרטים שעוינים זה את זה על בסיס פרטני או מתוך טבעם הביולוגי.</w:t>
      </w:r>
    </w:p>
    <w:p w:rsidR="00BB555A" w:rsidRDefault="00BB555A">
      <w:pPr>
        <w:pStyle w:val="P00"/>
        <w:spacing w:before="72"/>
        <w:ind w:left="0" w:right="1134"/>
        <w:rPr>
          <w:rStyle w:val="big-number"/>
          <w:rFonts w:cs="FrankRuehl" w:hint="cs"/>
          <w:sz w:val="26"/>
          <w:szCs w:val="26"/>
          <w:rtl/>
        </w:rPr>
      </w:pPr>
      <w:bookmarkStart w:id="13" w:name="Seif13"/>
      <w:bookmarkEnd w:id="13"/>
      <w:r>
        <w:rPr>
          <w:rFonts w:cs="Miriam"/>
          <w:lang w:val="he-IL"/>
        </w:rPr>
        <w:pict>
          <v:rect id="_x0000_s1182" style="position:absolute;left:0;text-align:left;margin-left:464.35pt;margin-top:7.1pt;width:75.05pt;height:9.95pt;z-index:251661824" o:allowincell="f" filled="f" stroked="f" strokecolor="lime" strokeweight=".25pt">
            <v:textbox style="mso-next-textbox:#_x0000_s1182" inset="0,0,0,0">
              <w:txbxContent>
                <w:p w:rsidR="00BB555A" w:rsidRDefault="00BB555A">
                  <w:pPr>
                    <w:spacing w:line="160" w:lineRule="exact"/>
                    <w:rPr>
                      <w:rFonts w:cs="Miriam" w:hint="cs"/>
                      <w:noProof/>
                      <w:sz w:val="18"/>
                      <w:szCs w:val="18"/>
                      <w:rtl/>
                    </w:rPr>
                  </w:pPr>
                  <w:r>
                    <w:rPr>
                      <w:rFonts w:cs="Miriam" w:hint="cs"/>
                      <w:sz w:val="18"/>
                      <w:szCs w:val="18"/>
                      <w:rtl/>
                    </w:rPr>
                    <w:t>תנאים סביבתיים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בעל רכב ומי שנוהג ברכב לא יוביל בו בהמות אם מטען הרכב כולל חומרים מסוכנים כהגדרתם בחוק החומרים המסוכנים, התשנ"ג-1993.</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הנהג ימנע, ככל האפשר, את חשיפתן של בהמות בזמן ההובלה לטלטולים, לחבטות, לזעזועים ותאוצה וכן יימנע, ככל האפשר, מהאצות חדות ומעצירות פתע, יאט במיוחד בסיבובים ויימנע, עד כמה שאפשר, מתנועה בדרכים משובשות.</w:t>
      </w:r>
    </w:p>
    <w:p w:rsidR="00BB555A" w:rsidRDefault="00BB555A">
      <w:pPr>
        <w:pStyle w:val="P00"/>
        <w:spacing w:before="72"/>
        <w:ind w:left="0" w:right="1134"/>
        <w:rPr>
          <w:rStyle w:val="big-number"/>
          <w:rFonts w:cs="FrankRuehl" w:hint="cs"/>
          <w:sz w:val="26"/>
          <w:szCs w:val="26"/>
          <w:rtl/>
        </w:rPr>
      </w:pPr>
      <w:bookmarkStart w:id="14" w:name="Seif14"/>
      <w:bookmarkEnd w:id="14"/>
      <w:r>
        <w:rPr>
          <w:rFonts w:cs="Miriam"/>
          <w:lang w:val="he-IL"/>
        </w:rPr>
        <w:pict>
          <v:rect id="_x0000_s1183" style="position:absolute;left:0;text-align:left;margin-left:464.35pt;margin-top:7.1pt;width:75.05pt;height:9.95pt;z-index:251662848" o:allowincell="f" filled="f" stroked="f" strokecolor="lime" strokeweight=".25pt">
            <v:textbox style="mso-next-textbox:#_x0000_s1183" inset="0,0,0,0">
              <w:txbxContent>
                <w:p w:rsidR="00BB555A" w:rsidRDefault="00BB555A">
                  <w:pPr>
                    <w:spacing w:line="160" w:lineRule="exact"/>
                    <w:rPr>
                      <w:rFonts w:cs="Miriam" w:hint="cs"/>
                      <w:noProof/>
                      <w:sz w:val="18"/>
                      <w:szCs w:val="18"/>
                      <w:rtl/>
                    </w:rPr>
                  </w:pPr>
                  <w:r>
                    <w:rPr>
                      <w:rFonts w:cs="Miriam" w:hint="cs"/>
                      <w:sz w:val="18"/>
                      <w:szCs w:val="18"/>
                      <w:rtl/>
                    </w:rPr>
                    <w:t>אוורור</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בעל רכב ומי שנוהג ברכב לא יוביל בהמות ברכב אלא אם כן התקיים אחד מאלה: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בדפנות הרכב פתחים המאפשרים תנועת אוויר חופשית לבהמות המובלות בו (בתקנות אלה </w:t>
      </w:r>
      <w:r>
        <w:rPr>
          <w:rStyle w:val="big-number"/>
          <w:rFonts w:cs="FrankRuehl"/>
          <w:sz w:val="26"/>
          <w:szCs w:val="26"/>
          <w:rtl/>
        </w:rPr>
        <w:t>–</w:t>
      </w:r>
      <w:r>
        <w:rPr>
          <w:rStyle w:val="big-number"/>
          <w:rFonts w:cs="FrankRuehl" w:hint="cs"/>
          <w:sz w:val="26"/>
          <w:szCs w:val="26"/>
          <w:rtl/>
        </w:rPr>
        <w:t xml:space="preserve"> רכב פתוח);</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ברכב מותקנת ופועלת מערכת אוורור או צינון מכנית שאישר המנהל לאחר התייעצות עם מומחים, נציגי גורמים חקלאיים ונציגי ארגונים למען בעלי חיים (בתקנות אלה </w:t>
      </w:r>
      <w:r>
        <w:rPr>
          <w:rStyle w:val="big-number"/>
          <w:rFonts w:cs="FrankRuehl"/>
          <w:sz w:val="26"/>
          <w:szCs w:val="26"/>
          <w:rtl/>
        </w:rPr>
        <w:t>–</w:t>
      </w:r>
      <w:r>
        <w:rPr>
          <w:rStyle w:val="big-number"/>
          <w:rFonts w:cs="FrankRuehl" w:hint="cs"/>
          <w:sz w:val="26"/>
          <w:szCs w:val="26"/>
          <w:rtl/>
        </w:rPr>
        <w:t xml:space="preserve"> רכב מאוורר).</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בעל רכב ומי שנוהג ברכב לא יוביל בהמות ברכב פתוח אלא אם כן התקיימו כל אלה: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שטח כלי הרכב המשמש להובלת הבהמות מקורה או מכוסה ברשת צל;</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משך ההובלה לא יעלה על שלוש שעות אם </w:t>
      </w:r>
      <w:r>
        <w:rPr>
          <w:rStyle w:val="big-number"/>
          <w:rFonts w:cs="FrankRuehl"/>
          <w:sz w:val="26"/>
          <w:szCs w:val="26"/>
          <w:rtl/>
        </w:rPr>
        <w:t>–</w:t>
      </w:r>
    </w:p>
    <w:p w:rsidR="00BB555A" w:rsidRDefault="00BB555A">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הטמפרטורה צפויה לעלות על 32 מעלות צלזיוס;</w:t>
      </w:r>
    </w:p>
    <w:p w:rsidR="00BB555A" w:rsidRDefault="00BB555A">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ההובלה מתבצעת בין השעות 10:00 ל-17:00 בתקופה שבין 1 במאי ו-1 בנובמבר של כל שנה.</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בעל הרכב ומי שנוהג בו לא יוביל בהמות ברכב מאוורר אלא אם כן התקיימו שני אלה: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פעולת מערכת האוורור איננה תלויה בפעילות מנוע הרכב;</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ברכב קיימים פתחים מספיקים לאוורור טבעי במקרה של כשל במערכת האוורור.</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נוצר עומס חום עקב כשל של מערכת האוורור ברכב מאוורר יפתח מי שנוהג בו את הפתחים, וידאג שהרכב יהא בתנועה רצופה במשך ההובלה, ככל האפשר; היה הכרח לעצור את הרכב, יעצור אותו במקום מוצל, ויבטיח קירור המטען בכל אמצעי סביר, לרבות התזת מים או פריקת הבהמות ביעד חלופי, לפי הצורך.</w:t>
      </w:r>
    </w:p>
    <w:p w:rsidR="00BB555A" w:rsidRDefault="00BB555A">
      <w:pPr>
        <w:pStyle w:val="P00"/>
        <w:spacing w:before="72"/>
        <w:ind w:left="0" w:right="1134"/>
        <w:rPr>
          <w:rStyle w:val="big-number"/>
          <w:rFonts w:cs="FrankRuehl" w:hint="cs"/>
          <w:sz w:val="26"/>
          <w:szCs w:val="26"/>
          <w:rtl/>
        </w:rPr>
      </w:pPr>
      <w:bookmarkStart w:id="15" w:name="Seif15"/>
      <w:bookmarkEnd w:id="15"/>
      <w:r>
        <w:rPr>
          <w:rFonts w:cs="Miriam"/>
          <w:lang w:val="he-IL"/>
        </w:rPr>
        <w:pict>
          <v:rect id="_x0000_s1184" style="position:absolute;left:0;text-align:left;margin-left:464.35pt;margin-top:7.1pt;width:75.05pt;height:9.95pt;z-index:251663872" o:allowincell="f" filled="f" stroked="f" strokecolor="lime" strokeweight=".25pt">
            <v:textbox style="mso-next-textbox:#_x0000_s1184" inset="0,0,0,0">
              <w:txbxContent>
                <w:p w:rsidR="00BB555A" w:rsidRDefault="00BB555A">
                  <w:pPr>
                    <w:spacing w:line="160" w:lineRule="exact"/>
                    <w:rPr>
                      <w:rFonts w:cs="Miriam" w:hint="cs"/>
                      <w:noProof/>
                      <w:sz w:val="18"/>
                      <w:szCs w:val="18"/>
                      <w:rtl/>
                    </w:rPr>
                  </w:pPr>
                  <w:r>
                    <w:rPr>
                      <w:rFonts w:cs="Miriam" w:hint="cs"/>
                      <w:sz w:val="18"/>
                      <w:szCs w:val="18"/>
                      <w:rtl/>
                    </w:rPr>
                    <w:t>צידוק מיוחד</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יישא אדם באחריות על הפרת הוראה מהוראות תקנות אלה, אם הדבר היה נחוץ באופן מיידי להגנת בהמות והפגיעה הצפויה בהם כתוצאה מההפרה היתה קטנה מזו שהייתה צפויה אלמלא ההפרה.</w:t>
      </w:r>
    </w:p>
    <w:p w:rsidR="00BB555A" w:rsidRDefault="00BB555A">
      <w:pPr>
        <w:pStyle w:val="P00"/>
        <w:spacing w:before="72"/>
        <w:ind w:left="0" w:right="1134"/>
        <w:rPr>
          <w:rStyle w:val="big-number"/>
          <w:rFonts w:cs="FrankRuehl" w:hint="cs"/>
          <w:sz w:val="26"/>
          <w:szCs w:val="26"/>
          <w:rtl/>
        </w:rPr>
      </w:pPr>
      <w:bookmarkStart w:id="16" w:name="Seif16"/>
      <w:bookmarkEnd w:id="16"/>
      <w:r>
        <w:rPr>
          <w:rFonts w:cs="Miriam"/>
          <w:lang w:val="he-IL"/>
        </w:rPr>
        <w:pict>
          <v:rect id="_x0000_s1185" style="position:absolute;left:0;text-align:left;margin-left:464.35pt;margin-top:7.1pt;width:75.05pt;height:9.95pt;z-index:251664896" o:allowincell="f" filled="f" stroked="f" strokecolor="lime" strokeweight=".25pt">
            <v:textbox style="mso-next-textbox:#_x0000_s1185" inset="0,0,0,0">
              <w:txbxContent>
                <w:p w:rsidR="00BB555A" w:rsidRDefault="00BB555A">
                  <w:pPr>
                    <w:spacing w:line="160" w:lineRule="exact"/>
                    <w:rPr>
                      <w:rFonts w:cs="Miriam" w:hint="cs"/>
                      <w:noProof/>
                      <w:sz w:val="18"/>
                      <w:szCs w:val="18"/>
                      <w:rtl/>
                    </w:rPr>
                  </w:pPr>
                  <w:r>
                    <w:rPr>
                      <w:rFonts w:cs="Miriam" w:hint="cs"/>
                      <w:sz w:val="18"/>
                      <w:szCs w:val="18"/>
                      <w:rtl/>
                    </w:rPr>
                    <w:t>פטור מתחולה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תקנות 4 ו-5 לא יחולו על הובלה של פחות מ-5 בהמות למרחק שאינו עולה על 30 ק"מ.</w:t>
      </w:r>
    </w:p>
    <w:p w:rsidR="00BB555A" w:rsidRDefault="00BB555A">
      <w:pPr>
        <w:pStyle w:val="P00"/>
        <w:spacing w:before="72"/>
        <w:ind w:left="0" w:right="1134"/>
        <w:rPr>
          <w:rStyle w:val="big-number"/>
          <w:rFonts w:cs="FrankRuehl" w:hint="cs"/>
          <w:sz w:val="26"/>
          <w:szCs w:val="26"/>
          <w:rtl/>
        </w:rPr>
      </w:pPr>
      <w:bookmarkStart w:id="17" w:name="Seif17"/>
      <w:bookmarkEnd w:id="17"/>
      <w:r>
        <w:rPr>
          <w:rFonts w:cs="Miriam"/>
          <w:lang w:val="he-IL"/>
        </w:rPr>
        <w:pict>
          <v:rect id="_x0000_s1186" style="position:absolute;left:0;text-align:left;margin-left:464.35pt;margin-top:7.1pt;width:75.05pt;height:9.95pt;z-index:251665920" o:allowincell="f" filled="f" stroked="f" strokecolor="lime" strokeweight=".25pt">
            <v:textbox style="mso-next-textbox:#_x0000_s1186" inset="0,0,0,0">
              <w:txbxContent>
                <w:p w:rsidR="00BB555A" w:rsidRDefault="00BB555A">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אלה דינם </w:t>
      </w:r>
      <w:r>
        <w:rPr>
          <w:rStyle w:val="big-number"/>
          <w:rFonts w:cs="FrankRuehl"/>
          <w:sz w:val="26"/>
          <w:szCs w:val="26"/>
          <w:rtl/>
        </w:rPr>
        <w:t>–</w:t>
      </w:r>
      <w:r>
        <w:rPr>
          <w:rStyle w:val="big-number"/>
          <w:rFonts w:cs="FrankRuehl" w:hint="cs"/>
          <w:sz w:val="26"/>
          <w:szCs w:val="26"/>
          <w:rtl/>
        </w:rPr>
        <w:t xml:space="preserve"> מאסר שישה חודשים:</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המוביל בהמות בלא משגיח בניגוד להוראות תקנה 4(א);</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משגיח שהפר את חובת הפיקוח המוטלת עליו כאמור בתקנה 4(ב);</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משגיח שהפר את חובתו לתת עזרה וטיפול לבהמה כאמור בתקנה 4(ד);</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המטעין בהמה בכלי רכב לצורך הובלתה בניגוד לתקנות 6 או 9;</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המוביל בהמה בניגוד לתקנה 7;</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מי שאינו מספק לבהמה שבשליטתו גישה למזון ולמים, בניגוד לתקנה 8;</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מי שבהמה נמצאת בשליטתו לצורך איסופה, העמסתה על רכב הובלה או פריקתה ממנו, והוא פועל בניגוד לתקנה 10;</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בעל רכב שמוביל בהמות, שפועל בניגוד לתקנה 11;</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(9)</w:t>
      </w:r>
      <w:r>
        <w:rPr>
          <w:rStyle w:val="big-number"/>
          <w:rFonts w:cs="FrankRuehl" w:hint="cs"/>
          <w:sz w:val="26"/>
          <w:szCs w:val="26"/>
          <w:rtl/>
        </w:rPr>
        <w:tab/>
        <w:t>בעל רכב או מי שהבהמה נמצאת בשליטתו בנקודת המוצא שפועל בניגוד לתקנה 12;</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(10)</w:t>
      </w:r>
      <w:r>
        <w:rPr>
          <w:rStyle w:val="big-number"/>
          <w:rFonts w:cs="FrankRuehl" w:hint="cs"/>
          <w:sz w:val="26"/>
          <w:szCs w:val="26"/>
          <w:rtl/>
        </w:rPr>
        <w:tab/>
        <w:t>מי שבהמות נמצאות בשליטתו בנקודת המוצא והוא מאפשר הובלתן בתא אחד בניגוד לתקנה 13;</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(11)</w:t>
      </w:r>
      <w:r>
        <w:rPr>
          <w:rStyle w:val="big-number"/>
          <w:rFonts w:cs="FrankRuehl" w:hint="cs"/>
          <w:sz w:val="26"/>
          <w:szCs w:val="26"/>
          <w:rtl/>
        </w:rPr>
        <w:tab/>
        <w:t>בעל רכב או נהג רכב, שמוביל בהמות ברכב בניגוד לתקנות 14(א) או 15;</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(12)</w:t>
      </w:r>
      <w:r>
        <w:rPr>
          <w:rStyle w:val="big-number"/>
          <w:rFonts w:cs="FrankRuehl" w:hint="cs"/>
          <w:sz w:val="26"/>
          <w:szCs w:val="26"/>
          <w:rtl/>
        </w:rPr>
        <w:tab/>
        <w:t>נהג רכב שמוביל בהמות בניגוד לתקנה 14(ב).</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אלה דינם </w:t>
      </w:r>
      <w:r>
        <w:rPr>
          <w:rStyle w:val="big-number"/>
          <w:rFonts w:cs="FrankRuehl"/>
          <w:sz w:val="26"/>
          <w:szCs w:val="26"/>
          <w:rtl/>
        </w:rPr>
        <w:t>–</w:t>
      </w:r>
      <w:r>
        <w:rPr>
          <w:rStyle w:val="big-number"/>
          <w:rFonts w:cs="FrankRuehl" w:hint="cs"/>
          <w:sz w:val="26"/>
          <w:szCs w:val="26"/>
          <w:rtl/>
        </w:rPr>
        <w:t xml:space="preserve"> קנס כאמור בסעיף 61(א)(1) לחוק העונשין:</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משגיח שאין בידיו בעת ההובלה ההוראות והאמצעים כאמור בתקנה 4(ג);</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משגיח שראה שבמשך הובלת בהמות הופרה הוראה מהוראות תקנות אלה, ולא הודיע על כך בהתאם לתקנה 4(ה);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משגיח שהפר הוראות הנוגעת להיתר, לפי תקנות 5(א), (ג), (ד) או (ה);</w:t>
      </w:r>
    </w:p>
    <w:p w:rsidR="00BB555A" w:rsidRDefault="00BB555A">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נהג שאין ברשותו היתר, בניגוד לתקנה 5(ב).</w:t>
      </w:r>
    </w:p>
    <w:p w:rsidR="00BB555A" w:rsidRDefault="00BB555A">
      <w:pPr>
        <w:pStyle w:val="P00"/>
        <w:spacing w:before="72"/>
        <w:ind w:left="0" w:right="1134"/>
        <w:rPr>
          <w:rStyle w:val="big-number"/>
          <w:rFonts w:cs="FrankRuehl" w:hint="cs"/>
          <w:sz w:val="26"/>
          <w:szCs w:val="26"/>
          <w:rtl/>
        </w:rPr>
      </w:pPr>
      <w:bookmarkStart w:id="18" w:name="Seif18"/>
      <w:bookmarkEnd w:id="18"/>
      <w:r>
        <w:rPr>
          <w:rFonts w:cs="Miriam"/>
          <w:lang w:val="he-IL"/>
        </w:rPr>
        <w:pict>
          <v:rect id="_x0000_s1187" style="position:absolute;left:0;text-align:left;margin-left:464.35pt;margin-top:7.1pt;width:75.05pt;height:9.95pt;z-index:251666944" o:allowincell="f" filled="f" stroked="f" strokecolor="lime" strokeweight=".25pt">
            <v:textbox style="mso-next-textbox:#_x0000_s1187" inset="0,0,0,0">
              <w:txbxContent>
                <w:p w:rsidR="00BB555A" w:rsidRDefault="00BB555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תחילתן של תקנות 1, 2, 6, 7, 8, 9, 11, 13, 14, 15(ב) ו-16 </w:t>
      </w:r>
      <w:r>
        <w:rPr>
          <w:rStyle w:val="big-number"/>
          <w:rFonts w:cs="FrankRuehl"/>
          <w:sz w:val="26"/>
          <w:szCs w:val="26"/>
          <w:rtl/>
        </w:rPr>
        <w:t>–</w:t>
      </w:r>
      <w:r>
        <w:rPr>
          <w:rStyle w:val="big-number"/>
          <w:rFonts w:cs="FrankRuehl" w:hint="cs"/>
          <w:sz w:val="26"/>
          <w:szCs w:val="26"/>
          <w:rtl/>
        </w:rPr>
        <w:t xml:space="preserve"> 6 חודשים מיום פרסומן.</w:t>
      </w:r>
    </w:p>
    <w:p w:rsidR="00BB555A" w:rsidRDefault="00BB555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תחילתן של תקנות 3, 4, 5, 10, 12, 15(א) ו-(ג) ו-17 </w:t>
      </w:r>
      <w:r>
        <w:rPr>
          <w:rStyle w:val="big-number"/>
          <w:rFonts w:cs="FrankRuehl"/>
          <w:sz w:val="26"/>
          <w:szCs w:val="26"/>
          <w:rtl/>
        </w:rPr>
        <w:t>–</w:t>
      </w:r>
      <w:r>
        <w:rPr>
          <w:rStyle w:val="big-number"/>
          <w:rFonts w:cs="FrankRuehl" w:hint="cs"/>
          <w:sz w:val="26"/>
          <w:szCs w:val="26"/>
          <w:rtl/>
        </w:rPr>
        <w:t xml:space="preserve"> שנתיים מיום פרסומן.</w:t>
      </w:r>
    </w:p>
    <w:p w:rsidR="00BB555A" w:rsidRDefault="00BB555A">
      <w:pPr>
        <w:pStyle w:val="P00"/>
        <w:spacing w:before="72"/>
        <w:ind w:left="0" w:right="1134"/>
        <w:rPr>
          <w:rStyle w:val="big-number"/>
          <w:rFonts w:cs="FrankRuehl" w:hint="cs"/>
          <w:sz w:val="26"/>
          <w:szCs w:val="26"/>
          <w:rtl/>
        </w:rPr>
      </w:pPr>
    </w:p>
    <w:p w:rsidR="00BB555A" w:rsidRDefault="00BB555A">
      <w:pPr>
        <w:pStyle w:val="P00"/>
        <w:spacing w:before="72"/>
        <w:ind w:left="0" w:right="1134"/>
        <w:jc w:val="center"/>
        <w:rPr>
          <w:rStyle w:val="big-number"/>
          <w:rFonts w:cs="FrankRuehl" w:hint="cs"/>
          <w:b/>
          <w:bCs/>
          <w:sz w:val="26"/>
          <w:szCs w:val="26"/>
          <w:rtl/>
        </w:rPr>
      </w:pPr>
      <w:r>
        <w:rPr>
          <w:rStyle w:val="big-number"/>
          <w:rFonts w:cs="FrankRuehl" w:hint="cs"/>
          <w:b/>
          <w:bCs/>
          <w:sz w:val="26"/>
          <w:szCs w:val="26"/>
          <w:rtl/>
        </w:rPr>
        <w:t>תוספת ראשונה</w:t>
      </w:r>
    </w:p>
    <w:p w:rsidR="00BB555A" w:rsidRDefault="00BB555A">
      <w:pPr>
        <w:pStyle w:val="P00"/>
        <w:spacing w:before="72"/>
        <w:ind w:left="0" w:right="1134"/>
        <w:jc w:val="center"/>
        <w:rPr>
          <w:rStyle w:val="big-number"/>
          <w:rFonts w:cs="FrankRuehl" w:hint="cs"/>
          <w:sz w:val="24"/>
          <w:szCs w:val="24"/>
          <w:rtl/>
        </w:rPr>
      </w:pPr>
      <w:r>
        <w:rPr>
          <w:rStyle w:val="big-number"/>
          <w:rFonts w:cs="FrankRuehl" w:hint="cs"/>
          <w:sz w:val="24"/>
          <w:szCs w:val="24"/>
          <w:rtl/>
        </w:rPr>
        <w:t>(תקנה 5(א))</w:t>
      </w:r>
    </w:p>
    <w:p w:rsidR="00BB555A" w:rsidRDefault="00BB555A">
      <w:pPr>
        <w:pStyle w:val="P00"/>
        <w:spacing w:before="72"/>
        <w:ind w:left="0" w:right="1134"/>
        <w:rPr>
          <w:rStyle w:val="default"/>
          <w:rFonts w:cs="FrankRuehl" w:hint="cs"/>
          <w:sz w:val="24"/>
          <w:szCs w:val="24"/>
          <w:rtl/>
        </w:rPr>
      </w:pPr>
      <w:hyperlink r:id="rId7" w:history="1">
        <w:r>
          <w:rPr>
            <w:rStyle w:val="Hyperlink"/>
            <w:rFonts w:cs="FrankRuehl" w:hint="cs"/>
            <w:sz w:val="24"/>
            <w:szCs w:val="24"/>
            <w:rtl/>
          </w:rPr>
          <w:t>טופס דיווח משגיח על הובלת בהמות</w:t>
        </w:r>
      </w:hyperlink>
    </w:p>
    <w:p w:rsidR="00BB555A" w:rsidRDefault="00BB555A">
      <w:pPr>
        <w:pStyle w:val="P00"/>
        <w:spacing w:before="72"/>
        <w:ind w:left="0" w:right="1134"/>
        <w:rPr>
          <w:rStyle w:val="default"/>
          <w:rFonts w:cs="FrankRuehl" w:hint="cs"/>
          <w:sz w:val="22"/>
          <w:szCs w:val="22"/>
          <w:rtl/>
        </w:rPr>
      </w:pPr>
    </w:p>
    <w:p w:rsidR="00BB555A" w:rsidRDefault="00BB555A">
      <w:pPr>
        <w:pStyle w:val="P00"/>
        <w:spacing w:before="72"/>
        <w:ind w:left="0" w:right="1134"/>
        <w:rPr>
          <w:rStyle w:val="default"/>
          <w:rFonts w:cs="FrankRuehl" w:hint="cs"/>
          <w:rtl/>
        </w:rPr>
      </w:pPr>
    </w:p>
    <w:p w:rsidR="00BB555A" w:rsidRDefault="00BB555A">
      <w:pPr>
        <w:pStyle w:val="P00"/>
        <w:spacing w:before="72"/>
        <w:ind w:left="0" w:right="1134"/>
        <w:jc w:val="center"/>
        <w:rPr>
          <w:rStyle w:val="default"/>
          <w:rFonts w:cs="FrankRuehl" w:hint="cs"/>
          <w:b/>
          <w:bCs/>
          <w:rtl/>
        </w:rPr>
      </w:pPr>
      <w:r>
        <w:rPr>
          <w:rStyle w:val="default"/>
          <w:rFonts w:cs="FrankRuehl" w:hint="cs"/>
          <w:b/>
          <w:bCs/>
          <w:rtl/>
        </w:rPr>
        <w:t>תוספת שניה</w:t>
      </w:r>
    </w:p>
    <w:p w:rsidR="00BB555A" w:rsidRDefault="00BB555A">
      <w:pPr>
        <w:pStyle w:val="P00"/>
        <w:spacing w:before="72"/>
        <w:ind w:left="0" w:right="1134"/>
        <w:jc w:val="center"/>
        <w:rPr>
          <w:rStyle w:val="default"/>
          <w:rFonts w:cs="FrankRuehl" w:hint="cs"/>
          <w:sz w:val="24"/>
          <w:szCs w:val="24"/>
          <w:rtl/>
        </w:rPr>
      </w:pPr>
      <w:r>
        <w:rPr>
          <w:rStyle w:val="default"/>
          <w:rFonts w:cs="FrankRuehl" w:hint="cs"/>
          <w:sz w:val="24"/>
          <w:szCs w:val="24"/>
          <w:rtl/>
        </w:rPr>
        <w:t>(תקנה 12(1))</w:t>
      </w:r>
    </w:p>
    <w:p w:rsidR="00BB555A" w:rsidRDefault="00BB555A">
      <w:pPr>
        <w:pStyle w:val="P00"/>
        <w:spacing w:before="72"/>
        <w:ind w:left="0" w:right="1134"/>
        <w:jc w:val="center"/>
        <w:rPr>
          <w:rStyle w:val="default"/>
          <w:rFonts w:cs="FrankRuehl" w:hint="cs"/>
          <w:b/>
          <w:bCs/>
          <w:sz w:val="22"/>
          <w:szCs w:val="22"/>
          <w:vertAlign w:val="superscript"/>
          <w:rtl/>
        </w:rPr>
      </w:pPr>
      <w:r>
        <w:rPr>
          <w:rStyle w:val="default"/>
          <w:rFonts w:cs="FrankRuehl" w:hint="cs"/>
          <w:b/>
          <w:bCs/>
          <w:sz w:val="22"/>
          <w:szCs w:val="22"/>
          <w:rtl/>
        </w:rPr>
        <w:t>צפיפות מרבית של בהמות בהובלה</w:t>
      </w:r>
      <w:r>
        <w:rPr>
          <w:rStyle w:val="default"/>
          <w:rFonts w:cs="FrankRuehl" w:hint="cs"/>
          <w:sz w:val="22"/>
          <w:szCs w:val="22"/>
          <w:rtl/>
        </w:rPr>
        <w:t>*</w:t>
      </w:r>
    </w:p>
    <w:p w:rsidR="00BB555A" w:rsidRDefault="00BB555A">
      <w:pPr>
        <w:pStyle w:val="P00"/>
        <w:spacing w:before="72"/>
        <w:ind w:left="0" w:right="1134"/>
        <w:rPr>
          <w:rStyle w:val="default"/>
          <w:rFonts w:cs="FrankRuehl" w:hint="cs"/>
          <w:b/>
          <w:bCs/>
          <w:sz w:val="22"/>
          <w:szCs w:val="22"/>
          <w:rtl/>
        </w:rPr>
      </w:pPr>
      <w:r>
        <w:rPr>
          <w:rStyle w:val="default"/>
          <w:rFonts w:cs="FrankRuehl" w:hint="cs"/>
          <w:b/>
          <w:bCs/>
          <w:sz w:val="22"/>
          <w:szCs w:val="22"/>
          <w:rtl/>
        </w:rPr>
        <w:t>בקר</w:t>
      </w:r>
    </w:p>
    <w:p w:rsidR="00BB555A" w:rsidRDefault="00BB555A">
      <w:pPr>
        <w:pStyle w:val="P00"/>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שטח במטר רבוע</w:t>
      </w:r>
      <w:r>
        <w:rPr>
          <w:rStyle w:val="default"/>
          <w:rFonts w:cs="FrankRuehl" w:hint="cs"/>
          <w:sz w:val="22"/>
          <w:szCs w:val="22"/>
          <w:rtl/>
        </w:rPr>
        <w:tab/>
        <w:t>מספר בעלי חיים</w:t>
      </w:r>
    </w:p>
    <w:p w:rsidR="00BB555A" w:rsidRDefault="00BB555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t>סוג</w:t>
      </w:r>
      <w:r>
        <w:rPr>
          <w:rStyle w:val="default"/>
          <w:rFonts w:cs="FrankRuehl" w:hint="cs"/>
          <w:sz w:val="22"/>
          <w:szCs w:val="22"/>
          <w:rtl/>
        </w:rPr>
        <w:tab/>
        <w:t>משקל ממוצע בקילוגרם</w:t>
      </w:r>
      <w:r>
        <w:rPr>
          <w:rStyle w:val="default"/>
          <w:rFonts w:cs="FrankRuehl" w:hint="cs"/>
          <w:sz w:val="22"/>
          <w:szCs w:val="22"/>
          <w:rtl/>
        </w:rPr>
        <w:tab/>
        <w:t>לבעל חיים</w:t>
      </w:r>
      <w:r>
        <w:rPr>
          <w:rStyle w:val="default"/>
          <w:rFonts w:cs="FrankRuehl" w:hint="cs"/>
          <w:sz w:val="22"/>
          <w:szCs w:val="22"/>
          <w:rtl/>
        </w:rPr>
        <w:tab/>
        <w:t>למטר רבוע</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עגלים קטנים</w:t>
      </w:r>
      <w:r>
        <w:rPr>
          <w:rStyle w:val="default"/>
          <w:rFonts w:cs="FrankRuehl" w:hint="cs"/>
          <w:rtl/>
        </w:rPr>
        <w:tab/>
        <w:t>עד 55</w:t>
      </w:r>
      <w:r>
        <w:rPr>
          <w:rStyle w:val="default"/>
          <w:rFonts w:cs="FrankRuehl" w:hint="cs"/>
          <w:rtl/>
        </w:rPr>
        <w:tab/>
        <w:t>0.3-0.4</w:t>
      </w:r>
      <w:r>
        <w:rPr>
          <w:rStyle w:val="default"/>
          <w:rFonts w:cs="FrankRuehl" w:hint="cs"/>
          <w:rtl/>
        </w:rPr>
        <w:tab/>
        <w:t>2.5-3.3</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עגלים בגודל בינוני</w:t>
      </w:r>
      <w:r>
        <w:rPr>
          <w:rStyle w:val="default"/>
          <w:rFonts w:cs="FrankRuehl" w:hint="cs"/>
          <w:rtl/>
        </w:rPr>
        <w:tab/>
        <w:t>55-110</w:t>
      </w:r>
      <w:r>
        <w:rPr>
          <w:rStyle w:val="default"/>
          <w:rFonts w:cs="FrankRuehl" w:hint="cs"/>
          <w:rtl/>
        </w:rPr>
        <w:tab/>
        <w:t>0.4-0.7</w:t>
      </w:r>
      <w:r>
        <w:rPr>
          <w:rStyle w:val="default"/>
          <w:rFonts w:cs="FrankRuehl" w:hint="cs"/>
          <w:rtl/>
        </w:rPr>
        <w:tab/>
        <w:t>1.4-2.5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עגלים כבדים</w:t>
      </w:r>
      <w:r>
        <w:rPr>
          <w:rStyle w:val="default"/>
          <w:rFonts w:cs="FrankRuehl" w:hint="cs"/>
          <w:rtl/>
        </w:rPr>
        <w:tab/>
        <w:t>110-200</w:t>
      </w:r>
      <w:r>
        <w:rPr>
          <w:rStyle w:val="default"/>
          <w:rFonts w:cs="FrankRuehl" w:hint="cs"/>
          <w:rtl/>
        </w:rPr>
        <w:tab/>
        <w:t>0.7-0.95</w:t>
      </w:r>
      <w:r>
        <w:rPr>
          <w:rStyle w:val="default"/>
          <w:rFonts w:cs="FrankRuehl" w:hint="cs"/>
          <w:rtl/>
        </w:rPr>
        <w:tab/>
        <w:t>1-1.4</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בקר בינוני</w:t>
      </w:r>
      <w:r>
        <w:rPr>
          <w:rStyle w:val="default"/>
          <w:rFonts w:cs="FrankRuehl" w:hint="cs"/>
          <w:rtl/>
        </w:rPr>
        <w:tab/>
        <w:t>200-325</w:t>
      </w:r>
      <w:r>
        <w:rPr>
          <w:rStyle w:val="default"/>
          <w:rFonts w:cs="FrankRuehl" w:hint="cs"/>
          <w:rtl/>
        </w:rPr>
        <w:tab/>
        <w:t>0.95-1.3</w:t>
      </w:r>
      <w:r>
        <w:rPr>
          <w:rStyle w:val="default"/>
          <w:rFonts w:cs="FrankRuehl" w:hint="cs"/>
          <w:rtl/>
        </w:rPr>
        <w:tab/>
        <w:t>0.7-1</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בקר כבד</w:t>
      </w:r>
      <w:r>
        <w:rPr>
          <w:rStyle w:val="default"/>
          <w:rFonts w:cs="FrankRuehl" w:hint="cs"/>
          <w:rtl/>
        </w:rPr>
        <w:tab/>
        <w:t>325-550</w:t>
      </w:r>
      <w:r>
        <w:rPr>
          <w:rStyle w:val="default"/>
          <w:rFonts w:cs="FrankRuehl" w:hint="cs"/>
          <w:rtl/>
        </w:rPr>
        <w:tab/>
        <w:t>1.3-1.6</w:t>
      </w:r>
      <w:r>
        <w:rPr>
          <w:rStyle w:val="default"/>
          <w:rFonts w:cs="FrankRuehl" w:hint="cs"/>
          <w:rtl/>
        </w:rPr>
        <w:tab/>
        <w:t>0.6-0.7</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בקר כבד מאוד</w:t>
      </w:r>
      <w:r>
        <w:rPr>
          <w:rStyle w:val="default"/>
          <w:rFonts w:cs="FrankRuehl" w:hint="cs"/>
          <w:rtl/>
        </w:rPr>
        <w:tab/>
        <w:t>עולה על 550</w:t>
      </w:r>
      <w:r>
        <w:rPr>
          <w:rStyle w:val="default"/>
          <w:rFonts w:cs="FrankRuehl" w:hint="cs"/>
          <w:rtl/>
        </w:rPr>
        <w:tab/>
        <w:t>יותר מ-1.6</w:t>
      </w:r>
      <w:r>
        <w:rPr>
          <w:rStyle w:val="default"/>
          <w:rFonts w:cs="FrankRuehl" w:hint="cs"/>
          <w:rtl/>
        </w:rPr>
        <w:tab/>
        <w:t>פחות מ-0.6</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p>
    <w:p w:rsidR="00BB555A" w:rsidRDefault="00BB555A">
      <w:pPr>
        <w:pStyle w:val="P00"/>
        <w:spacing w:before="72"/>
        <w:ind w:left="0" w:right="1134"/>
        <w:rPr>
          <w:rStyle w:val="default"/>
          <w:rFonts w:cs="FrankRuehl" w:hint="cs"/>
          <w:b/>
          <w:bCs/>
          <w:sz w:val="22"/>
          <w:szCs w:val="22"/>
          <w:rtl/>
        </w:rPr>
      </w:pPr>
      <w:r>
        <w:rPr>
          <w:rStyle w:val="default"/>
          <w:rFonts w:cs="FrankRuehl" w:hint="cs"/>
          <w:b/>
          <w:bCs/>
          <w:sz w:val="22"/>
          <w:szCs w:val="22"/>
          <w:rtl/>
        </w:rPr>
        <w:t>כבשים</w:t>
      </w:r>
    </w:p>
    <w:p w:rsidR="00BB555A" w:rsidRDefault="00BB555A">
      <w:pPr>
        <w:pStyle w:val="P00"/>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שטח במטר רבוע</w:t>
      </w:r>
      <w:r>
        <w:rPr>
          <w:rStyle w:val="default"/>
          <w:rFonts w:cs="FrankRuehl" w:hint="cs"/>
          <w:sz w:val="22"/>
          <w:szCs w:val="22"/>
          <w:rtl/>
        </w:rPr>
        <w:tab/>
        <w:t>מספר בעלי חיים</w:t>
      </w:r>
    </w:p>
    <w:p w:rsidR="00BB555A" w:rsidRDefault="00BB555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t>סוג</w:t>
      </w:r>
      <w:r>
        <w:rPr>
          <w:rStyle w:val="default"/>
          <w:rFonts w:cs="FrankRuehl" w:hint="cs"/>
          <w:sz w:val="22"/>
          <w:szCs w:val="22"/>
          <w:rtl/>
        </w:rPr>
        <w:tab/>
        <w:t>משקל ממוצע בקילוגרם</w:t>
      </w:r>
      <w:r>
        <w:rPr>
          <w:rStyle w:val="default"/>
          <w:rFonts w:cs="FrankRuehl" w:hint="cs"/>
          <w:sz w:val="22"/>
          <w:szCs w:val="22"/>
          <w:rtl/>
        </w:rPr>
        <w:tab/>
        <w:t>לבעל חיים</w:t>
      </w:r>
      <w:r>
        <w:rPr>
          <w:rStyle w:val="default"/>
          <w:rFonts w:cs="FrankRuehl" w:hint="cs"/>
          <w:sz w:val="22"/>
          <w:szCs w:val="22"/>
          <w:rtl/>
        </w:rPr>
        <w:tab/>
        <w:t>למטר רבוע</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טלאים</w:t>
      </w:r>
      <w:r>
        <w:rPr>
          <w:rStyle w:val="default"/>
          <w:rFonts w:cs="FrankRuehl" w:hint="cs"/>
          <w:rtl/>
        </w:rPr>
        <w:tab/>
        <w:t>16</w:t>
      </w:r>
      <w:r>
        <w:rPr>
          <w:rStyle w:val="default"/>
          <w:rFonts w:cs="FrankRuehl" w:hint="cs"/>
          <w:rtl/>
        </w:rPr>
        <w:tab/>
        <w:t>0.17</w:t>
      </w:r>
      <w:r>
        <w:rPr>
          <w:rStyle w:val="default"/>
          <w:rFonts w:cs="FrankRuehl" w:hint="cs"/>
          <w:rtl/>
        </w:rPr>
        <w:tab/>
        <w:t>5.8</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כבשים גזוזות וטלאים</w:t>
      </w:r>
      <w:r>
        <w:rPr>
          <w:rStyle w:val="default"/>
          <w:rFonts w:cs="FrankRuehl" w:hint="cs"/>
          <w:rtl/>
        </w:rPr>
        <w:tab/>
        <w:t>עד 55</w:t>
      </w:r>
      <w:r>
        <w:rPr>
          <w:rStyle w:val="default"/>
          <w:rFonts w:cs="FrankRuehl" w:hint="cs"/>
          <w:rtl/>
        </w:rPr>
        <w:tab/>
        <w:t>0.2-0.3</w:t>
      </w:r>
      <w:r>
        <w:rPr>
          <w:rStyle w:val="default"/>
          <w:rFonts w:cs="FrankRuehl" w:hint="cs"/>
          <w:rtl/>
        </w:rPr>
        <w:tab/>
        <w:t>3.3-5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שמשקלים מעל 26 ק"ג</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כבשים גזוזות וטלאים</w:t>
      </w:r>
      <w:r>
        <w:rPr>
          <w:rStyle w:val="default"/>
          <w:rFonts w:cs="FrankRuehl" w:hint="cs"/>
          <w:rtl/>
        </w:rPr>
        <w:tab/>
        <w:t>עולה על 55</w:t>
      </w:r>
      <w:r>
        <w:rPr>
          <w:rStyle w:val="default"/>
          <w:rFonts w:cs="FrankRuehl" w:hint="cs"/>
          <w:rtl/>
        </w:rPr>
        <w:tab/>
        <w:t>יותר מ-0.3</w:t>
      </w:r>
      <w:r>
        <w:rPr>
          <w:rStyle w:val="default"/>
          <w:rFonts w:cs="FrankRuehl" w:hint="cs"/>
          <w:rtl/>
        </w:rPr>
        <w:tab/>
        <w:t>פחות מ-3.3</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כבשים בהריון מתקדם</w:t>
      </w:r>
      <w:r>
        <w:rPr>
          <w:rStyle w:val="default"/>
          <w:rFonts w:cs="FrankRuehl" w:hint="cs"/>
          <w:rtl/>
        </w:rPr>
        <w:tab/>
        <w:t>עד 55</w:t>
      </w:r>
      <w:r>
        <w:rPr>
          <w:rStyle w:val="default"/>
          <w:rFonts w:cs="FrankRuehl" w:hint="cs"/>
          <w:rtl/>
        </w:rPr>
        <w:tab/>
        <w:t>0.4-0.5</w:t>
      </w:r>
      <w:r>
        <w:rPr>
          <w:rStyle w:val="default"/>
          <w:rFonts w:cs="FrankRuehl" w:hint="cs"/>
          <w:rtl/>
        </w:rPr>
        <w:tab/>
        <w:t>2-2.5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כבשים בהריון מתקדם</w:t>
      </w:r>
      <w:r>
        <w:rPr>
          <w:rStyle w:val="default"/>
          <w:rFonts w:cs="FrankRuehl" w:hint="cs"/>
          <w:rtl/>
        </w:rPr>
        <w:tab/>
        <w:t>עולה על 55</w:t>
      </w:r>
      <w:r>
        <w:rPr>
          <w:rStyle w:val="default"/>
          <w:rFonts w:cs="FrankRuehl" w:hint="cs"/>
          <w:rtl/>
        </w:rPr>
        <w:tab/>
        <w:t>יותר מ-0.5</w:t>
      </w:r>
      <w:r>
        <w:rPr>
          <w:rStyle w:val="default"/>
          <w:rFonts w:cs="FrankRuehl" w:hint="cs"/>
          <w:rtl/>
        </w:rPr>
        <w:tab/>
        <w:t>פחות מ-2</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p>
    <w:p w:rsidR="00BB555A" w:rsidRDefault="00BB555A">
      <w:pPr>
        <w:pStyle w:val="P00"/>
        <w:spacing w:before="72"/>
        <w:ind w:left="0" w:right="1134"/>
        <w:rPr>
          <w:rStyle w:val="default"/>
          <w:rFonts w:cs="FrankRuehl" w:hint="cs"/>
          <w:b/>
          <w:bCs/>
          <w:sz w:val="22"/>
          <w:szCs w:val="22"/>
          <w:rtl/>
        </w:rPr>
      </w:pPr>
      <w:r>
        <w:rPr>
          <w:rStyle w:val="default"/>
          <w:rFonts w:cs="FrankRuehl" w:hint="cs"/>
          <w:b/>
          <w:bCs/>
          <w:sz w:val="22"/>
          <w:szCs w:val="22"/>
          <w:rtl/>
        </w:rPr>
        <w:t>עזים</w:t>
      </w:r>
    </w:p>
    <w:p w:rsidR="00BB555A" w:rsidRDefault="00BB555A">
      <w:pPr>
        <w:pStyle w:val="P00"/>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שטח במטר רבוע</w:t>
      </w:r>
      <w:r>
        <w:rPr>
          <w:rStyle w:val="default"/>
          <w:rFonts w:cs="FrankRuehl" w:hint="cs"/>
          <w:sz w:val="22"/>
          <w:szCs w:val="22"/>
          <w:rtl/>
        </w:rPr>
        <w:tab/>
        <w:t>מספר בעלי חיים</w:t>
      </w:r>
    </w:p>
    <w:p w:rsidR="00BB555A" w:rsidRDefault="00BB555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2665"/>
          <w:tab w:val="center" w:pos="4309"/>
          <w:tab w:val="center" w:pos="6067"/>
        </w:tabs>
        <w:spacing w:before="72"/>
        <w:ind w:left="0" w:right="1134"/>
        <w:rPr>
          <w:rStyle w:val="default"/>
          <w:rFonts w:cs="FrankRuehl" w:hint="cs"/>
          <w:sz w:val="22"/>
          <w:szCs w:val="22"/>
          <w:rtl/>
        </w:rPr>
      </w:pPr>
      <w:r>
        <w:rPr>
          <w:rStyle w:val="default"/>
          <w:rFonts w:cs="FrankRuehl" w:hint="cs"/>
          <w:sz w:val="22"/>
          <w:szCs w:val="22"/>
          <w:rtl/>
        </w:rPr>
        <w:tab/>
        <w:t>סוג</w:t>
      </w:r>
      <w:r>
        <w:rPr>
          <w:rStyle w:val="default"/>
          <w:rFonts w:cs="FrankRuehl" w:hint="cs"/>
          <w:sz w:val="22"/>
          <w:szCs w:val="22"/>
          <w:rtl/>
        </w:rPr>
        <w:tab/>
        <w:t>משקל ממוצע בקילוגרם</w:t>
      </w:r>
      <w:r>
        <w:rPr>
          <w:rStyle w:val="default"/>
          <w:rFonts w:cs="FrankRuehl" w:hint="cs"/>
          <w:sz w:val="22"/>
          <w:szCs w:val="22"/>
          <w:rtl/>
        </w:rPr>
        <w:tab/>
        <w:t>לבעל חיים</w:t>
      </w:r>
      <w:r>
        <w:rPr>
          <w:rStyle w:val="default"/>
          <w:rFonts w:cs="FrankRuehl" w:hint="cs"/>
          <w:sz w:val="22"/>
          <w:szCs w:val="22"/>
          <w:rtl/>
        </w:rPr>
        <w:tab/>
        <w:t>למטר רבוע</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עזים קטנות וגדיים</w:t>
      </w:r>
      <w:r>
        <w:rPr>
          <w:rStyle w:val="default"/>
          <w:rFonts w:cs="FrankRuehl" w:hint="cs"/>
          <w:rtl/>
        </w:rPr>
        <w:tab/>
        <w:t>עד 35</w:t>
      </w:r>
      <w:r>
        <w:rPr>
          <w:rStyle w:val="default"/>
          <w:rFonts w:cs="FrankRuehl" w:hint="cs"/>
          <w:rtl/>
        </w:rPr>
        <w:tab/>
        <w:t>0.2-0.3</w:t>
      </w:r>
      <w:r>
        <w:rPr>
          <w:rStyle w:val="default"/>
          <w:rFonts w:cs="FrankRuehl" w:hint="cs"/>
          <w:rtl/>
        </w:rPr>
        <w:tab/>
        <w:t>3.3-5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עזים וגדיים</w:t>
      </w:r>
      <w:r>
        <w:rPr>
          <w:rStyle w:val="default"/>
          <w:rFonts w:cs="FrankRuehl" w:hint="cs"/>
          <w:rtl/>
        </w:rPr>
        <w:tab/>
        <w:t>35-55</w:t>
      </w:r>
      <w:r>
        <w:rPr>
          <w:rStyle w:val="default"/>
          <w:rFonts w:cs="FrankRuehl" w:hint="cs"/>
          <w:rtl/>
        </w:rPr>
        <w:tab/>
        <w:t>0.3-0.4</w:t>
      </w:r>
      <w:r>
        <w:rPr>
          <w:rStyle w:val="default"/>
          <w:rFonts w:cs="FrankRuehl" w:hint="cs"/>
          <w:rtl/>
        </w:rPr>
        <w:tab/>
        <w:t>2.5-3.3</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עזים</w:t>
      </w:r>
      <w:r>
        <w:rPr>
          <w:rStyle w:val="default"/>
          <w:rFonts w:cs="FrankRuehl" w:hint="cs"/>
          <w:rtl/>
        </w:rPr>
        <w:tab/>
        <w:t>עולה על 55</w:t>
      </w:r>
      <w:r>
        <w:rPr>
          <w:rStyle w:val="default"/>
          <w:rFonts w:cs="FrankRuehl" w:hint="cs"/>
          <w:rtl/>
        </w:rPr>
        <w:tab/>
        <w:t>0.4-0.75</w:t>
      </w:r>
      <w:r>
        <w:rPr>
          <w:rStyle w:val="default"/>
          <w:rFonts w:cs="FrankRuehl" w:hint="cs"/>
          <w:rtl/>
        </w:rPr>
        <w:tab/>
        <w:t>1.3-2.5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עזים בהריון מתקדם</w:t>
      </w:r>
      <w:r>
        <w:rPr>
          <w:rStyle w:val="default"/>
          <w:rFonts w:cs="FrankRuehl" w:hint="cs"/>
          <w:rtl/>
        </w:rPr>
        <w:tab/>
        <w:t>עד 55</w:t>
      </w:r>
      <w:r>
        <w:rPr>
          <w:rStyle w:val="default"/>
          <w:rFonts w:cs="FrankRuehl" w:hint="cs"/>
          <w:rtl/>
        </w:rPr>
        <w:tab/>
        <w:t>0.4-0.5</w:t>
      </w:r>
      <w:r>
        <w:rPr>
          <w:rStyle w:val="default"/>
          <w:rFonts w:cs="FrankRuehl" w:hint="cs"/>
          <w:rtl/>
        </w:rPr>
        <w:tab/>
        <w:t>2-2.5</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r>
        <w:rPr>
          <w:rStyle w:val="default"/>
          <w:rFonts w:cs="FrankRuehl" w:hint="cs"/>
          <w:rtl/>
        </w:rPr>
        <w:t>עזים בהריון מתקדם</w:t>
      </w:r>
      <w:r>
        <w:rPr>
          <w:rStyle w:val="default"/>
          <w:rFonts w:cs="FrankRuehl" w:hint="cs"/>
          <w:rtl/>
        </w:rPr>
        <w:tab/>
        <w:t>עולה על 55</w:t>
      </w:r>
      <w:r>
        <w:rPr>
          <w:rStyle w:val="default"/>
          <w:rFonts w:cs="FrankRuehl" w:hint="cs"/>
          <w:rtl/>
        </w:rPr>
        <w:tab/>
        <w:t>יותר מ-0.5</w:t>
      </w:r>
      <w:r>
        <w:rPr>
          <w:rStyle w:val="default"/>
          <w:rFonts w:cs="FrankRuehl" w:hint="cs"/>
          <w:rtl/>
        </w:rPr>
        <w:tab/>
        <w:t>פחות מ-2</w:t>
      </w:r>
    </w:p>
    <w:p w:rsidR="00BB555A" w:rsidRDefault="00BB555A">
      <w:pPr>
        <w:pStyle w:val="P00"/>
        <w:tabs>
          <w:tab w:val="clear" w:pos="624"/>
          <w:tab w:val="clear" w:pos="1021"/>
          <w:tab w:val="clear" w:pos="1474"/>
          <w:tab w:val="clear" w:pos="1928"/>
          <w:tab w:val="clear" w:pos="2381"/>
          <w:tab w:val="clear" w:pos="2835"/>
          <w:tab w:val="clear" w:pos="6259"/>
          <w:tab w:val="left" w:pos="2268"/>
          <w:tab w:val="left" w:pos="3969"/>
          <w:tab w:val="left" w:pos="5670"/>
        </w:tabs>
        <w:spacing w:before="72"/>
        <w:ind w:left="0" w:right="1134"/>
        <w:rPr>
          <w:rStyle w:val="default"/>
          <w:rFonts w:cs="FrankRuehl" w:hint="cs"/>
          <w:rtl/>
        </w:rPr>
      </w:pPr>
    </w:p>
    <w:p w:rsidR="00BB555A" w:rsidRDefault="00BB555A">
      <w:pPr>
        <w:pStyle w:val="P00"/>
        <w:spacing w:before="72"/>
        <w:ind w:left="0" w:right="1134"/>
        <w:rPr>
          <w:rStyle w:val="default"/>
          <w:rFonts w:cs="FrankRuehl" w:hint="cs"/>
          <w:b/>
          <w:bCs/>
          <w:sz w:val="22"/>
          <w:szCs w:val="22"/>
          <w:rtl/>
        </w:rPr>
      </w:pPr>
      <w:r>
        <w:rPr>
          <w:rStyle w:val="default"/>
          <w:rFonts w:cs="FrankRuehl" w:hint="cs"/>
          <w:b/>
          <w:bCs/>
          <w:sz w:val="22"/>
          <w:szCs w:val="22"/>
          <w:rtl/>
        </w:rPr>
        <w:t>חזירים</w:t>
      </w:r>
    </w:p>
    <w:p w:rsidR="00BB555A" w:rsidRDefault="00BB555A">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103"/>
        </w:tabs>
        <w:spacing w:before="72"/>
        <w:ind w:left="0" w:right="1134"/>
        <w:rPr>
          <w:rStyle w:val="default"/>
          <w:rFonts w:cs="FrankRuehl" w:hint="cs"/>
          <w:sz w:val="22"/>
          <w:szCs w:val="22"/>
          <w:rtl/>
        </w:rPr>
      </w:pPr>
      <w:r>
        <w:rPr>
          <w:rStyle w:val="default"/>
          <w:rFonts w:cs="FrankRuehl" w:hint="cs"/>
          <w:sz w:val="22"/>
          <w:szCs w:val="22"/>
          <w:rtl/>
        </w:rPr>
        <w:t>עד משקל ממוצע של</w:t>
      </w:r>
      <w:r>
        <w:rPr>
          <w:rStyle w:val="default"/>
          <w:rFonts w:cs="FrankRuehl" w:hint="cs"/>
          <w:sz w:val="22"/>
          <w:szCs w:val="22"/>
          <w:rtl/>
        </w:rPr>
        <w:tab/>
        <w:t>מטר רבוע לבעל חיים</w:t>
      </w:r>
      <w:r>
        <w:rPr>
          <w:rStyle w:val="default"/>
          <w:rFonts w:cs="FrankRuehl" w:hint="cs"/>
          <w:sz w:val="22"/>
          <w:szCs w:val="22"/>
          <w:rtl/>
        </w:rPr>
        <w:tab/>
        <w:t>מספר בעלי חיים למטר רבוע</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25 ק"ג</w:t>
      </w:r>
      <w:r>
        <w:rPr>
          <w:rStyle w:val="default"/>
          <w:rFonts w:cs="FrankRuehl" w:hint="cs"/>
          <w:rtl/>
        </w:rPr>
        <w:tab/>
        <w:t>0.15</w:t>
      </w:r>
      <w:r>
        <w:rPr>
          <w:rStyle w:val="default"/>
          <w:rFonts w:cs="FrankRuehl" w:hint="cs"/>
          <w:rtl/>
        </w:rPr>
        <w:tab/>
        <w:t>6.6</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60 ק"ג</w:t>
      </w:r>
      <w:r>
        <w:rPr>
          <w:rStyle w:val="default"/>
          <w:rFonts w:cs="FrankRuehl" w:hint="cs"/>
          <w:rtl/>
        </w:rPr>
        <w:tab/>
        <w:t>0.35</w:t>
      </w:r>
      <w:r>
        <w:rPr>
          <w:rStyle w:val="default"/>
          <w:rFonts w:cs="FrankRuehl" w:hint="cs"/>
          <w:rtl/>
        </w:rPr>
        <w:tab/>
        <w:t>2.8</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80 ק"ג</w:t>
      </w:r>
      <w:r>
        <w:rPr>
          <w:rStyle w:val="default"/>
          <w:rFonts w:cs="FrankRuehl" w:hint="cs"/>
          <w:rtl/>
        </w:rPr>
        <w:tab/>
        <w:t>0.40</w:t>
      </w:r>
      <w:r>
        <w:rPr>
          <w:rStyle w:val="default"/>
          <w:rFonts w:cs="FrankRuehl" w:hint="cs"/>
          <w:rtl/>
        </w:rPr>
        <w:tab/>
        <w:t>2.5</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100 ק"ג</w:t>
      </w:r>
      <w:r>
        <w:rPr>
          <w:rStyle w:val="default"/>
          <w:rFonts w:cs="FrankRuehl" w:hint="cs"/>
          <w:rtl/>
        </w:rPr>
        <w:tab/>
        <w:t>0.42</w:t>
      </w:r>
      <w:r>
        <w:rPr>
          <w:rStyle w:val="default"/>
          <w:rFonts w:cs="FrankRuehl" w:hint="cs"/>
          <w:rtl/>
        </w:rPr>
        <w:tab/>
        <w:t>2.3</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120 ק"ג</w:t>
      </w:r>
      <w:r>
        <w:rPr>
          <w:rStyle w:val="default"/>
          <w:rFonts w:cs="FrankRuehl" w:hint="cs"/>
          <w:rtl/>
        </w:rPr>
        <w:tab/>
        <w:t>0.51</w:t>
      </w:r>
      <w:r>
        <w:rPr>
          <w:rStyle w:val="default"/>
          <w:rFonts w:cs="FrankRuehl" w:hint="cs"/>
          <w:rtl/>
        </w:rPr>
        <w:tab/>
        <w:t>1.9</w:t>
      </w:r>
    </w:p>
    <w:p w:rsidR="00BB555A" w:rsidRDefault="00BB555A">
      <w:pPr>
        <w:pStyle w:val="P00"/>
        <w:tabs>
          <w:tab w:val="clear" w:pos="624"/>
          <w:tab w:val="clear" w:pos="1021"/>
          <w:tab w:val="clear" w:pos="1474"/>
          <w:tab w:val="clear" w:pos="1928"/>
          <w:tab w:val="clear" w:pos="2381"/>
          <w:tab w:val="clear" w:pos="2835"/>
          <w:tab w:val="clear" w:pos="6259"/>
          <w:tab w:val="left" w:pos="3119"/>
          <w:tab w:val="left" w:pos="5103"/>
        </w:tabs>
        <w:spacing w:before="72"/>
        <w:ind w:left="0" w:right="1134"/>
        <w:rPr>
          <w:rStyle w:val="default"/>
          <w:rFonts w:cs="FrankRuehl" w:hint="cs"/>
          <w:rtl/>
        </w:rPr>
      </w:pPr>
      <w:r>
        <w:rPr>
          <w:rStyle w:val="default"/>
          <w:rFonts w:cs="FrankRuehl" w:hint="cs"/>
          <w:rtl/>
        </w:rPr>
        <w:t>עולה על 120 ק"ג</w:t>
      </w:r>
      <w:r>
        <w:rPr>
          <w:rStyle w:val="default"/>
          <w:rFonts w:cs="FrankRuehl" w:hint="cs"/>
          <w:rtl/>
        </w:rPr>
        <w:tab/>
        <w:t>0.7</w:t>
      </w:r>
      <w:r>
        <w:rPr>
          <w:rStyle w:val="default"/>
          <w:rFonts w:cs="FrankRuehl" w:hint="cs"/>
          <w:rtl/>
        </w:rPr>
        <w:tab/>
        <w:t>1.4</w:t>
      </w:r>
    </w:p>
    <w:p w:rsidR="00BB555A" w:rsidRDefault="00BB555A">
      <w:pPr>
        <w:pStyle w:val="P00"/>
        <w:spacing w:before="72"/>
        <w:ind w:left="0" w:right="1134"/>
        <w:rPr>
          <w:rStyle w:val="default"/>
          <w:rFonts w:cs="FrankRuehl" w:hint="cs"/>
          <w:rtl/>
        </w:rPr>
      </w:pPr>
    </w:p>
    <w:p w:rsidR="00BB555A" w:rsidRDefault="00BB555A">
      <w:pPr>
        <w:pStyle w:val="P00"/>
        <w:spacing w:before="72"/>
        <w:ind w:left="0" w:right="1134"/>
        <w:rPr>
          <w:rStyle w:val="default"/>
          <w:rFonts w:cs="FrankRuehl" w:hint="cs"/>
          <w:sz w:val="22"/>
          <w:szCs w:val="22"/>
          <w:rtl/>
        </w:rPr>
      </w:pPr>
      <w:r>
        <w:rPr>
          <w:rStyle w:val="default"/>
          <w:rFonts w:cs="FrankRuehl" w:hint="cs"/>
          <w:sz w:val="22"/>
          <w:szCs w:val="22"/>
          <w:rtl/>
        </w:rPr>
        <w:t>* צפויה הטמפרטורה בעת ההובלה לעלות על 25 מעלות צלזיוס, יוגדל השטח לכל בעל חיים ב-5 אחוזים נוספים.</w:t>
      </w:r>
    </w:p>
    <w:p w:rsidR="00BB555A" w:rsidRDefault="00BB555A">
      <w:pPr>
        <w:pStyle w:val="P00"/>
        <w:spacing w:before="72"/>
        <w:ind w:left="0" w:right="1134"/>
        <w:rPr>
          <w:rStyle w:val="default"/>
          <w:rFonts w:cs="FrankRuehl" w:hint="cs"/>
          <w:sz w:val="22"/>
          <w:szCs w:val="22"/>
          <w:rtl/>
        </w:rPr>
      </w:pPr>
      <w:r>
        <w:rPr>
          <w:rStyle w:val="default"/>
          <w:rFonts w:cs="FrankRuehl" w:hint="cs"/>
          <w:sz w:val="22"/>
          <w:szCs w:val="22"/>
          <w:rtl/>
        </w:rPr>
        <w:t>* לכבשים שעובי הצמר שלהן גדול מ-2 סנטימטרים יוגדל השטח לכל בעל חיים ב-5 אחוזים.</w:t>
      </w:r>
    </w:p>
    <w:p w:rsidR="00BB555A" w:rsidRDefault="00BB555A">
      <w:pPr>
        <w:pStyle w:val="P00"/>
        <w:spacing w:before="72"/>
        <w:ind w:left="0" w:right="1134"/>
        <w:rPr>
          <w:rStyle w:val="default"/>
          <w:rFonts w:cs="FrankRuehl" w:hint="cs"/>
          <w:rtl/>
        </w:rPr>
      </w:pPr>
    </w:p>
    <w:p w:rsidR="00BB555A" w:rsidRDefault="00BB555A">
      <w:pPr>
        <w:pStyle w:val="P00"/>
        <w:spacing w:before="72"/>
        <w:ind w:left="0" w:right="1134"/>
        <w:rPr>
          <w:rStyle w:val="default"/>
          <w:rFonts w:cs="FrankRuehl" w:hint="cs"/>
          <w:rtl/>
        </w:rPr>
      </w:pPr>
    </w:p>
    <w:p w:rsidR="00BB555A" w:rsidRDefault="00BB555A">
      <w:pPr>
        <w:pStyle w:val="P00"/>
        <w:spacing w:before="72"/>
        <w:ind w:left="0" w:right="1134"/>
        <w:rPr>
          <w:rStyle w:val="default"/>
          <w:rFonts w:cs="FrankRuehl" w:hint="cs"/>
          <w:rtl/>
        </w:rPr>
      </w:pPr>
      <w:r>
        <w:rPr>
          <w:rStyle w:val="default"/>
          <w:rFonts w:cs="FrankRuehl" w:hint="cs"/>
          <w:rtl/>
        </w:rPr>
        <w:t>כ' באדר התשס"ו (20 במרס 2006)</w:t>
      </w:r>
    </w:p>
    <w:p w:rsidR="00BB555A" w:rsidRDefault="00BB555A">
      <w:pPr>
        <w:pStyle w:val="sig-0"/>
        <w:tabs>
          <w:tab w:val="clear" w:pos="4820"/>
          <w:tab w:val="center" w:pos="5670"/>
        </w:tabs>
        <w:ind w:left="0" w:right="1134"/>
        <w:rPr>
          <w:rFonts w:cs="FrankRuehl" w:hint="cs"/>
          <w:sz w:val="26"/>
          <w:rtl/>
        </w:rPr>
      </w:pPr>
      <w:r>
        <w:rPr>
          <w:rFonts w:cs="FrankRuehl" w:hint="cs"/>
          <w:sz w:val="26"/>
          <w:rtl/>
        </w:rPr>
        <w:tab/>
        <w:t>זאב בוים</w:t>
      </w:r>
    </w:p>
    <w:p w:rsidR="00BB555A" w:rsidRDefault="00BB555A">
      <w:pPr>
        <w:pStyle w:val="sig-0"/>
        <w:tabs>
          <w:tab w:val="clear" w:pos="4820"/>
          <w:tab w:val="center" w:pos="5670"/>
        </w:tabs>
        <w:ind w:left="0" w:right="1134"/>
        <w:rPr>
          <w:rFonts w:cs="FrankRuehl" w:hint="cs"/>
          <w:sz w:val="22"/>
          <w:szCs w:val="22"/>
          <w:rtl/>
        </w:rPr>
      </w:pPr>
      <w:r>
        <w:rPr>
          <w:rFonts w:cs="FrankRuehl" w:hint="cs"/>
          <w:sz w:val="22"/>
          <w:szCs w:val="22"/>
          <w:rtl/>
        </w:rPr>
        <w:tab/>
        <w:t>שר החקלאות ופיתוח הכפר</w:t>
      </w:r>
    </w:p>
    <w:p w:rsidR="00BB555A" w:rsidRDefault="00BB555A">
      <w:pPr>
        <w:pStyle w:val="sig-0"/>
        <w:tabs>
          <w:tab w:val="clear" w:pos="4820"/>
          <w:tab w:val="center" w:pos="5670"/>
        </w:tabs>
        <w:ind w:left="0" w:right="1134"/>
        <w:rPr>
          <w:rFonts w:cs="FrankRuehl" w:hint="cs"/>
          <w:sz w:val="26"/>
          <w:rtl/>
        </w:rPr>
      </w:pPr>
    </w:p>
    <w:p w:rsidR="00BB555A" w:rsidRDefault="00BB555A">
      <w:pPr>
        <w:pStyle w:val="sig-0"/>
        <w:tabs>
          <w:tab w:val="clear" w:pos="4820"/>
          <w:tab w:val="center" w:pos="5670"/>
        </w:tabs>
        <w:ind w:left="0" w:right="1134"/>
        <w:rPr>
          <w:rFonts w:cs="FrankRuehl" w:hint="cs"/>
          <w:sz w:val="26"/>
          <w:rtl/>
        </w:rPr>
      </w:pPr>
    </w:p>
    <w:p w:rsidR="00BB555A" w:rsidRDefault="00BB555A">
      <w:pPr>
        <w:pStyle w:val="sig-0"/>
        <w:ind w:left="0" w:right="1134"/>
        <w:rPr>
          <w:rFonts w:cs="FrankRuehl"/>
          <w:sz w:val="26"/>
          <w:rtl/>
        </w:rPr>
      </w:pPr>
    </w:p>
    <w:sectPr w:rsidR="00BB555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471C" w:rsidRPr="00FC415C" w:rsidRDefault="0080471C">
      <w:pPr>
        <w:rPr>
          <w:rFonts w:cs="Arial"/>
          <w:szCs w:val="20"/>
        </w:rPr>
      </w:pPr>
      <w:r>
        <w:separator/>
      </w:r>
    </w:p>
  </w:endnote>
  <w:endnote w:type="continuationSeparator" w:id="0">
    <w:p w:rsidR="0080471C" w:rsidRPr="00FC415C" w:rsidRDefault="008047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55A" w:rsidRDefault="00BB55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B555A" w:rsidRDefault="00BB55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555A" w:rsidRDefault="00BB55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4FA2">
      <w:rPr>
        <w:rFonts w:cs="TopType Jerushalmi"/>
        <w:noProof/>
        <w:color w:val="000000"/>
        <w:sz w:val="14"/>
        <w:szCs w:val="14"/>
      </w:rPr>
      <w:t>C:\Yael\hakika\061008\999_603.doc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55A" w:rsidRDefault="00BB55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2DB5">
      <w:rPr>
        <w:rFonts w:hAnsi="FrankRuehl" w:cs="FrankRuehl"/>
        <w:noProof/>
        <w:sz w:val="24"/>
        <w:szCs w:val="24"/>
        <w:rtl/>
      </w:rPr>
      <w:t>6</w:t>
    </w:r>
    <w:r>
      <w:rPr>
        <w:rFonts w:hAnsi="FrankRuehl" w:cs="FrankRuehl"/>
        <w:sz w:val="24"/>
        <w:szCs w:val="24"/>
        <w:rtl/>
      </w:rPr>
      <w:fldChar w:fldCharType="end"/>
    </w:r>
  </w:p>
  <w:p w:rsidR="00BB555A" w:rsidRDefault="00BB55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555A" w:rsidRDefault="00BB55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4FA2">
      <w:rPr>
        <w:rFonts w:cs="TopType Jerushalmi"/>
        <w:noProof/>
        <w:color w:val="000000"/>
        <w:sz w:val="14"/>
        <w:szCs w:val="14"/>
      </w:rPr>
      <w:t>C:\Yael\hakika\061008\999_603.doc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471C" w:rsidRDefault="0080471C" w:rsidP="00364FA2">
      <w:pPr>
        <w:spacing w:before="60"/>
        <w:ind w:right="1134"/>
      </w:pPr>
      <w:r>
        <w:separator/>
      </w:r>
    </w:p>
  </w:footnote>
  <w:footnote w:type="continuationSeparator" w:id="0">
    <w:p w:rsidR="0080471C" w:rsidRPr="00FC415C" w:rsidRDefault="0080471C">
      <w:pPr>
        <w:rPr>
          <w:rFonts w:cs="Arial"/>
          <w:szCs w:val="20"/>
        </w:rPr>
      </w:pPr>
      <w:r>
        <w:continuationSeparator/>
      </w:r>
    </w:p>
  </w:footnote>
  <w:footnote w:id="1">
    <w:p w:rsidR="00BB555A" w:rsidRDefault="00BB55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6474</w:t>
        </w:r>
      </w:hyperlink>
      <w:r>
        <w:rPr>
          <w:rFonts w:cs="FrankRuehl" w:hint="cs"/>
          <w:rtl/>
        </w:rPr>
        <w:t xml:space="preserve"> מיום 6.4.2006 עמ' 688.</w:t>
      </w:r>
    </w:p>
    <w:p w:rsidR="00BB555A" w:rsidRDefault="00BB555A">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55A" w:rsidRDefault="00BB55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B555A" w:rsidRDefault="00BB55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555A" w:rsidRDefault="00BB55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55A" w:rsidRDefault="00BB555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צער בעלי חיים (הגנה על בעלי חיים) (הובלת בהמות), תשס"ו-2006</w:t>
    </w:r>
  </w:p>
  <w:p w:rsidR="00BB555A" w:rsidRDefault="00BB55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555A" w:rsidRDefault="00BB55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556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4FA2"/>
    <w:rsid w:val="00060070"/>
    <w:rsid w:val="0018278B"/>
    <w:rsid w:val="002412B8"/>
    <w:rsid w:val="00364FA2"/>
    <w:rsid w:val="006F5DAD"/>
    <w:rsid w:val="00711A31"/>
    <w:rsid w:val="00714C86"/>
    <w:rsid w:val="00797B68"/>
    <w:rsid w:val="0080471C"/>
    <w:rsid w:val="00855B1E"/>
    <w:rsid w:val="00A04043"/>
    <w:rsid w:val="00BB555A"/>
    <w:rsid w:val="00BC2DB5"/>
    <w:rsid w:val="00E62D76"/>
    <w:rsid w:val="00FB63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39457A5-F8A6-40AE-9F8D-2EEC5C0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495;&#1511;&#1500;&#1488;&#1493;&#1514;/&#1489;&#1506;&#1500;&#1497;%20&#1495;&#1497;&#1497;&#1501;/&#1491;&#1497;&#1493;&#1493;&#1495;%20&#1502;&#1513;&#1490;&#1497;&#1495;%20&#1506;&#1500;%20&#1492;&#1493;&#1489;&#1500;&#1514;%20&#1489;&#1492;&#1502;&#1493;&#1514;.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13612</CharactersWithSpaces>
  <SharedDoc>false</SharedDoc>
  <HLinks>
    <vt:vector size="126" baseType="variant">
      <vt:variant>
        <vt:i4>93324711</vt:i4>
      </vt:variant>
      <vt:variant>
        <vt:i4>114</vt:i4>
      </vt:variant>
      <vt:variant>
        <vt:i4>0</vt:i4>
      </vt:variant>
      <vt:variant>
        <vt:i4>5</vt:i4>
      </vt:variant>
      <vt:variant>
        <vt:lpwstr>http://www.nevo.co.il/TFASIM/טפסים משפטיים/חקלאות/בעלי חיים/דיווח משגיח על הובלת בהמות.DOC</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7864328</vt:i4>
      </vt:variant>
      <vt:variant>
        <vt:i4>0</vt:i4>
      </vt:variant>
      <vt:variant>
        <vt:i4>0</vt:i4>
      </vt:variant>
      <vt:variant>
        <vt:i4>5</vt:i4>
      </vt:variant>
      <vt:variant>
        <vt:lpwstr>http://www.nevo.co.il/Law_word/law06/TAK-6474.pdf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צער בעלי חיים (הגנה על בעלי חיים) (הובלת בהמות), תשס"ו-2006</vt:lpwstr>
  </property>
  <property fmtid="{D5CDD505-2E9C-101B-9397-08002B2CF9AE}" pid="4" name="LAWNUMBER">
    <vt:lpwstr>0603</vt:lpwstr>
  </property>
  <property fmtid="{D5CDD505-2E9C-101B-9397-08002B2CF9AE}" pid="5" name="TYPE">
    <vt:lpwstr>01</vt:lpwstr>
  </property>
  <property fmtid="{D5CDD505-2E9C-101B-9397-08002B2CF9AE}" pid="6" name="CHNAME">
    <vt:lpwstr>צער בעלי חיים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http://www.nevo.co.il/Law_word/law06/TAK-6474.pdf;רשומות - תקנות כלליות#פורסמו ק"ת תשס"ו מס' 6474 #מיום 6.4.2006 #עמ' 688</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הגנה על בע"ח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צער בעלי חיים (הגנה על בעלי חיים)</vt:lpwstr>
  </property>
  <property fmtid="{D5CDD505-2E9C-101B-9397-08002B2CF9AE}" pid="63" name="MEKOR_SAIF1">
    <vt:lpwstr>19X2X</vt:lpwstr>
  </property>
</Properties>
</file>