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B70C58" w:rsidP="004E7F5B">
      <w:pPr>
        <w:pStyle w:val="big-header"/>
        <w:ind w:left="0" w:right="1134"/>
        <w:rPr>
          <w:rFonts w:cs="FrankRuehl" w:hint="cs"/>
          <w:sz w:val="32"/>
          <w:rtl/>
        </w:rPr>
      </w:pPr>
      <w:r>
        <w:rPr>
          <w:rFonts w:cs="FrankRuehl" w:hint="cs"/>
          <w:sz w:val="32"/>
          <w:rtl/>
        </w:rPr>
        <w:t>תקנות</w:t>
      </w:r>
      <w:r w:rsidR="004E7F5B">
        <w:rPr>
          <w:rFonts w:cs="FrankRuehl" w:hint="cs"/>
          <w:sz w:val="32"/>
          <w:rtl/>
        </w:rPr>
        <w:t xml:space="preserve"> קידום התחרות בענף המזון </w:t>
      </w:r>
      <w:r>
        <w:rPr>
          <w:rFonts w:cs="FrankRuehl" w:hint="cs"/>
          <w:sz w:val="32"/>
          <w:rtl/>
        </w:rPr>
        <w:t>(דיווח של ספקים גדולים ושל קמעונאים גדולים)</w:t>
      </w:r>
      <w:r w:rsidR="002728A9">
        <w:rPr>
          <w:rFonts w:cs="FrankRuehl" w:hint="cs"/>
          <w:sz w:val="32"/>
          <w:rtl/>
        </w:rPr>
        <w:t>, תשע"ד-2014</w:t>
      </w:r>
    </w:p>
    <w:p w:rsidR="004E7F5B" w:rsidRPr="004E7F5B" w:rsidRDefault="004E7F5B" w:rsidP="004E7F5B">
      <w:pPr>
        <w:spacing w:line="320" w:lineRule="auto"/>
        <w:jc w:val="left"/>
        <w:rPr>
          <w:rFonts w:cs="FrankRuehl"/>
          <w:szCs w:val="26"/>
          <w:rtl/>
        </w:rPr>
      </w:pPr>
    </w:p>
    <w:p w:rsidR="004E7F5B" w:rsidRDefault="004E7F5B" w:rsidP="004E7F5B">
      <w:pPr>
        <w:spacing w:line="320" w:lineRule="auto"/>
        <w:jc w:val="left"/>
        <w:rPr>
          <w:rtl/>
        </w:rPr>
      </w:pPr>
    </w:p>
    <w:p w:rsidR="004E7F5B" w:rsidRPr="004E7F5B" w:rsidRDefault="004E7F5B" w:rsidP="004E7F5B">
      <w:pPr>
        <w:spacing w:line="320" w:lineRule="auto"/>
        <w:jc w:val="left"/>
        <w:rPr>
          <w:rFonts w:cs="Miriam" w:hint="cs"/>
          <w:szCs w:val="22"/>
          <w:rtl/>
        </w:rPr>
      </w:pPr>
      <w:r w:rsidRPr="004E7F5B">
        <w:rPr>
          <w:rFonts w:cs="Miriam"/>
          <w:szCs w:val="22"/>
          <w:rtl/>
        </w:rPr>
        <w:t>משפט פרטי וכלכלה</w:t>
      </w:r>
      <w:r w:rsidRPr="004E7F5B">
        <w:rPr>
          <w:rFonts w:cs="FrankRuehl"/>
          <w:szCs w:val="26"/>
          <w:rtl/>
        </w:rPr>
        <w:t xml:space="preserve"> – מסחר  – הגנת הצרכן</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0FD2" w:rsidRPr="00120FD2">
        <w:tblPrEx>
          <w:tblCellMar>
            <w:top w:w="0" w:type="dxa"/>
            <w:bottom w:w="0" w:type="dxa"/>
          </w:tblCellMar>
        </w:tblPrEx>
        <w:tc>
          <w:tcPr>
            <w:tcW w:w="1247" w:type="dxa"/>
          </w:tcPr>
          <w:p w:rsidR="00120FD2" w:rsidRPr="00120FD2" w:rsidRDefault="00120FD2" w:rsidP="00120FD2">
            <w:pPr>
              <w:spacing w:line="240" w:lineRule="auto"/>
              <w:jc w:val="left"/>
              <w:rPr>
                <w:rFonts w:cs="Frankruhel"/>
                <w:sz w:val="24"/>
                <w:rtl/>
              </w:rPr>
            </w:pPr>
            <w:r>
              <w:rPr>
                <w:sz w:val="24"/>
                <w:rtl/>
              </w:rPr>
              <w:t xml:space="preserve">סעיף 1 </w:t>
            </w:r>
          </w:p>
        </w:tc>
        <w:tc>
          <w:tcPr>
            <w:tcW w:w="5669" w:type="dxa"/>
          </w:tcPr>
          <w:p w:rsidR="00120FD2" w:rsidRPr="00120FD2" w:rsidRDefault="00120FD2" w:rsidP="00120FD2">
            <w:pPr>
              <w:spacing w:line="240" w:lineRule="auto"/>
              <w:jc w:val="left"/>
              <w:rPr>
                <w:rFonts w:cs="Frankruhel"/>
                <w:sz w:val="24"/>
                <w:rtl/>
              </w:rPr>
            </w:pPr>
            <w:r>
              <w:rPr>
                <w:sz w:val="24"/>
                <w:rtl/>
              </w:rPr>
              <w:t>הגדרה</w:t>
            </w:r>
          </w:p>
        </w:tc>
        <w:tc>
          <w:tcPr>
            <w:tcW w:w="567" w:type="dxa"/>
          </w:tcPr>
          <w:p w:rsidR="00120FD2" w:rsidRPr="00120FD2" w:rsidRDefault="00120FD2" w:rsidP="00120FD2">
            <w:pPr>
              <w:spacing w:line="240" w:lineRule="auto"/>
              <w:jc w:val="left"/>
              <w:rPr>
                <w:rStyle w:val="Hyperlink"/>
                <w:rtl/>
              </w:rPr>
            </w:pPr>
            <w:hyperlink w:anchor="Seif1" w:tooltip="הגדרה" w:history="1">
              <w:r w:rsidRPr="00120FD2">
                <w:rPr>
                  <w:rStyle w:val="Hyperlink"/>
                </w:rPr>
                <w:t>Go</w:t>
              </w:r>
            </w:hyperlink>
          </w:p>
        </w:tc>
        <w:tc>
          <w:tcPr>
            <w:tcW w:w="850" w:type="dxa"/>
          </w:tcPr>
          <w:p w:rsidR="00120FD2" w:rsidRPr="00120FD2" w:rsidRDefault="00120FD2" w:rsidP="00120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0FD2" w:rsidRPr="00120FD2">
        <w:tblPrEx>
          <w:tblCellMar>
            <w:top w:w="0" w:type="dxa"/>
            <w:bottom w:w="0" w:type="dxa"/>
          </w:tblCellMar>
        </w:tblPrEx>
        <w:tc>
          <w:tcPr>
            <w:tcW w:w="1247" w:type="dxa"/>
          </w:tcPr>
          <w:p w:rsidR="00120FD2" w:rsidRPr="00120FD2" w:rsidRDefault="00120FD2" w:rsidP="00120FD2">
            <w:pPr>
              <w:spacing w:line="240" w:lineRule="auto"/>
              <w:jc w:val="left"/>
              <w:rPr>
                <w:rFonts w:cs="Frankruhel"/>
                <w:sz w:val="24"/>
                <w:rtl/>
              </w:rPr>
            </w:pPr>
            <w:r>
              <w:rPr>
                <w:sz w:val="24"/>
                <w:rtl/>
              </w:rPr>
              <w:t xml:space="preserve">סעיף 2 </w:t>
            </w:r>
          </w:p>
        </w:tc>
        <w:tc>
          <w:tcPr>
            <w:tcW w:w="5669" w:type="dxa"/>
          </w:tcPr>
          <w:p w:rsidR="00120FD2" w:rsidRPr="00120FD2" w:rsidRDefault="00120FD2" w:rsidP="00120FD2">
            <w:pPr>
              <w:spacing w:line="240" w:lineRule="auto"/>
              <w:jc w:val="left"/>
              <w:rPr>
                <w:rFonts w:cs="Frankruhel"/>
                <w:sz w:val="24"/>
                <w:rtl/>
              </w:rPr>
            </w:pPr>
            <w:r>
              <w:rPr>
                <w:sz w:val="24"/>
                <w:rtl/>
              </w:rPr>
              <w:t>דוח או הצהרה של ספק גדול</w:t>
            </w:r>
          </w:p>
        </w:tc>
        <w:tc>
          <w:tcPr>
            <w:tcW w:w="567" w:type="dxa"/>
          </w:tcPr>
          <w:p w:rsidR="00120FD2" w:rsidRPr="00120FD2" w:rsidRDefault="00120FD2" w:rsidP="00120FD2">
            <w:pPr>
              <w:spacing w:line="240" w:lineRule="auto"/>
              <w:jc w:val="left"/>
              <w:rPr>
                <w:rStyle w:val="Hyperlink"/>
                <w:rtl/>
              </w:rPr>
            </w:pPr>
            <w:hyperlink w:anchor="Seif4" w:tooltip="דוח או הצהרה של ספק גדול" w:history="1">
              <w:r w:rsidRPr="00120FD2">
                <w:rPr>
                  <w:rStyle w:val="Hyperlink"/>
                </w:rPr>
                <w:t>Go</w:t>
              </w:r>
            </w:hyperlink>
          </w:p>
        </w:tc>
        <w:tc>
          <w:tcPr>
            <w:tcW w:w="850" w:type="dxa"/>
          </w:tcPr>
          <w:p w:rsidR="00120FD2" w:rsidRPr="00120FD2" w:rsidRDefault="00120FD2" w:rsidP="00120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0FD2" w:rsidRPr="00120FD2">
        <w:tblPrEx>
          <w:tblCellMar>
            <w:top w:w="0" w:type="dxa"/>
            <w:bottom w:w="0" w:type="dxa"/>
          </w:tblCellMar>
        </w:tblPrEx>
        <w:tc>
          <w:tcPr>
            <w:tcW w:w="1247" w:type="dxa"/>
          </w:tcPr>
          <w:p w:rsidR="00120FD2" w:rsidRPr="00120FD2" w:rsidRDefault="00120FD2" w:rsidP="00120FD2">
            <w:pPr>
              <w:spacing w:line="240" w:lineRule="auto"/>
              <w:jc w:val="left"/>
              <w:rPr>
                <w:rFonts w:cs="Frankruhel"/>
                <w:sz w:val="24"/>
                <w:rtl/>
              </w:rPr>
            </w:pPr>
            <w:r>
              <w:rPr>
                <w:sz w:val="24"/>
                <w:rtl/>
              </w:rPr>
              <w:t xml:space="preserve">סעיף 3 </w:t>
            </w:r>
          </w:p>
        </w:tc>
        <w:tc>
          <w:tcPr>
            <w:tcW w:w="5669" w:type="dxa"/>
          </w:tcPr>
          <w:p w:rsidR="00120FD2" w:rsidRPr="00120FD2" w:rsidRDefault="00120FD2" w:rsidP="00120FD2">
            <w:pPr>
              <w:spacing w:line="240" w:lineRule="auto"/>
              <w:jc w:val="left"/>
              <w:rPr>
                <w:rFonts w:cs="Frankruhel"/>
                <w:sz w:val="24"/>
                <w:rtl/>
              </w:rPr>
            </w:pPr>
            <w:r>
              <w:rPr>
                <w:sz w:val="24"/>
                <w:rtl/>
              </w:rPr>
              <w:t>דוח של קמעונאי גדול</w:t>
            </w:r>
          </w:p>
        </w:tc>
        <w:tc>
          <w:tcPr>
            <w:tcW w:w="567" w:type="dxa"/>
          </w:tcPr>
          <w:p w:rsidR="00120FD2" w:rsidRPr="00120FD2" w:rsidRDefault="00120FD2" w:rsidP="00120FD2">
            <w:pPr>
              <w:spacing w:line="240" w:lineRule="auto"/>
              <w:jc w:val="left"/>
              <w:rPr>
                <w:rStyle w:val="Hyperlink"/>
                <w:rtl/>
              </w:rPr>
            </w:pPr>
            <w:hyperlink w:anchor="Seif2" w:tooltip="דוח של קמעונאי גדול" w:history="1">
              <w:r w:rsidRPr="00120FD2">
                <w:rPr>
                  <w:rStyle w:val="Hyperlink"/>
                </w:rPr>
                <w:t>Go</w:t>
              </w:r>
            </w:hyperlink>
          </w:p>
        </w:tc>
        <w:tc>
          <w:tcPr>
            <w:tcW w:w="850" w:type="dxa"/>
          </w:tcPr>
          <w:p w:rsidR="00120FD2" w:rsidRPr="00120FD2" w:rsidRDefault="00120FD2" w:rsidP="00120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0FD2" w:rsidRPr="00120FD2">
        <w:tblPrEx>
          <w:tblCellMar>
            <w:top w:w="0" w:type="dxa"/>
            <w:bottom w:w="0" w:type="dxa"/>
          </w:tblCellMar>
        </w:tblPrEx>
        <w:tc>
          <w:tcPr>
            <w:tcW w:w="1247" w:type="dxa"/>
          </w:tcPr>
          <w:p w:rsidR="00120FD2" w:rsidRPr="00120FD2" w:rsidRDefault="00120FD2" w:rsidP="00120FD2">
            <w:pPr>
              <w:spacing w:line="240" w:lineRule="auto"/>
              <w:jc w:val="left"/>
              <w:rPr>
                <w:rFonts w:cs="Frankruhel"/>
                <w:sz w:val="24"/>
                <w:rtl/>
              </w:rPr>
            </w:pPr>
            <w:r>
              <w:rPr>
                <w:sz w:val="24"/>
                <w:rtl/>
              </w:rPr>
              <w:t xml:space="preserve">סעיף 4 </w:t>
            </w:r>
          </w:p>
        </w:tc>
        <w:tc>
          <w:tcPr>
            <w:tcW w:w="5669" w:type="dxa"/>
          </w:tcPr>
          <w:p w:rsidR="00120FD2" w:rsidRPr="00120FD2" w:rsidRDefault="00120FD2" w:rsidP="00120FD2">
            <w:pPr>
              <w:spacing w:line="240" w:lineRule="auto"/>
              <w:jc w:val="left"/>
              <w:rPr>
                <w:rFonts w:cs="Frankruhel"/>
                <w:sz w:val="24"/>
                <w:rtl/>
              </w:rPr>
            </w:pPr>
            <w:r>
              <w:rPr>
                <w:sz w:val="24"/>
                <w:rtl/>
              </w:rPr>
              <w:t>הוראת שעה</w:t>
            </w:r>
          </w:p>
        </w:tc>
        <w:tc>
          <w:tcPr>
            <w:tcW w:w="567" w:type="dxa"/>
          </w:tcPr>
          <w:p w:rsidR="00120FD2" w:rsidRPr="00120FD2" w:rsidRDefault="00120FD2" w:rsidP="00120FD2">
            <w:pPr>
              <w:spacing w:line="240" w:lineRule="auto"/>
              <w:jc w:val="left"/>
              <w:rPr>
                <w:rStyle w:val="Hyperlink"/>
                <w:rtl/>
              </w:rPr>
            </w:pPr>
            <w:hyperlink w:anchor="Seif3" w:tooltip="הוראת שעה" w:history="1">
              <w:r w:rsidRPr="00120FD2">
                <w:rPr>
                  <w:rStyle w:val="Hyperlink"/>
                </w:rPr>
                <w:t>Go</w:t>
              </w:r>
            </w:hyperlink>
          </w:p>
        </w:tc>
        <w:tc>
          <w:tcPr>
            <w:tcW w:w="850" w:type="dxa"/>
          </w:tcPr>
          <w:p w:rsidR="00120FD2" w:rsidRPr="00120FD2" w:rsidRDefault="00120FD2" w:rsidP="00120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0FD2" w:rsidRPr="00120FD2">
        <w:tblPrEx>
          <w:tblCellMar>
            <w:top w:w="0" w:type="dxa"/>
            <w:bottom w:w="0" w:type="dxa"/>
          </w:tblCellMar>
        </w:tblPrEx>
        <w:tc>
          <w:tcPr>
            <w:tcW w:w="1247" w:type="dxa"/>
          </w:tcPr>
          <w:p w:rsidR="00120FD2" w:rsidRPr="00120FD2" w:rsidRDefault="00120FD2" w:rsidP="00120FD2">
            <w:pPr>
              <w:spacing w:line="240" w:lineRule="auto"/>
              <w:jc w:val="left"/>
              <w:rPr>
                <w:rFonts w:cs="Frankruhel"/>
                <w:sz w:val="24"/>
                <w:rtl/>
              </w:rPr>
            </w:pPr>
          </w:p>
        </w:tc>
        <w:tc>
          <w:tcPr>
            <w:tcW w:w="5669" w:type="dxa"/>
          </w:tcPr>
          <w:p w:rsidR="00120FD2" w:rsidRPr="00120FD2" w:rsidRDefault="00120FD2" w:rsidP="00120FD2">
            <w:pPr>
              <w:spacing w:line="240" w:lineRule="auto"/>
              <w:jc w:val="left"/>
              <w:rPr>
                <w:rFonts w:cs="Frankruhel"/>
                <w:sz w:val="24"/>
                <w:rtl/>
              </w:rPr>
            </w:pPr>
            <w:r>
              <w:rPr>
                <w:sz w:val="24"/>
                <w:rtl/>
              </w:rPr>
              <w:t>תוספת</w:t>
            </w:r>
          </w:p>
        </w:tc>
        <w:tc>
          <w:tcPr>
            <w:tcW w:w="567" w:type="dxa"/>
          </w:tcPr>
          <w:p w:rsidR="00120FD2" w:rsidRPr="00120FD2" w:rsidRDefault="00120FD2" w:rsidP="00120FD2">
            <w:pPr>
              <w:spacing w:line="240" w:lineRule="auto"/>
              <w:jc w:val="left"/>
              <w:rPr>
                <w:rStyle w:val="Hyperlink"/>
                <w:rtl/>
              </w:rPr>
            </w:pPr>
            <w:hyperlink w:anchor="med0" w:tooltip="תוספת" w:history="1">
              <w:r w:rsidRPr="00120FD2">
                <w:rPr>
                  <w:rStyle w:val="Hyperlink"/>
                </w:rPr>
                <w:t>Go</w:t>
              </w:r>
            </w:hyperlink>
          </w:p>
        </w:tc>
        <w:tc>
          <w:tcPr>
            <w:tcW w:w="850" w:type="dxa"/>
          </w:tcPr>
          <w:p w:rsidR="00120FD2" w:rsidRPr="00120FD2" w:rsidRDefault="00120FD2" w:rsidP="00120F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B70C58">
      <w:pPr>
        <w:pStyle w:val="big-header"/>
        <w:ind w:left="0" w:right="1134"/>
        <w:rPr>
          <w:rFonts w:cs="FrankRuehl" w:hint="cs"/>
          <w:sz w:val="32"/>
          <w:rtl/>
        </w:rPr>
      </w:pPr>
      <w:r>
        <w:rPr>
          <w:rFonts w:cs="FrankRuehl"/>
          <w:sz w:val="32"/>
          <w:rtl/>
        </w:rPr>
        <w:br w:type="page"/>
      </w:r>
      <w:r w:rsidR="00B70C58">
        <w:rPr>
          <w:rFonts w:cs="FrankRuehl" w:hint="cs"/>
          <w:sz w:val="32"/>
          <w:rtl/>
        </w:rPr>
        <w:lastRenderedPageBreak/>
        <w:t>תקנות קידום התחרות בענף המזון (דיווח של ספקים גדולים ושל קמעונאים גדולים), תשע"ד-2014</w:t>
      </w:r>
      <w:r>
        <w:rPr>
          <w:rStyle w:val="default"/>
          <w:rtl/>
        </w:rPr>
        <w:footnoteReference w:customMarkFollows="1" w:id="1"/>
        <w:t>*</w:t>
      </w:r>
    </w:p>
    <w:p w:rsidR="00323BE4" w:rsidRDefault="00B70C58" w:rsidP="00B70C58">
      <w:pPr>
        <w:pStyle w:val="P00"/>
        <w:spacing w:before="72"/>
        <w:ind w:left="0" w:right="1134"/>
        <w:rPr>
          <w:rStyle w:val="default"/>
          <w:rFonts w:cs="FrankRuehl" w:hint="cs"/>
          <w:rtl/>
        </w:rPr>
      </w:pPr>
      <w:r>
        <w:rPr>
          <w:rStyle w:val="default"/>
          <w:rFonts w:cs="FrankRuehl" w:hint="cs"/>
          <w:rtl/>
        </w:rPr>
        <w:tab/>
        <w:t xml:space="preserve">בתוקף סמכותי לפי סעיפים 12, 21 ו-52 לחוק קידום התחרות בענף המזון, התשע"ד-2014 (להלן </w:t>
      </w:r>
      <w:r>
        <w:rPr>
          <w:rStyle w:val="default"/>
          <w:rFonts w:cs="FrankRuehl"/>
          <w:rtl/>
        </w:rPr>
        <w:t>–</w:t>
      </w:r>
      <w:r>
        <w:rPr>
          <w:rStyle w:val="default"/>
          <w:rFonts w:cs="FrankRuehl" w:hint="cs"/>
          <w:rtl/>
        </w:rPr>
        <w:t xml:space="preserve"> החוק), אני מתקין תקנות אלה:</w:t>
      </w:r>
    </w:p>
    <w:p w:rsidR="00323BE4" w:rsidRDefault="00323BE4">
      <w:pPr>
        <w:ind w:right="1134"/>
        <w:rPr>
          <w:vanish/>
          <w:sz w:val="20"/>
          <w:szCs w:val="20"/>
          <w:rtl/>
        </w:rPr>
      </w:pPr>
      <w:bookmarkStart w:id="0" w:name="Seif1"/>
      <w:bookmarkEnd w:id="0"/>
    </w:p>
    <w:p w:rsidR="00323BE4" w:rsidRDefault="00323BE4" w:rsidP="00B70C58">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1026" type="#_x0000_t202" style="position:absolute;left:0;text-align:left;margin-left:470.35pt;margin-top:7.1pt;width:1in;height:10.9pt;z-index:251656192" filled="f" stroked="f">
            <v:textbox style="mso-next-textbox:#_x0000_s1026" inset="1mm,0,1mm,0">
              <w:txbxContent>
                <w:p w:rsidR="00A475E3" w:rsidRDefault="00B70C58">
                  <w:pPr>
                    <w:spacing w:line="160" w:lineRule="exact"/>
                    <w:jc w:val="left"/>
                    <w:rPr>
                      <w:rFonts w:cs="Miriam" w:hint="cs"/>
                      <w:sz w:val="18"/>
                      <w:szCs w:val="18"/>
                      <w:rtl/>
                    </w:rPr>
                  </w:pPr>
                  <w:r>
                    <w:rPr>
                      <w:rFonts w:cs="Miriam" w:hint="cs"/>
                      <w:sz w:val="18"/>
                      <w:szCs w:val="18"/>
                      <w:rtl/>
                    </w:rPr>
                    <w:t>הגדרה</w:t>
                  </w:r>
                </w:p>
              </w:txbxContent>
            </v:textbox>
            <w10:anchorlock/>
          </v:shape>
        </w:pict>
      </w:r>
      <w:r>
        <w:rPr>
          <w:rStyle w:val="default"/>
          <w:rFonts w:cs="Miriam"/>
          <w:sz w:val="32"/>
          <w:szCs w:val="32"/>
          <w:rtl/>
        </w:rPr>
        <w:t>1</w:t>
      </w:r>
      <w:r>
        <w:rPr>
          <w:rStyle w:val="default"/>
          <w:rFonts w:cs="FrankRuehl"/>
          <w:rtl/>
        </w:rPr>
        <w:t>.</w:t>
      </w:r>
      <w:r>
        <w:rPr>
          <w:rStyle w:val="default"/>
          <w:rFonts w:cs="FrankRuehl"/>
          <w:rtl/>
        </w:rPr>
        <w:tab/>
      </w:r>
      <w:r w:rsidR="00B70C58">
        <w:rPr>
          <w:rStyle w:val="default"/>
          <w:rFonts w:cs="FrankRuehl" w:hint="cs"/>
          <w:rtl/>
        </w:rPr>
        <w:t xml:space="preserve">בתקנות אלה, "היום הקובע" </w:t>
      </w:r>
      <w:r w:rsidR="00B70C58">
        <w:rPr>
          <w:rStyle w:val="default"/>
          <w:rFonts w:cs="FrankRuehl"/>
          <w:rtl/>
        </w:rPr>
        <w:t>–</w:t>
      </w:r>
      <w:r w:rsidR="00B70C58">
        <w:rPr>
          <w:rStyle w:val="default"/>
          <w:rFonts w:cs="FrankRuehl" w:hint="cs"/>
          <w:rtl/>
        </w:rPr>
        <w:t xml:space="preserve"> 31 במרס של כל שנה</w:t>
      </w:r>
      <w:r w:rsidR="00601A96">
        <w:rPr>
          <w:rStyle w:val="default"/>
          <w:rFonts w:cs="FrankRuehl" w:hint="cs"/>
          <w:rtl/>
        </w:rPr>
        <w:t>.</w:t>
      </w:r>
    </w:p>
    <w:p w:rsidR="00323BE4" w:rsidRDefault="00323BE4" w:rsidP="00B70C58">
      <w:pPr>
        <w:pStyle w:val="P00"/>
        <w:spacing w:before="72"/>
        <w:ind w:left="0" w:right="1134"/>
        <w:rPr>
          <w:rStyle w:val="default"/>
          <w:rFonts w:cs="FrankRuehl" w:hint="cs"/>
          <w:rtl/>
        </w:rPr>
      </w:pPr>
      <w:bookmarkStart w:id="1" w:name="Seif4"/>
      <w:bookmarkEnd w:id="1"/>
      <w:r>
        <w:rPr>
          <w:lang w:val="he-IL"/>
        </w:rPr>
        <w:pict>
          <v:shape id="_x0000_s1027" type="#_x0000_t202" style="position:absolute;left:0;text-align:left;margin-left:470.35pt;margin-top:7.1pt;width:1in;height:21pt;z-index:251659264" filled="f" stroked="f">
            <v:textbox inset="1mm,0,1mm,0">
              <w:txbxContent>
                <w:p w:rsidR="00A475E3" w:rsidRPr="005D60B3" w:rsidRDefault="00B70C58" w:rsidP="005D60B3">
                  <w:pPr>
                    <w:spacing w:line="160" w:lineRule="exact"/>
                    <w:jc w:val="left"/>
                    <w:rPr>
                      <w:rFonts w:cs="Miriam" w:hint="cs"/>
                      <w:sz w:val="18"/>
                      <w:szCs w:val="18"/>
                      <w:rtl/>
                    </w:rPr>
                  </w:pPr>
                  <w:r>
                    <w:rPr>
                      <w:rFonts w:cs="Miriam" w:hint="cs"/>
                      <w:sz w:val="18"/>
                      <w:szCs w:val="18"/>
                      <w:rtl/>
                    </w:rPr>
                    <w:t>דוח או הצהרה של ספק גדול</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B70C58">
        <w:rPr>
          <w:rStyle w:val="default"/>
          <w:rFonts w:cs="FrankRuehl" w:hint="cs"/>
          <w:rtl/>
        </w:rPr>
        <w:t>(א)</w:t>
      </w:r>
      <w:r w:rsidR="00B70C58">
        <w:rPr>
          <w:rStyle w:val="default"/>
          <w:rFonts w:cs="FrankRuehl" w:hint="cs"/>
          <w:rtl/>
        </w:rPr>
        <w:tab/>
        <w:t>ספק גדול יגיש לממונה עד היום הקובע דוח על מחזור המכירות השנתי שלו כאמור בסעיף 12(א) לחוק לפי טופס 1 שבתוספת.</w:t>
      </w:r>
    </w:p>
    <w:p w:rsidR="00B70C58" w:rsidRDefault="00B70C58" w:rsidP="00B70C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גדול רשאי להגיש לממונה עד היום הקובע הצהרה כאמור בסעיף 12(א) לחוק לפי טופס 2 שבתוספת.</w:t>
      </w:r>
    </w:p>
    <w:p w:rsidR="00323BE4" w:rsidRDefault="00323BE4" w:rsidP="0026336A">
      <w:pPr>
        <w:pStyle w:val="P00"/>
        <w:spacing w:before="72"/>
        <w:ind w:left="0" w:right="1134"/>
        <w:rPr>
          <w:rStyle w:val="default"/>
          <w:rFonts w:cs="FrankRuehl" w:hint="cs"/>
          <w:rtl/>
        </w:rPr>
      </w:pPr>
      <w:bookmarkStart w:id="2" w:name="Seif2"/>
      <w:bookmarkEnd w:id="2"/>
      <w:r>
        <w:rPr>
          <w:lang w:val="he-IL"/>
        </w:rPr>
        <w:pict>
          <v:shape id="_x0000_s1028" type="#_x0000_t202" style="position:absolute;left:0;text-align:left;margin-left:470.35pt;margin-top:7.1pt;width:1in;height:18pt;z-index:251657216" filled="f" stroked="f">
            <v:textbox inset="1mm,0,1mm,0">
              <w:txbxContent>
                <w:p w:rsidR="00A475E3" w:rsidRDefault="00B70C58" w:rsidP="005D60B3">
                  <w:pPr>
                    <w:spacing w:line="160" w:lineRule="exact"/>
                    <w:jc w:val="left"/>
                    <w:rPr>
                      <w:rFonts w:cs="Miriam" w:hint="cs"/>
                      <w:sz w:val="18"/>
                      <w:szCs w:val="18"/>
                      <w:rtl/>
                    </w:rPr>
                  </w:pPr>
                  <w:r>
                    <w:rPr>
                      <w:rFonts w:cs="Miriam" w:hint="cs"/>
                      <w:sz w:val="18"/>
                      <w:szCs w:val="18"/>
                      <w:rtl/>
                    </w:rPr>
                    <w:t>דוח של קמעונאי גדול</w:t>
                  </w:r>
                </w:p>
              </w:txbxContent>
            </v:textbox>
          </v:shape>
        </w:pict>
      </w:r>
      <w:r>
        <w:rPr>
          <w:rStyle w:val="default"/>
          <w:rFonts w:cs="Miriam"/>
          <w:sz w:val="32"/>
          <w:szCs w:val="32"/>
          <w:rtl/>
        </w:rPr>
        <w:t>3</w:t>
      </w:r>
      <w:r>
        <w:rPr>
          <w:rStyle w:val="default"/>
          <w:rFonts w:cs="FrankRuehl"/>
          <w:rtl/>
        </w:rPr>
        <w:t>.</w:t>
      </w:r>
      <w:r>
        <w:rPr>
          <w:rStyle w:val="default"/>
          <w:rFonts w:cs="FrankRuehl"/>
          <w:rtl/>
        </w:rPr>
        <w:tab/>
      </w:r>
      <w:r w:rsidR="0026336A">
        <w:rPr>
          <w:rStyle w:val="default"/>
          <w:rFonts w:cs="FrankRuehl" w:hint="cs"/>
          <w:rtl/>
        </w:rPr>
        <w:t>קמעונאי גדול כהגדרתו בסעיף 2 לחוק וקמעונאי גדול כהגדרתו בסעיף 14 לחוק, יגישו לממונה עד היום הקובע דוח כאמור בסעיפים 2 ו-14 לחוק, לפי העניין, לפי טופס 3 שבתוספת</w:t>
      </w:r>
      <w:r w:rsidR="00D25F73">
        <w:rPr>
          <w:rStyle w:val="default"/>
          <w:rFonts w:cs="FrankRuehl" w:hint="cs"/>
          <w:rtl/>
        </w:rPr>
        <w:t>.</w:t>
      </w:r>
    </w:p>
    <w:p w:rsidR="00323BE4" w:rsidRDefault="00323BE4" w:rsidP="0026336A">
      <w:pPr>
        <w:pStyle w:val="P00"/>
        <w:spacing w:before="72"/>
        <w:ind w:left="0" w:right="1134"/>
        <w:rPr>
          <w:rStyle w:val="default"/>
          <w:rFonts w:cs="FrankRuehl" w:hint="cs"/>
          <w:rtl/>
        </w:rPr>
      </w:pPr>
      <w:bookmarkStart w:id="3" w:name="Seif3"/>
      <w:bookmarkEnd w:id="3"/>
      <w:r>
        <w:rPr>
          <w:lang w:val="he-IL"/>
        </w:rPr>
        <w:pict>
          <v:shape id="_x0000_s1029" type="#_x0000_t202" style="position:absolute;left:0;text-align:left;margin-left:470.35pt;margin-top:7.1pt;width:1in;height:15.55pt;z-index:251658240" filled="f" stroked="f">
            <v:textbox inset="1mm,0,1mm,0">
              <w:txbxContent>
                <w:p w:rsidR="00A475E3" w:rsidRDefault="0026336A">
                  <w:pPr>
                    <w:spacing w:line="160" w:lineRule="exact"/>
                    <w:jc w:val="left"/>
                    <w:rPr>
                      <w:rFonts w:cs="Miriam" w:hint="cs"/>
                      <w:sz w:val="18"/>
                      <w:szCs w:val="18"/>
                      <w:rtl/>
                    </w:rPr>
                  </w:pPr>
                  <w:r>
                    <w:rPr>
                      <w:rFonts w:cs="Miriam" w:hint="cs"/>
                      <w:sz w:val="18"/>
                      <w:szCs w:val="18"/>
                      <w:rtl/>
                    </w:rPr>
                    <w:t>הוראת שעה</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26336A">
        <w:rPr>
          <w:rStyle w:val="default"/>
          <w:rFonts w:cs="FrankRuehl" w:hint="cs"/>
          <w:rtl/>
        </w:rPr>
        <w:t>על אף האמור בתקנות אלה, דוחות והצהרה לפי התקנות שיש להגישן בשנת 2014, יוגשו לממונה בתוך 30 ימים מיום פרסומן של התקנות</w:t>
      </w:r>
      <w:r w:rsidR="00C76DA2">
        <w:rPr>
          <w:rStyle w:val="default"/>
          <w:rFonts w:cs="FrankRuehl" w:hint="cs"/>
          <w:rtl/>
        </w:rPr>
        <w:t>.</w:t>
      </w:r>
    </w:p>
    <w:p w:rsidR="00323BE4" w:rsidRDefault="00323BE4">
      <w:pPr>
        <w:pStyle w:val="P00"/>
        <w:spacing w:before="72"/>
        <w:ind w:left="0" w:right="1134"/>
        <w:rPr>
          <w:rStyle w:val="default"/>
          <w:rFonts w:cs="FrankRuehl" w:hint="cs"/>
          <w:rtl/>
        </w:rPr>
      </w:pPr>
    </w:p>
    <w:p w:rsidR="00B70C58" w:rsidRPr="0026336A" w:rsidRDefault="0026336A" w:rsidP="0026336A">
      <w:pPr>
        <w:pStyle w:val="medium2-header"/>
        <w:keepLines w:val="0"/>
        <w:spacing w:before="72"/>
        <w:ind w:left="0" w:right="1134"/>
        <w:rPr>
          <w:rFonts w:cs="FrankRuehl" w:hint="cs"/>
          <w:noProof/>
          <w:rtl/>
        </w:rPr>
      </w:pPr>
      <w:bookmarkStart w:id="4" w:name="med0"/>
      <w:bookmarkEnd w:id="4"/>
      <w:r w:rsidRPr="0026336A">
        <w:rPr>
          <w:rFonts w:cs="FrankRuehl" w:hint="cs"/>
          <w:noProof/>
          <w:rtl/>
        </w:rPr>
        <w:t>תוספת</w:t>
      </w:r>
    </w:p>
    <w:p w:rsidR="00B70C58" w:rsidRPr="0026336A" w:rsidRDefault="0026336A" w:rsidP="0026336A">
      <w:pPr>
        <w:pStyle w:val="P00"/>
        <w:spacing w:before="72"/>
        <w:ind w:left="0" w:right="1134"/>
        <w:jc w:val="center"/>
        <w:rPr>
          <w:rStyle w:val="default"/>
          <w:rFonts w:cs="FrankRuehl" w:hint="cs"/>
          <w:sz w:val="24"/>
          <w:szCs w:val="24"/>
          <w:rtl/>
        </w:rPr>
      </w:pPr>
      <w:r w:rsidRPr="0026336A">
        <w:rPr>
          <w:rStyle w:val="default"/>
          <w:rFonts w:cs="FrankRuehl" w:hint="cs"/>
          <w:sz w:val="24"/>
          <w:szCs w:val="24"/>
          <w:rtl/>
        </w:rPr>
        <w:t>(תקנה 2(א))</w: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9pt;height:178.5pt">
            <v:imagedata r:id="rId6"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lastRenderedPageBreak/>
        <w:pict>
          <v:shape id="_x0000_i1026" type="#_x0000_t75" style="width:381.6pt;height:255.9pt">
            <v:imagedata r:id="rId7"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 id="_x0000_i1027" type="#_x0000_t75" style="width:381.6pt;height:158.7pt">
            <v:imagedata r:id="rId8"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 id="_x0000_i1028" type="#_x0000_t75" style="width:381.6pt;height:155.7pt">
            <v:imagedata r:id="rId9" o:title=""/>
          </v:shape>
        </w:pict>
      </w:r>
    </w:p>
    <w:p w:rsidR="00B70C58" w:rsidRDefault="00B70C58">
      <w:pPr>
        <w:pStyle w:val="P00"/>
        <w:spacing w:before="72"/>
        <w:ind w:left="0" w:right="1134"/>
        <w:rPr>
          <w:rStyle w:val="default"/>
          <w:rFonts w:cs="FrankRuehl" w:hint="cs"/>
          <w:rtl/>
        </w:rPr>
      </w:pPr>
    </w:p>
    <w:p w:rsidR="00B70C58" w:rsidRDefault="0026336A">
      <w:pPr>
        <w:pStyle w:val="P00"/>
        <w:spacing w:before="72"/>
        <w:ind w:left="0" w:right="1134"/>
        <w:rPr>
          <w:rStyle w:val="default"/>
          <w:rFonts w:cs="FrankRuehl" w:hint="cs"/>
          <w:szCs w:val="20"/>
          <w:rtl/>
        </w:rPr>
      </w:pPr>
      <w:r w:rsidRPr="00B70C58">
        <w:rPr>
          <w:rStyle w:val="default"/>
          <w:rFonts w:cs="FrankRuehl"/>
        </w:rPr>
        <w:pict>
          <v:shape id="_x0000_i1029" type="#_x0000_t75" style="width:381.6pt;height:174pt">
            <v:imagedata r:id="rId10"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 id="_x0000_i1030" type="#_x0000_t75" style="width:381.9pt;height:328.5pt">
            <v:imagedata r:id="rId11" o:title=""/>
          </v:shape>
        </w:pict>
      </w:r>
    </w:p>
    <w:p w:rsidR="00B70C58" w:rsidRDefault="00B70C58">
      <w:pPr>
        <w:pStyle w:val="P00"/>
        <w:spacing w:before="72"/>
        <w:ind w:left="0" w:right="1134"/>
        <w:rPr>
          <w:rStyle w:val="default"/>
          <w:rFonts w:cs="FrankRuehl" w:hint="cs"/>
          <w:rtl/>
        </w:rPr>
      </w:pPr>
    </w:p>
    <w:p w:rsidR="00B70C58" w:rsidRDefault="0026336A">
      <w:pPr>
        <w:pStyle w:val="P00"/>
        <w:spacing w:before="72"/>
        <w:ind w:left="0" w:right="1134"/>
        <w:rPr>
          <w:rStyle w:val="default"/>
          <w:rFonts w:cs="FrankRuehl" w:hint="cs"/>
          <w:szCs w:val="20"/>
          <w:rtl/>
        </w:rPr>
      </w:pPr>
      <w:r w:rsidRPr="00B70C58">
        <w:rPr>
          <w:rStyle w:val="default"/>
          <w:rFonts w:cs="FrankRuehl"/>
        </w:rPr>
        <w:pict>
          <v:shape id="_x0000_i1031" type="#_x0000_t75" style="width:381.3pt;height:192.3pt">
            <v:imagedata r:id="rId12"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 id="_x0000_i1032" type="#_x0000_t75" style="width:381.6pt;height:276.9pt">
            <v:imagedata r:id="rId13"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 id="_x0000_i1033" type="#_x0000_t75" style="width:378.6pt;height:652.2pt">
            <v:imagedata r:id="rId14" o:title=""/>
          </v:shape>
        </w:pict>
      </w:r>
    </w:p>
    <w:p w:rsidR="00B70C58" w:rsidRDefault="0026336A">
      <w:pPr>
        <w:pStyle w:val="P00"/>
        <w:spacing w:before="72"/>
        <w:ind w:left="0" w:right="1134"/>
        <w:rPr>
          <w:rStyle w:val="default"/>
          <w:rFonts w:cs="FrankRuehl" w:hint="cs"/>
          <w:szCs w:val="20"/>
          <w:rtl/>
        </w:rPr>
      </w:pPr>
      <w:r w:rsidRPr="00B70C58">
        <w:rPr>
          <w:rStyle w:val="default"/>
          <w:rFonts w:cs="FrankRuehl"/>
          <w:szCs w:val="20"/>
        </w:rPr>
        <w:pict>
          <v:shape id="_x0000_i1034" type="#_x0000_t75" style="width:195.3pt;height:586.5pt">
            <v:imagedata r:id="rId15" o:title=""/>
          </v:shape>
        </w:pict>
      </w:r>
    </w:p>
    <w:p w:rsidR="00B70C58" w:rsidRDefault="00B70C58">
      <w:pPr>
        <w:pStyle w:val="P00"/>
        <w:spacing w:before="72"/>
        <w:ind w:left="0" w:right="1134"/>
        <w:rPr>
          <w:rStyle w:val="default"/>
          <w:rFonts w:cs="FrankRuehl" w:hint="cs"/>
          <w:rtl/>
        </w:rPr>
      </w:pPr>
    </w:p>
    <w:p w:rsidR="00B70C58" w:rsidRPr="0026336A" w:rsidRDefault="0026336A">
      <w:pPr>
        <w:pStyle w:val="P00"/>
        <w:spacing w:before="72"/>
        <w:ind w:left="0" w:right="1134"/>
        <w:rPr>
          <w:rStyle w:val="default"/>
          <w:rFonts w:cs="FrankRuehl" w:hint="cs"/>
          <w:b/>
          <w:bCs/>
          <w:sz w:val="22"/>
          <w:szCs w:val="22"/>
          <w:rtl/>
        </w:rPr>
      </w:pPr>
      <w:r w:rsidRPr="0026336A">
        <w:rPr>
          <w:rStyle w:val="default"/>
          <w:rFonts w:cs="FrankRuehl" w:hint="cs"/>
          <w:b/>
          <w:bCs/>
          <w:sz w:val="22"/>
          <w:szCs w:val="22"/>
          <w:rtl/>
        </w:rPr>
        <w:t>נספח הגדרות</w:t>
      </w:r>
    </w:p>
    <w:p w:rsidR="0026336A" w:rsidRDefault="0026336A">
      <w:pPr>
        <w:pStyle w:val="P00"/>
        <w:spacing w:before="72"/>
        <w:ind w:left="0" w:right="1134"/>
        <w:rPr>
          <w:rStyle w:val="default"/>
          <w:rFonts w:cs="FrankRuehl" w:hint="cs"/>
          <w:rtl/>
        </w:rPr>
      </w:pPr>
      <w:r>
        <w:rPr>
          <w:rStyle w:val="default"/>
          <w:rFonts w:cs="FrankRuehl" w:hint="cs"/>
          <w:rtl/>
        </w:rPr>
        <w:t>לשם הנוחות, מצורפות הגדרות רלוונטיות מחוק המזון.</w:t>
      </w:r>
    </w:p>
    <w:p w:rsidR="0026336A" w:rsidRDefault="0026336A">
      <w:pPr>
        <w:pStyle w:val="P00"/>
        <w:spacing w:before="72"/>
        <w:ind w:left="0" w:right="1134"/>
        <w:rPr>
          <w:rStyle w:val="default"/>
          <w:rFonts w:cs="FrankRuehl" w:hint="cs"/>
          <w:rtl/>
        </w:rPr>
      </w:pPr>
      <w:r>
        <w:rPr>
          <w:rStyle w:val="default"/>
          <w:rFonts w:cs="FrankRuehl" w:hint="cs"/>
          <w:rtl/>
        </w:rPr>
        <w:t>הנוסח התקף הוא הנוסח של החוק, כפי שפורסם ברשומות.</w:t>
      </w:r>
    </w:p>
    <w:p w:rsidR="0026336A" w:rsidRDefault="0026336A">
      <w:pPr>
        <w:pStyle w:val="P00"/>
        <w:spacing w:before="72"/>
        <w:ind w:left="0" w:right="1134"/>
        <w:rPr>
          <w:rStyle w:val="default"/>
          <w:rFonts w:cs="FrankRuehl" w:hint="cs"/>
          <w:rtl/>
        </w:rPr>
      </w:pPr>
      <w:r>
        <w:rPr>
          <w:rStyle w:val="default"/>
          <w:rFonts w:cs="FrankRuehl" w:hint="cs"/>
          <w:rtl/>
        </w:rPr>
        <w:tab/>
        <w:t xml:space="preserve">"אדם קשור", לתאגיד </w:t>
      </w:r>
      <w:r>
        <w:rPr>
          <w:rStyle w:val="default"/>
          <w:rFonts w:cs="FrankRuehl"/>
          <w:rtl/>
        </w:rPr>
        <w:t>–</w:t>
      </w:r>
      <w:r>
        <w:rPr>
          <w:rStyle w:val="default"/>
          <w:rFonts w:cs="FrankRuehl" w:hint="cs"/>
          <w:rtl/>
        </w:rPr>
        <w:t xml:space="preserve"> כל אחד מאלה:</w:t>
      </w:r>
    </w:p>
    <w:p w:rsidR="0026336A" w:rsidRDefault="0026336A" w:rsidP="002633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השולט בתאגיד;</w:t>
      </w:r>
    </w:p>
    <w:p w:rsidR="0026336A" w:rsidRDefault="0026336A" w:rsidP="002633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הנשלט בידי אדם כאמור בפסקה (1);</w:t>
      </w:r>
    </w:p>
    <w:p w:rsidR="0026336A" w:rsidRDefault="0026336A" w:rsidP="0026336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הנשלט בידי מי מהאמורים בפסקאות (1) ו-(2);</w:t>
      </w:r>
    </w:p>
    <w:p w:rsidR="0026336A" w:rsidRDefault="0026336A">
      <w:pPr>
        <w:pStyle w:val="P00"/>
        <w:spacing w:before="72"/>
        <w:ind w:left="0" w:right="1134"/>
        <w:rPr>
          <w:rStyle w:val="default"/>
          <w:rFonts w:cs="FrankRuehl" w:hint="cs"/>
          <w:rtl/>
        </w:rPr>
      </w:pPr>
      <w:r>
        <w:rPr>
          <w:rStyle w:val="default"/>
          <w:rFonts w:cs="FrankRuehl" w:hint="cs"/>
          <w:rtl/>
        </w:rPr>
        <w:tab/>
        <w:t xml:space="preserve">"חנות" </w:t>
      </w:r>
      <w:r>
        <w:rPr>
          <w:rStyle w:val="default"/>
          <w:rFonts w:cs="FrankRuehl"/>
          <w:rtl/>
        </w:rPr>
        <w:t>–</w:t>
      </w:r>
      <w:r>
        <w:rPr>
          <w:rStyle w:val="default"/>
          <w:rFonts w:cs="FrankRuehl" w:hint="cs"/>
          <w:rtl/>
        </w:rPr>
        <w:t xml:space="preserve"> מקום לממכר קמעונאי של מזון ומוצרי צריכה, לרבות חנות מקוונת, ובלבד שמתקיימים לגביו כל התנאים המפורטים להלן, ויראו לעניין זה כמה נקודות מכירה כחנות אחת אם קמעונאי מחזיק בהן במתחם אחד:</w:t>
      </w:r>
    </w:p>
    <w:p w:rsidR="00035FA6" w:rsidRDefault="00035FA6" w:rsidP="001C0F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C0F3A">
        <w:rPr>
          <w:rStyle w:val="default"/>
          <w:rFonts w:cs="FrankRuehl" w:hint="cs"/>
          <w:rtl/>
        </w:rPr>
        <w:t>כל אלה נמכרים בו דרך קבע: ירקות ופירות טריים, חלב ומוצריו, ומוצרי ניקיון;</w:t>
      </w:r>
    </w:p>
    <w:p w:rsidR="001C0F3A" w:rsidRDefault="001C0F3A" w:rsidP="001C0F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יותר ממחצית ממחזור המכירות בו הוא ממכירת מזון;</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"חנות גדולה" </w:t>
      </w:r>
      <w:r>
        <w:rPr>
          <w:rStyle w:val="default"/>
          <w:rFonts w:cs="FrankRuehl"/>
          <w:rtl/>
        </w:rPr>
        <w:t>–</w:t>
      </w:r>
      <w:r>
        <w:rPr>
          <w:rStyle w:val="default"/>
          <w:rFonts w:cs="FrankRuehl" w:hint="cs"/>
          <w:rtl/>
        </w:rPr>
        <w:t xml:space="preserve"> חנות ששטח המכירה שלה הוא לפחות 250 מ"ר, למעט חנות מקוונת;</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"מחזור מכירות" </w:t>
      </w:r>
      <w:r>
        <w:rPr>
          <w:rStyle w:val="default"/>
          <w:rFonts w:cs="FrankRuehl"/>
          <w:rtl/>
        </w:rPr>
        <w:t>–</w:t>
      </w:r>
      <w:r>
        <w:rPr>
          <w:rStyle w:val="default"/>
          <w:rFonts w:cs="FrankRuehl" w:hint="cs"/>
          <w:rtl/>
        </w:rPr>
        <w:t xml:space="preserve"> ערך מכירות לפי דוחות כספיים מבוקרים, בלא מס ערך מוסף ובלא מס קנייה, ולעניין חברה שיש לה חברות-אם או חברות-בת </w:t>
      </w:r>
      <w:r>
        <w:rPr>
          <w:rStyle w:val="default"/>
          <w:rFonts w:cs="FrankRuehl"/>
          <w:rtl/>
        </w:rPr>
        <w:t>–</w:t>
      </w:r>
      <w:r>
        <w:rPr>
          <w:rStyle w:val="default"/>
          <w:rFonts w:cs="FrankRuehl" w:hint="cs"/>
          <w:rtl/>
        </w:rPr>
        <w:t xml:space="preserve"> לפי הדוחות הכספיים המאוחדים; לעניין זה </w:t>
      </w:r>
      <w:r>
        <w:rPr>
          <w:rStyle w:val="default"/>
          <w:rFonts w:cs="FrankRuehl"/>
          <w:rtl/>
        </w:rPr>
        <w:t>–</w:t>
      </w:r>
    </w:p>
    <w:p w:rsidR="001C0F3A" w:rsidRDefault="001C0F3A" w:rsidP="001C0F3A">
      <w:pPr>
        <w:pStyle w:val="P00"/>
        <w:spacing w:before="72"/>
        <w:ind w:left="1021" w:right="1134"/>
        <w:rPr>
          <w:rStyle w:val="default"/>
          <w:rFonts w:cs="FrankRuehl" w:hint="cs"/>
          <w:rtl/>
        </w:rPr>
      </w:pPr>
      <w:r>
        <w:rPr>
          <w:rStyle w:val="default"/>
          <w:rFonts w:cs="FrankRuehl" w:hint="cs"/>
          <w:rtl/>
        </w:rPr>
        <w:t xml:space="preserve">"חברה-אם" </w:t>
      </w:r>
      <w:r>
        <w:rPr>
          <w:rStyle w:val="default"/>
          <w:rFonts w:cs="FrankRuehl"/>
          <w:rtl/>
        </w:rPr>
        <w:t>–</w:t>
      </w:r>
      <w:r>
        <w:rPr>
          <w:rStyle w:val="default"/>
          <w:rFonts w:cs="FrankRuehl" w:hint="cs"/>
          <w:rtl/>
        </w:rPr>
        <w:t xml:space="preserve"> חברה השולטת בחברה אחרת;</w:t>
      </w:r>
    </w:p>
    <w:p w:rsidR="001C0F3A" w:rsidRDefault="001C0F3A" w:rsidP="001C0F3A">
      <w:pPr>
        <w:pStyle w:val="P00"/>
        <w:spacing w:before="72"/>
        <w:ind w:left="1021" w:right="1134"/>
        <w:rPr>
          <w:rStyle w:val="default"/>
          <w:rFonts w:cs="FrankRuehl" w:hint="cs"/>
          <w:rtl/>
        </w:rPr>
      </w:pPr>
      <w:r>
        <w:rPr>
          <w:rStyle w:val="default"/>
          <w:rFonts w:cs="FrankRuehl" w:hint="cs"/>
          <w:rtl/>
        </w:rPr>
        <w:t xml:space="preserve">"חברה-בת" </w:t>
      </w:r>
      <w:r>
        <w:rPr>
          <w:rStyle w:val="default"/>
          <w:rFonts w:cs="FrankRuehl"/>
          <w:rtl/>
        </w:rPr>
        <w:t>–</w:t>
      </w:r>
      <w:r>
        <w:rPr>
          <w:rStyle w:val="default"/>
          <w:rFonts w:cs="FrankRuehl" w:hint="cs"/>
          <w:rtl/>
        </w:rPr>
        <w:t xml:space="preserve"> חברה שחברה אחרת שולטת בה;</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"מצרך" </w:t>
      </w:r>
      <w:r>
        <w:rPr>
          <w:rStyle w:val="default"/>
          <w:rFonts w:cs="FrankRuehl"/>
          <w:rtl/>
        </w:rPr>
        <w:t>–</w:t>
      </w:r>
      <w:r>
        <w:rPr>
          <w:rStyle w:val="default"/>
          <w:rFonts w:cs="FrankRuehl" w:hint="cs"/>
          <w:rtl/>
        </w:rPr>
        <w:t xml:space="preserve"> מזון וכל מוצר אחר הנמכר בחנות, למעט מוצרי חשמל, מוצרי טקסטיל, ציוד משרדי, כלי בית, ספרים ועיתונים;</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"מצרך מותג פרטי" </w:t>
      </w:r>
      <w:r>
        <w:rPr>
          <w:rStyle w:val="default"/>
          <w:rFonts w:cs="FrankRuehl"/>
          <w:rtl/>
        </w:rPr>
        <w:t>–</w:t>
      </w:r>
      <w:r>
        <w:rPr>
          <w:rStyle w:val="default"/>
          <w:rFonts w:cs="FrankRuehl" w:hint="cs"/>
          <w:rtl/>
        </w:rPr>
        <w:t xml:space="preserve"> מצרך הנושא שם מסחרי, סימן מסחר, סמל, כיתוב מיוחד, עיצוב גרפי או סימנים ייחודיים אחרים שניתן לזהותו עם קמעונאי גדול או קמעונאים גדולים;</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מי שמספק לקמעונאי, או באמצעות קמעונאי, במישרין או באמצעות מפיץ, מצרכים, ובכלל זה מצרכי מותג פרטי, לרבות מפיץ של מצרכים כאמור, וכן כל אדם קשור לאלה;</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"ספק גדול" </w:t>
      </w:r>
      <w:r>
        <w:rPr>
          <w:rStyle w:val="default"/>
          <w:rFonts w:cs="FrankRuehl"/>
          <w:rtl/>
        </w:rPr>
        <w:t>–</w:t>
      </w:r>
      <w:r>
        <w:rPr>
          <w:rStyle w:val="default"/>
          <w:rFonts w:cs="FrankRuehl" w:hint="cs"/>
          <w:rtl/>
        </w:rPr>
        <w:t xml:space="preserve"> ספק שמחזור המכירות שלו לקמעונאים, או באמצעות קמעונאים, בישראל, בשנת הכספים הקודמת, עלה על 300 מיליון שקלים חדשים, או ספק שהוא בעל מונופולין כמשמעותו בסעיף 26 לחוק ההגבלים העסקיים, לגבי מצרך מסוים שבשלו הוכרז מונופולין;</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"ספק גדול מאוד" </w:t>
      </w:r>
      <w:r>
        <w:rPr>
          <w:rStyle w:val="default"/>
          <w:rFonts w:cs="FrankRuehl"/>
          <w:rtl/>
        </w:rPr>
        <w:t>–</w:t>
      </w:r>
      <w:r>
        <w:rPr>
          <w:rStyle w:val="default"/>
          <w:rFonts w:cs="FrankRuehl" w:hint="cs"/>
          <w:rtl/>
        </w:rPr>
        <w:t xml:space="preserve"> ספק שמחזור המכירות שלו לקמעונאים, או באמצעות קמעונאים, בישראל, בשנת הכספים הקודמת, עלה על מיליארד שקלים חדשים;</w:t>
      </w:r>
    </w:p>
    <w:p w:rsidR="001C0F3A" w:rsidRDefault="001C0F3A" w:rsidP="001C0F3A">
      <w:pPr>
        <w:pStyle w:val="P00"/>
        <w:spacing w:before="72"/>
        <w:ind w:left="0" w:right="1134"/>
        <w:rPr>
          <w:rStyle w:val="default"/>
          <w:rFonts w:cs="FrankRuehl" w:hint="cs"/>
          <w:rtl/>
        </w:rPr>
      </w:pPr>
      <w:r>
        <w:rPr>
          <w:rStyle w:val="default"/>
          <w:rFonts w:cs="FrankRuehl" w:hint="cs"/>
          <w:rtl/>
        </w:rPr>
        <w:tab/>
        <w:t xml:space="preserve">"קמעונאי" </w:t>
      </w:r>
      <w:r w:rsidR="00323334">
        <w:rPr>
          <w:rStyle w:val="default"/>
          <w:rFonts w:cs="FrankRuehl"/>
          <w:rtl/>
        </w:rPr>
        <w:t>–</w:t>
      </w:r>
      <w:r>
        <w:rPr>
          <w:rStyle w:val="default"/>
          <w:rFonts w:cs="FrankRuehl" w:hint="cs"/>
          <w:rtl/>
        </w:rPr>
        <w:t xml:space="preserve"> </w:t>
      </w:r>
      <w:r w:rsidR="00323334">
        <w:rPr>
          <w:rStyle w:val="default"/>
          <w:rFonts w:cs="FrankRuehl" w:hint="cs"/>
          <w:rtl/>
        </w:rPr>
        <w:t>אדם המחזיק בחנות, וכן כל אדם קשור אליו;</w:t>
      </w:r>
    </w:p>
    <w:p w:rsidR="00323334" w:rsidRDefault="00323334" w:rsidP="001C0F3A">
      <w:pPr>
        <w:pStyle w:val="P00"/>
        <w:spacing w:before="72"/>
        <w:ind w:left="0" w:right="1134"/>
        <w:rPr>
          <w:rStyle w:val="default"/>
          <w:rFonts w:cs="FrankRuehl" w:hint="cs"/>
          <w:rtl/>
        </w:rPr>
      </w:pPr>
      <w:r>
        <w:rPr>
          <w:rStyle w:val="default"/>
          <w:rFonts w:cs="FrankRuehl" w:hint="cs"/>
          <w:rtl/>
        </w:rPr>
        <w:tab/>
        <w:t xml:space="preserve">"קמעונאי גדול" </w:t>
      </w:r>
      <w:r>
        <w:rPr>
          <w:rStyle w:val="default"/>
          <w:rFonts w:cs="FrankRuehl"/>
          <w:rtl/>
        </w:rPr>
        <w:t>–</w:t>
      </w:r>
    </w:p>
    <w:p w:rsidR="00323334" w:rsidRDefault="00323334" w:rsidP="001C0F3A">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לפי סע' 2 לחוק המזון:</w:t>
      </w:r>
    </w:p>
    <w:p w:rsidR="00323334" w:rsidRDefault="00323334" w:rsidP="00323334">
      <w:pPr>
        <w:pStyle w:val="P00"/>
        <w:spacing w:before="72"/>
        <w:ind w:left="1021" w:right="1134"/>
        <w:rPr>
          <w:rStyle w:val="default"/>
          <w:rFonts w:cs="FrankRuehl" w:hint="cs"/>
          <w:rtl/>
        </w:rPr>
      </w:pPr>
      <w:r>
        <w:rPr>
          <w:rStyle w:val="default"/>
          <w:rFonts w:cs="FrankRuehl" w:hint="cs"/>
          <w:rtl/>
        </w:rPr>
        <w:t>כל אחד מאלה:</w:t>
      </w:r>
    </w:p>
    <w:p w:rsidR="00323334" w:rsidRDefault="00323334" w:rsidP="003233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קמעונאי המחזיק בשלוש חנויות לפחות שמחזור המכירות הכולל של חנויותיו, בשנת הכספים הקודמת, עולה על 250 מיליון שקלים חדשים; לעניין זה, "מחזור מכירות" </w:t>
      </w:r>
      <w:r>
        <w:rPr>
          <w:rStyle w:val="default"/>
          <w:rFonts w:cs="FrankRuehl"/>
          <w:rtl/>
        </w:rPr>
        <w:t>–</w:t>
      </w:r>
      <w:r>
        <w:rPr>
          <w:rStyle w:val="default"/>
          <w:rFonts w:cs="FrankRuehl" w:hint="cs"/>
          <w:rtl/>
        </w:rPr>
        <w:t xml:space="preserve"> לרבות מחזור המכירות של מצרכים שספק מכר בחנות של הקמעונאי;</w:t>
      </w:r>
    </w:p>
    <w:p w:rsidR="00323334" w:rsidRDefault="00323334" w:rsidP="003233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קמעונאי המחזיק בחנות מקוונת שמחזור המכירות הכולל שלו בישראל מהחנות המקוונת, ואם הוא מחזיק גם בחנות שאינה מקוונת, אחת או יותר </w:t>
      </w:r>
      <w:r>
        <w:rPr>
          <w:rStyle w:val="default"/>
          <w:rFonts w:cs="FrankRuehl"/>
          <w:rtl/>
        </w:rPr>
        <w:t>–</w:t>
      </w:r>
      <w:r>
        <w:rPr>
          <w:rStyle w:val="default"/>
          <w:rFonts w:cs="FrankRuehl" w:hint="cs"/>
          <w:rtl/>
        </w:rPr>
        <w:t xml:space="preserve"> יחד עם הכנסותיו ממנה וממצרכים שספק מכר בחנות של הקמעונאי, בשנת הכספים הקודמת, עולה על 250 מיליון שקלים חדשים;</w:t>
      </w:r>
    </w:p>
    <w:p w:rsidR="00323334" w:rsidRDefault="00323334" w:rsidP="001C0F3A">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 xml:space="preserve">לפי סע' 14 לחוק המזון </w:t>
      </w:r>
      <w:r>
        <w:rPr>
          <w:rStyle w:val="default"/>
          <w:rFonts w:cs="FrankRuehl"/>
          <w:rtl/>
        </w:rPr>
        <w:t>–</w:t>
      </w:r>
    </w:p>
    <w:p w:rsidR="00323334" w:rsidRDefault="00323334" w:rsidP="00323334">
      <w:pPr>
        <w:pStyle w:val="P00"/>
        <w:spacing w:before="72"/>
        <w:ind w:left="1021" w:right="1134"/>
        <w:rPr>
          <w:rStyle w:val="default"/>
          <w:rFonts w:cs="FrankRuehl" w:hint="cs"/>
          <w:rtl/>
        </w:rPr>
      </w:pPr>
      <w:r>
        <w:rPr>
          <w:rStyle w:val="default"/>
          <w:rFonts w:cs="FrankRuehl" w:hint="cs"/>
          <w:rtl/>
        </w:rPr>
        <w:t>כל אחד מאלה:</w:t>
      </w:r>
    </w:p>
    <w:p w:rsidR="00323334" w:rsidRDefault="00323334" w:rsidP="003233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קמעונאי גדול כהגדרתו בסעיף 2;</w:t>
      </w:r>
    </w:p>
    <w:p w:rsidR="00323334" w:rsidRDefault="00323334" w:rsidP="003233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קמעונאי המחזיק בחנות גדולה אחת לפחות שמחזור המכירות שלה, בשנת הכספים הקודמת, עלה על 100 מיליון שקלים חדשים וכל אדם קשור אליו; לעניין זה, "מחזור מכירות" </w:t>
      </w:r>
      <w:r>
        <w:rPr>
          <w:rStyle w:val="default"/>
          <w:rFonts w:cs="FrankRuehl"/>
          <w:rtl/>
        </w:rPr>
        <w:t>–</w:t>
      </w:r>
      <w:r>
        <w:rPr>
          <w:rStyle w:val="default"/>
          <w:rFonts w:cs="FrankRuehl" w:hint="cs"/>
          <w:rtl/>
        </w:rPr>
        <w:t xml:space="preserve"> לרבות מחזור המכירות של מצרכים שספק מכר בחנות גדולה של קמעונאי כאמור;</w:t>
      </w:r>
    </w:p>
    <w:p w:rsidR="00323334" w:rsidRDefault="00323334" w:rsidP="001C0F3A">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היכולת לכוון, במישרין או בעקיפין, פעילותו של תאגיד; בלי לגרוע מכלליות האמור, חזקה על אדם שהוא בעל שליטה בתאגיד </w:t>
      </w:r>
      <w:r>
        <w:rPr>
          <w:rStyle w:val="default"/>
          <w:rFonts w:cs="FrankRuehl"/>
          <w:rtl/>
        </w:rPr>
        <w:t>–</w:t>
      </w:r>
    </w:p>
    <w:p w:rsidR="00323334" w:rsidRDefault="00323334" w:rsidP="00E165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הוא מחזיק ביותר ממחצית הזכות להצביע באסיפה הכללית של חברה או באורגן מקביל לאסיפה כללית של תאגיד אחר, או מהזכות למנות דירקטורים בחברה או מהזכות למנות בעלי תפקידים דומים בתאגיד שאינו חברה;</w:t>
      </w:r>
    </w:p>
    <w:p w:rsidR="00323334" w:rsidRDefault="00323334" w:rsidP="00E165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הוא מחזיק בזכות למנות בתאגיד מנהל כללי;</w:t>
      </w:r>
    </w:p>
    <w:p w:rsidR="00323334" w:rsidRDefault="00323334" w:rsidP="00E165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הוא מחזיק ביותר משלושים אחוזים מזכות בתאגיד, ואין אדם אחר המחזיק יותר ממחצית מאותה זכות;</w:t>
      </w:r>
    </w:p>
    <w:p w:rsidR="00323334" w:rsidRDefault="00323334" w:rsidP="00E165F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הוא מחזיק ביכולת למנוע קבלת החלטה עסקית מהותית בתאגיד, זולת אם יכולת זו נובעת מהסכם בדבר הלוואה שנתן תאגיד בנקאי במהלך עסקיו הרגילים, או אם היא ניתנה לצורך הגנת מיעוט מקובלת בתאגיד; </w:t>
      </w:r>
      <w:r w:rsidR="00E165FE">
        <w:rPr>
          <w:rStyle w:val="default"/>
          <w:rFonts w:cs="FrankRuehl" w:hint="cs"/>
          <w:rtl/>
        </w:rPr>
        <w:t>וכן חזקה על אדם הנהנה בנאמנות שהוא בעל שליטה בנכסיה, למעט אם הוא מחזיק ביחידה בקרן נאמנות שחל עליה חוק השקעות משותפות בנאמנות, התשנ"ד-1994.</w:t>
      </w:r>
    </w:p>
    <w:p w:rsidR="00B70C58" w:rsidRDefault="00B70C58">
      <w:pPr>
        <w:pStyle w:val="P00"/>
        <w:spacing w:before="72"/>
        <w:ind w:left="0" w:right="1134"/>
        <w:rPr>
          <w:rStyle w:val="default"/>
          <w:rFonts w:cs="FrankRuehl" w:hint="cs"/>
          <w:rtl/>
        </w:rPr>
      </w:pPr>
    </w:p>
    <w:p w:rsidR="00323BE4" w:rsidRDefault="00323BE4">
      <w:pPr>
        <w:pStyle w:val="P00"/>
        <w:spacing w:before="72"/>
        <w:ind w:left="0" w:right="1134"/>
        <w:rPr>
          <w:rStyle w:val="default"/>
          <w:rFonts w:cs="FrankRuehl" w:hint="cs"/>
          <w:rtl/>
        </w:rPr>
      </w:pPr>
    </w:p>
    <w:p w:rsidR="00323BE4" w:rsidRDefault="00E165FE" w:rsidP="00E165F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ח' בניסן התשע"ד (8 באפריל 2014)</w:t>
      </w:r>
      <w:r w:rsidR="00323BE4">
        <w:rPr>
          <w:rStyle w:val="default"/>
          <w:rFonts w:cs="FrankRuehl" w:hint="cs"/>
          <w:rtl/>
        </w:rPr>
        <w:tab/>
      </w:r>
      <w:r w:rsidR="00587DF2">
        <w:rPr>
          <w:rStyle w:val="default"/>
          <w:rFonts w:cs="FrankRuehl" w:hint="cs"/>
          <w:rtl/>
        </w:rPr>
        <w:t>נפתלי בנט</w:t>
      </w:r>
    </w:p>
    <w:p w:rsidR="00323BE4" w:rsidRDefault="00323BE4" w:rsidP="00E165F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 xml:space="preserve">שר </w:t>
      </w:r>
      <w:r w:rsidR="00587DF2">
        <w:rPr>
          <w:rStyle w:val="default"/>
          <w:rFonts w:cs="FrankRuehl" w:hint="cs"/>
          <w:sz w:val="22"/>
          <w:szCs w:val="22"/>
          <w:rtl/>
        </w:rPr>
        <w:t>הכלכלה</w:t>
      </w:r>
    </w:p>
    <w:p w:rsidR="00323BE4" w:rsidRDefault="00323BE4">
      <w:pPr>
        <w:pStyle w:val="P00"/>
        <w:spacing w:before="72"/>
        <w:ind w:left="0" w:right="1134"/>
        <w:rPr>
          <w:rStyle w:val="default"/>
          <w:rFonts w:cs="FrankRuehl" w:hint="cs"/>
          <w:rtl/>
        </w:rPr>
      </w:pPr>
    </w:p>
    <w:p w:rsidR="00087C66" w:rsidRDefault="00087C66">
      <w:pPr>
        <w:pStyle w:val="P00"/>
        <w:spacing w:before="72"/>
        <w:ind w:left="0" w:right="1134"/>
        <w:rPr>
          <w:rStyle w:val="default"/>
          <w:rFonts w:cs="FrankRuehl"/>
          <w:rtl/>
        </w:rPr>
      </w:pPr>
    </w:p>
    <w:p w:rsidR="004D24BD" w:rsidRDefault="004D24BD">
      <w:pPr>
        <w:pStyle w:val="P00"/>
        <w:spacing w:before="72"/>
        <w:ind w:left="0" w:right="1134"/>
        <w:rPr>
          <w:rStyle w:val="default"/>
          <w:rFonts w:cs="FrankRuehl"/>
          <w:rtl/>
        </w:rPr>
      </w:pPr>
    </w:p>
    <w:p w:rsidR="004D24BD" w:rsidRDefault="004D24BD">
      <w:pPr>
        <w:pStyle w:val="P00"/>
        <w:spacing w:before="72"/>
        <w:ind w:left="0" w:right="1134"/>
        <w:rPr>
          <w:rStyle w:val="default"/>
          <w:rFonts w:cs="FrankRuehl"/>
          <w:rtl/>
        </w:rPr>
      </w:pPr>
    </w:p>
    <w:p w:rsidR="004D24BD" w:rsidRDefault="004D24BD" w:rsidP="004D24BD">
      <w:pPr>
        <w:pStyle w:val="P00"/>
        <w:spacing w:before="72"/>
        <w:ind w:left="0" w:right="1134"/>
        <w:jc w:val="center"/>
        <w:rPr>
          <w:rStyle w:val="default"/>
          <w:rFonts w:cs="David"/>
          <w:color w:val="0000FF"/>
          <w:szCs w:val="24"/>
          <w:u w:val="single"/>
          <w:rtl/>
        </w:rPr>
      </w:pPr>
      <w:hyperlink r:id="rId16" w:history="1">
        <w:r>
          <w:rPr>
            <w:rStyle w:val="Hyperlink"/>
            <w:noProof w:val="0"/>
            <w:sz w:val="22"/>
            <w:szCs w:val="24"/>
            <w:rtl/>
          </w:rPr>
          <w:t>הודעה למנויים על עריכה ושינויים במסמכי פסיקה, חקיקה ועוד באתר נבו - הקש כאן</w:t>
        </w:r>
      </w:hyperlink>
    </w:p>
    <w:p w:rsidR="00120FD2" w:rsidRDefault="00120FD2" w:rsidP="004D24BD">
      <w:pPr>
        <w:pStyle w:val="P00"/>
        <w:spacing w:before="72"/>
        <w:ind w:left="0" w:right="1134"/>
        <w:jc w:val="center"/>
        <w:rPr>
          <w:rStyle w:val="default"/>
          <w:rFonts w:cs="David"/>
          <w:color w:val="0000FF"/>
          <w:szCs w:val="24"/>
          <w:u w:val="single"/>
          <w:rtl/>
        </w:rPr>
      </w:pPr>
    </w:p>
    <w:p w:rsidR="00120FD2" w:rsidRDefault="00120FD2" w:rsidP="004D24BD">
      <w:pPr>
        <w:pStyle w:val="P00"/>
        <w:spacing w:before="72"/>
        <w:ind w:left="0" w:right="1134"/>
        <w:jc w:val="center"/>
        <w:rPr>
          <w:rStyle w:val="default"/>
          <w:rFonts w:cs="David"/>
          <w:color w:val="0000FF"/>
          <w:szCs w:val="24"/>
          <w:u w:val="single"/>
          <w:rtl/>
        </w:rPr>
      </w:pPr>
    </w:p>
    <w:p w:rsidR="00120FD2" w:rsidRDefault="00120FD2" w:rsidP="00120FD2">
      <w:pPr>
        <w:pStyle w:val="P00"/>
        <w:spacing w:before="72"/>
        <w:ind w:left="0" w:right="1134"/>
        <w:jc w:val="center"/>
        <w:rPr>
          <w:rStyle w:val="default"/>
          <w:rFonts w:cs="David"/>
          <w:color w:val="0000FF"/>
          <w:szCs w:val="24"/>
          <w:u w:val="single"/>
          <w:rtl/>
        </w:rPr>
      </w:pPr>
      <w:hyperlink r:id="rId17" w:history="1">
        <w:r>
          <w:rPr>
            <w:rStyle w:val="Hyperlink"/>
            <w:noProof w:val="0"/>
            <w:sz w:val="22"/>
            <w:szCs w:val="24"/>
            <w:rtl/>
          </w:rPr>
          <w:t>הודעה למנויים על עריכה ושינויים במסמכי פסיקה, חקיקה ועוד באתר נבו - הקש כאן</w:t>
        </w:r>
      </w:hyperlink>
    </w:p>
    <w:p w:rsidR="00087C66" w:rsidRPr="00120FD2" w:rsidRDefault="00087C66" w:rsidP="00120FD2">
      <w:pPr>
        <w:pStyle w:val="P00"/>
        <w:spacing w:before="72"/>
        <w:ind w:left="0" w:right="1134"/>
        <w:jc w:val="center"/>
        <w:rPr>
          <w:rStyle w:val="default"/>
          <w:rFonts w:cs="David"/>
          <w:color w:val="0000FF"/>
          <w:szCs w:val="24"/>
          <w:u w:val="single"/>
          <w:rtl/>
        </w:rPr>
      </w:pPr>
    </w:p>
    <w:sectPr w:rsidR="00087C66" w:rsidRPr="00120FD2">
      <w:headerReference w:type="default" r:id="rId18"/>
      <w:footerReference w:type="default" r:id="rId19"/>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7127" w:rsidRDefault="008F7127">
      <w:r>
        <w:separator/>
      </w:r>
    </w:p>
  </w:endnote>
  <w:endnote w:type="continuationSeparator" w:id="0">
    <w:p w:rsidR="008F7127" w:rsidRDefault="008F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5E3" w:rsidRDefault="00A475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120FD2">
      <w:rPr>
        <w:rFonts w:hAnsi="FrankRuehl" w:cs="FrankRuehl"/>
        <w:noProof/>
        <w:sz w:val="24"/>
        <w:szCs w:val="24"/>
        <w:rtl/>
      </w:rPr>
      <w:t>8</w:t>
    </w:r>
    <w:r>
      <w:rPr>
        <w:rFonts w:hAnsi="FrankRuehl" w:cs="FrankRuehl"/>
        <w:sz w:val="24"/>
        <w:szCs w:val="24"/>
        <w:rtl/>
      </w:rPr>
      <w:fldChar w:fldCharType="end"/>
    </w:r>
  </w:p>
  <w:p w:rsidR="00A475E3" w:rsidRDefault="00A475E3">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A475E3" w:rsidRDefault="00A475E3">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sidR="00120FD2">
      <w:rPr>
        <w:rFonts w:ascii="TopType Jerushalmi" w:hAnsi="TopType Jerushalmi" w:cs="TopType Jerushalmi"/>
        <w:noProof/>
        <w:color w:val="000000"/>
        <w:sz w:val="14"/>
        <w:szCs w:val="14"/>
      </w:rPr>
      <w:t>Z:\000-law\yael\2014\2014-09-07\Laws For Table Run\Laws For Table Run\501_023.doc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7127" w:rsidRDefault="008F7127">
      <w:pPr>
        <w:spacing w:before="60" w:line="240" w:lineRule="auto"/>
        <w:ind w:right="1134"/>
      </w:pPr>
      <w:r>
        <w:separator/>
      </w:r>
    </w:p>
  </w:footnote>
  <w:footnote w:type="continuationSeparator" w:id="0">
    <w:p w:rsidR="008F7127" w:rsidRDefault="008F7127">
      <w:r>
        <w:separator/>
      </w:r>
    </w:p>
  </w:footnote>
  <w:footnote w:id="1">
    <w:p w:rsidR="00047857" w:rsidRDefault="00A475E3" w:rsidP="000478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ורס</w:t>
      </w:r>
      <w:r w:rsidR="00B70C58">
        <w:rPr>
          <w:rFonts w:cs="FrankRuehl" w:hint="cs"/>
          <w:rtl/>
        </w:rPr>
        <w:t>מו</w:t>
      </w:r>
      <w:r>
        <w:rPr>
          <w:rFonts w:cs="FrankRuehl" w:hint="cs"/>
          <w:rtl/>
        </w:rPr>
        <w:t xml:space="preserve"> </w:t>
      </w:r>
      <w:hyperlink r:id="rId1" w:history="1">
        <w:r w:rsidR="00B70C58" w:rsidRPr="00047857">
          <w:rPr>
            <w:rStyle w:val="Hyperlink"/>
            <w:rFonts w:cs="FrankRuehl" w:hint="cs"/>
            <w:rtl/>
          </w:rPr>
          <w:t>ק"ת</w:t>
        </w:r>
        <w:r w:rsidRPr="00047857">
          <w:rPr>
            <w:rStyle w:val="Hyperlink"/>
            <w:rFonts w:cs="FrankRuehl" w:hint="cs"/>
            <w:rtl/>
          </w:rPr>
          <w:t xml:space="preserve"> תשע"ד מס' </w:t>
        </w:r>
        <w:r w:rsidR="00B70C58" w:rsidRPr="00047857">
          <w:rPr>
            <w:rStyle w:val="Hyperlink"/>
            <w:rFonts w:cs="FrankRuehl" w:hint="cs"/>
            <w:rtl/>
          </w:rPr>
          <w:t>7369</w:t>
        </w:r>
      </w:hyperlink>
      <w:r>
        <w:rPr>
          <w:rFonts w:cs="FrankRuehl" w:hint="cs"/>
          <w:rtl/>
        </w:rPr>
        <w:t xml:space="preserve"> מיום </w:t>
      </w:r>
      <w:r w:rsidR="00B70C58">
        <w:rPr>
          <w:rFonts w:cs="FrankRuehl" w:hint="cs"/>
          <w:rtl/>
        </w:rPr>
        <w:t>10.4</w:t>
      </w:r>
      <w:r>
        <w:rPr>
          <w:rFonts w:cs="FrankRuehl" w:hint="cs"/>
          <w:rtl/>
        </w:rPr>
        <w:t xml:space="preserve">.2014 עמ' </w:t>
      </w:r>
      <w:r w:rsidR="00B70C58">
        <w:rPr>
          <w:rFonts w:cs="FrankRuehl" w:hint="cs"/>
          <w:rtl/>
        </w:rPr>
        <w:t>1068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5E3" w:rsidRDefault="00B70C58" w:rsidP="004E7F5B">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תקנות</w:t>
    </w:r>
    <w:r w:rsidR="00A475E3">
      <w:rPr>
        <w:rFonts w:hAnsi="FrankRuehl" w:cs="FrankRuehl" w:hint="cs"/>
        <w:color w:val="000000"/>
        <w:sz w:val="28"/>
        <w:szCs w:val="28"/>
        <w:rtl/>
      </w:rPr>
      <w:t xml:space="preserve"> קידום התחרות בענף המזון</w:t>
    </w:r>
    <w:r>
      <w:rPr>
        <w:rFonts w:hAnsi="FrankRuehl" w:cs="FrankRuehl" w:hint="cs"/>
        <w:color w:val="000000"/>
        <w:sz w:val="28"/>
        <w:szCs w:val="28"/>
        <w:rtl/>
      </w:rPr>
      <w:t xml:space="preserve"> (דיווח של ספקים גדולים ושל קמעונאים גדולים)</w:t>
    </w:r>
    <w:r w:rsidR="00A475E3">
      <w:rPr>
        <w:rFonts w:hAnsi="FrankRuehl" w:cs="FrankRuehl" w:hint="cs"/>
        <w:color w:val="000000"/>
        <w:sz w:val="28"/>
        <w:szCs w:val="28"/>
        <w:rtl/>
      </w:rPr>
      <w:t>, תשע"ד-2014</w:t>
    </w:r>
  </w:p>
  <w:p w:rsidR="00A475E3" w:rsidRDefault="00A475E3">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rsidR="00A475E3" w:rsidRDefault="00A475E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1633F"/>
    <w:rsid w:val="00035FA6"/>
    <w:rsid w:val="00047857"/>
    <w:rsid w:val="00087C66"/>
    <w:rsid w:val="00092D59"/>
    <w:rsid w:val="000A291A"/>
    <w:rsid w:val="000A3C35"/>
    <w:rsid w:val="000B56D9"/>
    <w:rsid w:val="000D60AC"/>
    <w:rsid w:val="00120FD2"/>
    <w:rsid w:val="00132CF0"/>
    <w:rsid w:val="001612EB"/>
    <w:rsid w:val="00186B34"/>
    <w:rsid w:val="00187CAE"/>
    <w:rsid w:val="00195FC2"/>
    <w:rsid w:val="001C0F3A"/>
    <w:rsid w:val="001E273E"/>
    <w:rsid w:val="001F1533"/>
    <w:rsid w:val="001F38B6"/>
    <w:rsid w:val="0021742E"/>
    <w:rsid w:val="00226691"/>
    <w:rsid w:val="00260939"/>
    <w:rsid w:val="0026336A"/>
    <w:rsid w:val="002728A9"/>
    <w:rsid w:val="002A7ED4"/>
    <w:rsid w:val="002D26C4"/>
    <w:rsid w:val="002F1733"/>
    <w:rsid w:val="002F7E6A"/>
    <w:rsid w:val="00301A97"/>
    <w:rsid w:val="00323334"/>
    <w:rsid w:val="00323BE4"/>
    <w:rsid w:val="003B1ECE"/>
    <w:rsid w:val="003B5A10"/>
    <w:rsid w:val="003D775B"/>
    <w:rsid w:val="003E65EF"/>
    <w:rsid w:val="00404A12"/>
    <w:rsid w:val="00421017"/>
    <w:rsid w:val="00481FAA"/>
    <w:rsid w:val="004D24BD"/>
    <w:rsid w:val="004D7AD4"/>
    <w:rsid w:val="004E7F5B"/>
    <w:rsid w:val="00512B5F"/>
    <w:rsid w:val="00531087"/>
    <w:rsid w:val="00534DEC"/>
    <w:rsid w:val="00563ECD"/>
    <w:rsid w:val="005726FD"/>
    <w:rsid w:val="00573628"/>
    <w:rsid w:val="00587DF2"/>
    <w:rsid w:val="005B0A76"/>
    <w:rsid w:val="005D60B3"/>
    <w:rsid w:val="005E37C4"/>
    <w:rsid w:val="005E52A5"/>
    <w:rsid w:val="005E76A5"/>
    <w:rsid w:val="00601A96"/>
    <w:rsid w:val="00627DF2"/>
    <w:rsid w:val="00654B4C"/>
    <w:rsid w:val="0066160E"/>
    <w:rsid w:val="00662FA6"/>
    <w:rsid w:val="006A60FC"/>
    <w:rsid w:val="006E7916"/>
    <w:rsid w:val="00705F53"/>
    <w:rsid w:val="0072087F"/>
    <w:rsid w:val="00724C23"/>
    <w:rsid w:val="00734C63"/>
    <w:rsid w:val="00771266"/>
    <w:rsid w:val="00805BA4"/>
    <w:rsid w:val="00827FBE"/>
    <w:rsid w:val="00836F6E"/>
    <w:rsid w:val="00837C4E"/>
    <w:rsid w:val="00847596"/>
    <w:rsid w:val="008C642A"/>
    <w:rsid w:val="008E75E8"/>
    <w:rsid w:val="008E7604"/>
    <w:rsid w:val="008F7040"/>
    <w:rsid w:val="008F7127"/>
    <w:rsid w:val="0095457F"/>
    <w:rsid w:val="00964FC5"/>
    <w:rsid w:val="009701F7"/>
    <w:rsid w:val="00987EA3"/>
    <w:rsid w:val="009B39EF"/>
    <w:rsid w:val="009C70E9"/>
    <w:rsid w:val="009F4161"/>
    <w:rsid w:val="00A07D3B"/>
    <w:rsid w:val="00A475E3"/>
    <w:rsid w:val="00A84C21"/>
    <w:rsid w:val="00A92A17"/>
    <w:rsid w:val="00AA0963"/>
    <w:rsid w:val="00AA3FFF"/>
    <w:rsid w:val="00AB6B17"/>
    <w:rsid w:val="00B02599"/>
    <w:rsid w:val="00B17794"/>
    <w:rsid w:val="00B70C58"/>
    <w:rsid w:val="00BB4873"/>
    <w:rsid w:val="00C008AA"/>
    <w:rsid w:val="00C67E02"/>
    <w:rsid w:val="00C76DA2"/>
    <w:rsid w:val="00CA49FF"/>
    <w:rsid w:val="00CA6458"/>
    <w:rsid w:val="00CC20DC"/>
    <w:rsid w:val="00CD158C"/>
    <w:rsid w:val="00CF2067"/>
    <w:rsid w:val="00D01EC1"/>
    <w:rsid w:val="00D25F73"/>
    <w:rsid w:val="00DD1319"/>
    <w:rsid w:val="00DE5720"/>
    <w:rsid w:val="00E165FE"/>
    <w:rsid w:val="00E522AC"/>
    <w:rsid w:val="00E7270B"/>
    <w:rsid w:val="00E75F9B"/>
    <w:rsid w:val="00E82EC3"/>
    <w:rsid w:val="00E87534"/>
    <w:rsid w:val="00EC11CC"/>
    <w:rsid w:val="00ED30A5"/>
    <w:rsid w:val="00F00DEB"/>
    <w:rsid w:val="00F41680"/>
    <w:rsid w:val="00F50761"/>
    <w:rsid w:val="00F909AF"/>
    <w:rsid w:val="00FA259D"/>
    <w:rsid w:val="00FD5B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D8624DD-F59F-465F-B73E-E15F2C82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basedOn w:val="a0"/>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5052</CharactersWithSpaces>
  <SharedDoc>false</SharedDoc>
  <HLinks>
    <vt:vector size="48" baseType="variant">
      <vt:variant>
        <vt:i4>393283</vt:i4>
      </vt:variant>
      <vt:variant>
        <vt:i4>33</vt:i4>
      </vt:variant>
      <vt:variant>
        <vt:i4>0</vt:i4>
      </vt:variant>
      <vt:variant>
        <vt:i4>5</vt:i4>
      </vt:variant>
      <vt:variant>
        <vt:lpwstr>http://www.nevo.co.il/advertisements/nevo-100.doc</vt:lpwstr>
      </vt:variant>
      <vt:variant>
        <vt:lpwstr/>
      </vt: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7864322</vt:i4>
      </vt:variant>
      <vt:variant>
        <vt:i4>0</vt:i4>
      </vt:variant>
      <vt:variant>
        <vt:i4>0</vt:i4>
      </vt:variant>
      <vt:variant>
        <vt:i4>5</vt:i4>
      </vt:variant>
      <vt:variant>
        <vt:lpwstr>http://www.nevo.co.il/law_word/law06/tak-7369.pdf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תקנות קידום התחרות בענף המזון (דיווח של ספקים גדולים ושל קמעונאים גדולים), תשע"ד-2014</vt:lpwstr>
  </property>
  <property fmtid="{D5CDD505-2E9C-101B-9397-08002B2CF9AE}" pid="3" name="LAWNUMBER">
    <vt:lpwstr>0023</vt:lpwstr>
  </property>
  <property fmtid="{D5CDD505-2E9C-101B-9397-08002B2CF9AE}" pid="4" name="CHNUMBER">
    <vt:lpwstr>0501</vt:lpwstr>
  </property>
  <property fmtid="{D5CDD505-2E9C-101B-9397-08002B2CF9AE}" pid="5" name="TYPE">
    <vt:lpwstr>01</vt:lpwstr>
  </property>
  <property fmtid="{D5CDD505-2E9C-101B-9397-08002B2CF9AE}" pid="6" name="CHNAME">
    <vt:lpwstr>הגנת הצרכן</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מסחר </vt:lpwstr>
  </property>
  <property fmtid="{D5CDD505-2E9C-101B-9397-08002B2CF9AE}" pid="20" name="NOSE31">
    <vt:lpwstr>הגנת הצרכן</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MEKOR_NAME1">
    <vt:lpwstr>חוק קידום התחרות בענף המזון</vt:lpwstr>
  </property>
  <property fmtid="{D5CDD505-2E9C-101B-9397-08002B2CF9AE}" pid="63" name="MEKOR_SAIF1">
    <vt:lpwstr>12X;21X;52X</vt:lpwstr>
  </property>
  <property fmtid="{D5CDD505-2E9C-101B-9397-08002B2CF9AE}" pid="64" name="LINKK1">
    <vt:lpwstr>http://www.nevo.co.il/law_word/law06/tak-7369.pdf;‎רשומות - תקנות כלליות#פורסמו ק"ת תשע"ד מס' ‏‏7369 #מיום 10.4.2014 עמ' 1068‏</vt:lpwstr>
  </property>
</Properties>
</file>