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EA1" w:rsidRDefault="007B1EA1">
      <w:pPr>
        <w:pStyle w:val="big-header"/>
        <w:ind w:left="0" w:right="1134"/>
        <w:rPr>
          <w:rFonts w:hint="cs"/>
          <w:rtl/>
        </w:rPr>
      </w:pPr>
      <w:r>
        <w:rPr>
          <w:rFonts w:hint="cs"/>
          <w:rtl/>
        </w:rPr>
        <w:t>תקנות רואי חשבון (ניגוד ענינים ופגיעה באי תלות כתוצאה מעיסוק אחר) (הוראת שעה), תשס"ג-2003</w:t>
      </w:r>
    </w:p>
    <w:p w:rsidR="007B1EA1" w:rsidRDefault="007B1EA1">
      <w:pPr>
        <w:pStyle w:val="big-header"/>
        <w:ind w:left="0" w:right="1134"/>
        <w:rPr>
          <w:color w:val="008000"/>
        </w:rPr>
      </w:pPr>
      <w:r>
        <w:rPr>
          <w:rFonts w:hint="cs"/>
          <w:color w:val="008000"/>
          <w:rtl/>
        </w:rPr>
        <w:t>רבדים בחקיקה</w:t>
      </w:r>
    </w:p>
    <w:p w:rsidR="00A01980" w:rsidRDefault="00A01980" w:rsidP="00A01980">
      <w:pPr>
        <w:spacing w:line="320" w:lineRule="auto"/>
        <w:jc w:val="left"/>
        <w:rPr>
          <w:rtl/>
        </w:rPr>
      </w:pPr>
    </w:p>
    <w:p w:rsidR="00A01980" w:rsidRDefault="00A01980" w:rsidP="00A01980">
      <w:pPr>
        <w:spacing w:line="320" w:lineRule="auto"/>
        <w:jc w:val="left"/>
        <w:rPr>
          <w:rFonts w:cs="FrankRuehl"/>
          <w:szCs w:val="26"/>
          <w:rtl/>
        </w:rPr>
      </w:pPr>
      <w:r w:rsidRPr="00A01980">
        <w:rPr>
          <w:rFonts w:cs="Miriam"/>
          <w:szCs w:val="22"/>
          <w:rtl/>
        </w:rPr>
        <w:t>משפט פרטי וכלכלה</w:t>
      </w:r>
      <w:r w:rsidRPr="00A01980">
        <w:rPr>
          <w:rFonts w:cs="FrankRuehl"/>
          <w:szCs w:val="26"/>
          <w:rtl/>
        </w:rPr>
        <w:t xml:space="preserve"> – הסדרת עיסוק – רואי חשבון</w:t>
      </w:r>
    </w:p>
    <w:p w:rsidR="00A01980" w:rsidRPr="00A01980" w:rsidRDefault="00A01980" w:rsidP="00A01980">
      <w:pPr>
        <w:spacing w:line="320" w:lineRule="auto"/>
        <w:jc w:val="left"/>
        <w:rPr>
          <w:rFonts w:cs="Miriam"/>
          <w:szCs w:val="22"/>
          <w:rtl/>
        </w:rPr>
      </w:pPr>
      <w:r w:rsidRPr="00A01980">
        <w:rPr>
          <w:rFonts w:cs="Miriam"/>
          <w:szCs w:val="22"/>
          <w:rtl/>
        </w:rPr>
        <w:t>רשויות ומשפט מנהלי</w:t>
      </w:r>
      <w:r w:rsidRPr="00A01980">
        <w:rPr>
          <w:rFonts w:cs="FrankRuehl"/>
          <w:szCs w:val="26"/>
          <w:rtl/>
        </w:rPr>
        <w:t xml:space="preserve"> – הסדרת עיסוק – רואי חשבון</w:t>
      </w:r>
    </w:p>
    <w:p w:rsidR="007B1EA1" w:rsidRDefault="007B1EA1">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B1EA1">
        <w:tblPrEx>
          <w:tblCellMar>
            <w:top w:w="0" w:type="dxa"/>
            <w:bottom w:w="0" w:type="dxa"/>
          </w:tblCellMar>
        </w:tblPrEx>
        <w:trPr>
          <w:jc w:val="right"/>
        </w:trPr>
        <w:tc>
          <w:tcPr>
            <w:tcW w:w="850" w:type="dxa"/>
          </w:tcPr>
          <w:p w:rsidR="007B1EA1" w:rsidRDefault="007B1EA1">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B1EA1" w:rsidRDefault="007B1EA1">
            <w:pPr>
              <w:spacing w:line="240" w:lineRule="auto"/>
              <w:jc w:val="left"/>
              <w:rPr>
                <w:sz w:val="24"/>
              </w:rPr>
            </w:pPr>
            <w:hyperlink w:anchor="Seif0" w:tooltip="הגדרות" w:history="1">
              <w:r>
                <w:rPr>
                  <w:rStyle w:val="Hyperlink"/>
                </w:rPr>
                <w:t>Go</w:t>
              </w:r>
            </w:hyperlink>
          </w:p>
        </w:tc>
        <w:tc>
          <w:tcPr>
            <w:tcW w:w="5669" w:type="dxa"/>
          </w:tcPr>
          <w:p w:rsidR="007B1EA1" w:rsidRDefault="007B1EA1">
            <w:pPr>
              <w:spacing w:line="240" w:lineRule="auto"/>
              <w:jc w:val="left"/>
              <w:rPr>
                <w:sz w:val="24"/>
                <w:rtl/>
              </w:rPr>
            </w:pPr>
            <w:r>
              <w:rPr>
                <w:sz w:val="24"/>
                <w:rtl/>
              </w:rPr>
              <w:t>הגדרות</w:t>
            </w:r>
          </w:p>
        </w:tc>
        <w:tc>
          <w:tcPr>
            <w:tcW w:w="1247" w:type="dxa"/>
          </w:tcPr>
          <w:p w:rsidR="007B1EA1" w:rsidRDefault="007B1EA1">
            <w:pPr>
              <w:spacing w:line="240" w:lineRule="auto"/>
              <w:jc w:val="left"/>
              <w:rPr>
                <w:sz w:val="24"/>
              </w:rPr>
            </w:pPr>
            <w:r>
              <w:rPr>
                <w:sz w:val="24"/>
                <w:rtl/>
              </w:rPr>
              <w:t xml:space="preserve">סעיף 1 </w:t>
            </w:r>
          </w:p>
        </w:tc>
      </w:tr>
      <w:tr w:rsidR="007B1EA1">
        <w:tblPrEx>
          <w:tblCellMar>
            <w:top w:w="0" w:type="dxa"/>
            <w:bottom w:w="0" w:type="dxa"/>
          </w:tblCellMar>
        </w:tblPrEx>
        <w:trPr>
          <w:jc w:val="right"/>
        </w:trPr>
        <w:tc>
          <w:tcPr>
            <w:tcW w:w="850" w:type="dxa"/>
          </w:tcPr>
          <w:p w:rsidR="007B1EA1" w:rsidRDefault="007B1EA1">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B1EA1" w:rsidRDefault="007B1EA1">
            <w:pPr>
              <w:spacing w:line="240" w:lineRule="auto"/>
              <w:jc w:val="left"/>
              <w:rPr>
                <w:sz w:val="24"/>
              </w:rPr>
            </w:pPr>
            <w:hyperlink w:anchor="Seif1" w:tooltip="נסיבות של ניגוד ענינים אפשרי או פגיעה באי תלות" w:history="1">
              <w:r>
                <w:rPr>
                  <w:rStyle w:val="Hyperlink"/>
                </w:rPr>
                <w:t>Go</w:t>
              </w:r>
            </w:hyperlink>
          </w:p>
        </w:tc>
        <w:tc>
          <w:tcPr>
            <w:tcW w:w="5669" w:type="dxa"/>
          </w:tcPr>
          <w:p w:rsidR="007B1EA1" w:rsidRDefault="007B1EA1">
            <w:pPr>
              <w:spacing w:line="240" w:lineRule="auto"/>
              <w:jc w:val="left"/>
              <w:rPr>
                <w:sz w:val="24"/>
                <w:rtl/>
              </w:rPr>
            </w:pPr>
            <w:r>
              <w:rPr>
                <w:sz w:val="24"/>
                <w:rtl/>
              </w:rPr>
              <w:t>נסיבות של ניגוד ענינים אפשרי או פגיעה באי תלות</w:t>
            </w:r>
          </w:p>
        </w:tc>
        <w:tc>
          <w:tcPr>
            <w:tcW w:w="1247" w:type="dxa"/>
          </w:tcPr>
          <w:p w:rsidR="007B1EA1" w:rsidRDefault="007B1EA1">
            <w:pPr>
              <w:spacing w:line="240" w:lineRule="auto"/>
              <w:jc w:val="left"/>
              <w:rPr>
                <w:sz w:val="24"/>
              </w:rPr>
            </w:pPr>
            <w:r>
              <w:rPr>
                <w:sz w:val="24"/>
                <w:rtl/>
              </w:rPr>
              <w:t xml:space="preserve">סעיף 2 </w:t>
            </w:r>
          </w:p>
        </w:tc>
      </w:tr>
      <w:tr w:rsidR="007B1EA1">
        <w:tblPrEx>
          <w:tblCellMar>
            <w:top w:w="0" w:type="dxa"/>
            <w:bottom w:w="0" w:type="dxa"/>
          </w:tblCellMar>
        </w:tblPrEx>
        <w:trPr>
          <w:jc w:val="right"/>
        </w:trPr>
        <w:tc>
          <w:tcPr>
            <w:tcW w:w="850" w:type="dxa"/>
          </w:tcPr>
          <w:p w:rsidR="007B1EA1" w:rsidRDefault="007B1EA1">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7B1EA1" w:rsidRDefault="007B1EA1">
            <w:pPr>
              <w:spacing w:line="240" w:lineRule="auto"/>
              <w:jc w:val="left"/>
              <w:rPr>
                <w:sz w:val="24"/>
              </w:rPr>
            </w:pPr>
            <w:hyperlink w:anchor="Seif2" w:tooltip="עיסוקים מיוחדים" w:history="1">
              <w:r>
                <w:rPr>
                  <w:rStyle w:val="Hyperlink"/>
                </w:rPr>
                <w:t>Go</w:t>
              </w:r>
            </w:hyperlink>
          </w:p>
        </w:tc>
        <w:tc>
          <w:tcPr>
            <w:tcW w:w="5669" w:type="dxa"/>
          </w:tcPr>
          <w:p w:rsidR="007B1EA1" w:rsidRDefault="007B1EA1">
            <w:pPr>
              <w:spacing w:line="240" w:lineRule="auto"/>
              <w:jc w:val="left"/>
              <w:rPr>
                <w:sz w:val="24"/>
                <w:rtl/>
              </w:rPr>
            </w:pPr>
            <w:r>
              <w:rPr>
                <w:sz w:val="24"/>
                <w:rtl/>
              </w:rPr>
              <w:t>עיסוקים מיוחדים</w:t>
            </w:r>
          </w:p>
        </w:tc>
        <w:tc>
          <w:tcPr>
            <w:tcW w:w="1247" w:type="dxa"/>
          </w:tcPr>
          <w:p w:rsidR="007B1EA1" w:rsidRDefault="007B1EA1">
            <w:pPr>
              <w:spacing w:line="240" w:lineRule="auto"/>
              <w:jc w:val="left"/>
              <w:rPr>
                <w:sz w:val="24"/>
              </w:rPr>
            </w:pPr>
            <w:r>
              <w:rPr>
                <w:sz w:val="24"/>
                <w:rtl/>
              </w:rPr>
              <w:t xml:space="preserve">סעיף 3 </w:t>
            </w:r>
          </w:p>
        </w:tc>
      </w:tr>
      <w:tr w:rsidR="007B1EA1">
        <w:tblPrEx>
          <w:tblCellMar>
            <w:top w:w="0" w:type="dxa"/>
            <w:bottom w:w="0" w:type="dxa"/>
          </w:tblCellMar>
        </w:tblPrEx>
        <w:trPr>
          <w:jc w:val="right"/>
        </w:trPr>
        <w:tc>
          <w:tcPr>
            <w:tcW w:w="850" w:type="dxa"/>
          </w:tcPr>
          <w:p w:rsidR="007B1EA1" w:rsidRDefault="007B1EA1">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7B1EA1" w:rsidRDefault="007B1EA1">
            <w:pPr>
              <w:spacing w:line="240" w:lineRule="auto"/>
              <w:jc w:val="left"/>
              <w:rPr>
                <w:sz w:val="24"/>
              </w:rPr>
            </w:pPr>
            <w:hyperlink w:anchor="Seif3" w:tooltip="נסיבות המצריכות גילוי" w:history="1">
              <w:r>
                <w:rPr>
                  <w:rStyle w:val="Hyperlink"/>
                </w:rPr>
                <w:t>Go</w:t>
              </w:r>
            </w:hyperlink>
          </w:p>
        </w:tc>
        <w:tc>
          <w:tcPr>
            <w:tcW w:w="5669" w:type="dxa"/>
          </w:tcPr>
          <w:p w:rsidR="007B1EA1" w:rsidRDefault="007B1EA1">
            <w:pPr>
              <w:spacing w:line="240" w:lineRule="auto"/>
              <w:jc w:val="left"/>
              <w:rPr>
                <w:sz w:val="24"/>
                <w:rtl/>
              </w:rPr>
            </w:pPr>
            <w:r>
              <w:rPr>
                <w:sz w:val="24"/>
                <w:rtl/>
              </w:rPr>
              <w:t>נסיבות המצריכות גילוי</w:t>
            </w:r>
          </w:p>
        </w:tc>
        <w:tc>
          <w:tcPr>
            <w:tcW w:w="1247" w:type="dxa"/>
          </w:tcPr>
          <w:p w:rsidR="007B1EA1" w:rsidRDefault="007B1EA1">
            <w:pPr>
              <w:spacing w:line="240" w:lineRule="auto"/>
              <w:jc w:val="left"/>
              <w:rPr>
                <w:sz w:val="24"/>
              </w:rPr>
            </w:pPr>
            <w:r>
              <w:rPr>
                <w:sz w:val="24"/>
                <w:rtl/>
              </w:rPr>
              <w:t xml:space="preserve">סעיף 4 </w:t>
            </w:r>
          </w:p>
        </w:tc>
      </w:tr>
      <w:tr w:rsidR="007B1EA1">
        <w:tblPrEx>
          <w:tblCellMar>
            <w:top w:w="0" w:type="dxa"/>
            <w:bottom w:w="0" w:type="dxa"/>
          </w:tblCellMar>
        </w:tblPrEx>
        <w:trPr>
          <w:jc w:val="right"/>
        </w:trPr>
        <w:tc>
          <w:tcPr>
            <w:tcW w:w="850" w:type="dxa"/>
          </w:tcPr>
          <w:p w:rsidR="007B1EA1" w:rsidRDefault="007B1EA1">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7B1EA1" w:rsidRDefault="007B1EA1">
            <w:pPr>
              <w:spacing w:line="240" w:lineRule="auto"/>
              <w:jc w:val="left"/>
              <w:rPr>
                <w:sz w:val="24"/>
              </w:rPr>
            </w:pPr>
            <w:hyperlink w:anchor="Seif4" w:tooltip="התנהגות שאינה הולמת את כבוד המקצוע" w:history="1">
              <w:r>
                <w:rPr>
                  <w:rStyle w:val="Hyperlink"/>
                </w:rPr>
                <w:t>Go</w:t>
              </w:r>
            </w:hyperlink>
          </w:p>
        </w:tc>
        <w:tc>
          <w:tcPr>
            <w:tcW w:w="5669" w:type="dxa"/>
          </w:tcPr>
          <w:p w:rsidR="007B1EA1" w:rsidRDefault="007B1EA1">
            <w:pPr>
              <w:spacing w:line="240" w:lineRule="auto"/>
              <w:jc w:val="left"/>
              <w:rPr>
                <w:sz w:val="24"/>
                <w:rtl/>
              </w:rPr>
            </w:pPr>
            <w:r>
              <w:rPr>
                <w:sz w:val="24"/>
                <w:rtl/>
              </w:rPr>
              <w:t>התנהגות שאינה הולמת את כבוד המקצוע</w:t>
            </w:r>
          </w:p>
        </w:tc>
        <w:tc>
          <w:tcPr>
            <w:tcW w:w="1247" w:type="dxa"/>
          </w:tcPr>
          <w:p w:rsidR="007B1EA1" w:rsidRDefault="007B1EA1">
            <w:pPr>
              <w:spacing w:line="240" w:lineRule="auto"/>
              <w:jc w:val="left"/>
              <w:rPr>
                <w:sz w:val="24"/>
              </w:rPr>
            </w:pPr>
            <w:r>
              <w:rPr>
                <w:sz w:val="24"/>
                <w:rtl/>
              </w:rPr>
              <w:t xml:space="preserve">סעיף 5 </w:t>
            </w:r>
          </w:p>
        </w:tc>
      </w:tr>
      <w:tr w:rsidR="007B1EA1">
        <w:tblPrEx>
          <w:tblCellMar>
            <w:top w:w="0" w:type="dxa"/>
            <w:bottom w:w="0" w:type="dxa"/>
          </w:tblCellMar>
        </w:tblPrEx>
        <w:trPr>
          <w:jc w:val="right"/>
        </w:trPr>
        <w:tc>
          <w:tcPr>
            <w:tcW w:w="850" w:type="dxa"/>
          </w:tcPr>
          <w:p w:rsidR="007B1EA1" w:rsidRDefault="007B1EA1">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7B1EA1" w:rsidRDefault="007B1EA1">
            <w:pPr>
              <w:spacing w:line="240" w:lineRule="auto"/>
              <w:jc w:val="left"/>
              <w:rPr>
                <w:sz w:val="24"/>
              </w:rPr>
            </w:pPr>
            <w:hyperlink w:anchor="Seif5" w:tooltip="שמירת הוראות" w:history="1">
              <w:r>
                <w:rPr>
                  <w:rStyle w:val="Hyperlink"/>
                </w:rPr>
                <w:t>Go</w:t>
              </w:r>
            </w:hyperlink>
          </w:p>
        </w:tc>
        <w:tc>
          <w:tcPr>
            <w:tcW w:w="5669" w:type="dxa"/>
          </w:tcPr>
          <w:p w:rsidR="007B1EA1" w:rsidRDefault="007B1EA1">
            <w:pPr>
              <w:spacing w:line="240" w:lineRule="auto"/>
              <w:jc w:val="left"/>
              <w:rPr>
                <w:sz w:val="24"/>
                <w:rtl/>
              </w:rPr>
            </w:pPr>
            <w:r>
              <w:rPr>
                <w:sz w:val="24"/>
                <w:rtl/>
              </w:rPr>
              <w:t>שמירת הוראות</w:t>
            </w:r>
          </w:p>
        </w:tc>
        <w:tc>
          <w:tcPr>
            <w:tcW w:w="1247" w:type="dxa"/>
          </w:tcPr>
          <w:p w:rsidR="007B1EA1" w:rsidRDefault="007B1EA1">
            <w:pPr>
              <w:spacing w:line="240" w:lineRule="auto"/>
              <w:jc w:val="left"/>
              <w:rPr>
                <w:sz w:val="24"/>
              </w:rPr>
            </w:pPr>
            <w:r>
              <w:rPr>
                <w:sz w:val="24"/>
                <w:rtl/>
              </w:rPr>
              <w:t xml:space="preserve">סעיף 6 </w:t>
            </w:r>
          </w:p>
        </w:tc>
      </w:tr>
      <w:tr w:rsidR="007B1EA1">
        <w:tblPrEx>
          <w:tblCellMar>
            <w:top w:w="0" w:type="dxa"/>
            <w:bottom w:w="0" w:type="dxa"/>
          </w:tblCellMar>
        </w:tblPrEx>
        <w:trPr>
          <w:jc w:val="right"/>
        </w:trPr>
        <w:tc>
          <w:tcPr>
            <w:tcW w:w="850" w:type="dxa"/>
          </w:tcPr>
          <w:p w:rsidR="007B1EA1" w:rsidRDefault="007B1EA1">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7B1EA1" w:rsidRDefault="007B1EA1">
            <w:pPr>
              <w:spacing w:line="240" w:lineRule="auto"/>
              <w:jc w:val="left"/>
              <w:rPr>
                <w:sz w:val="24"/>
              </w:rPr>
            </w:pPr>
            <w:hyperlink w:anchor="Seif6" w:tooltip="סקירת דוחות ביניים" w:history="1">
              <w:r>
                <w:rPr>
                  <w:rStyle w:val="Hyperlink"/>
                </w:rPr>
                <w:t>Go</w:t>
              </w:r>
            </w:hyperlink>
          </w:p>
        </w:tc>
        <w:tc>
          <w:tcPr>
            <w:tcW w:w="5669" w:type="dxa"/>
          </w:tcPr>
          <w:p w:rsidR="007B1EA1" w:rsidRDefault="007B1EA1">
            <w:pPr>
              <w:spacing w:line="240" w:lineRule="auto"/>
              <w:jc w:val="left"/>
              <w:rPr>
                <w:sz w:val="24"/>
                <w:rtl/>
              </w:rPr>
            </w:pPr>
            <w:r>
              <w:rPr>
                <w:sz w:val="24"/>
                <w:rtl/>
              </w:rPr>
              <w:t>סקירת דוחות ביניים</w:t>
            </w:r>
          </w:p>
        </w:tc>
        <w:tc>
          <w:tcPr>
            <w:tcW w:w="1247" w:type="dxa"/>
          </w:tcPr>
          <w:p w:rsidR="007B1EA1" w:rsidRDefault="007B1EA1">
            <w:pPr>
              <w:spacing w:line="240" w:lineRule="auto"/>
              <w:jc w:val="left"/>
              <w:rPr>
                <w:sz w:val="24"/>
              </w:rPr>
            </w:pPr>
            <w:r>
              <w:rPr>
                <w:sz w:val="24"/>
                <w:rtl/>
              </w:rPr>
              <w:t xml:space="preserve">סעיף 7 </w:t>
            </w:r>
          </w:p>
        </w:tc>
      </w:tr>
      <w:tr w:rsidR="007B1EA1">
        <w:tblPrEx>
          <w:tblCellMar>
            <w:top w:w="0" w:type="dxa"/>
            <w:bottom w:w="0" w:type="dxa"/>
          </w:tblCellMar>
        </w:tblPrEx>
        <w:trPr>
          <w:jc w:val="right"/>
        </w:trPr>
        <w:tc>
          <w:tcPr>
            <w:tcW w:w="850" w:type="dxa"/>
          </w:tcPr>
          <w:p w:rsidR="007B1EA1" w:rsidRDefault="007B1EA1">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7B1EA1" w:rsidRDefault="007B1EA1">
            <w:pPr>
              <w:spacing w:line="240" w:lineRule="auto"/>
              <w:jc w:val="left"/>
              <w:rPr>
                <w:sz w:val="24"/>
              </w:rPr>
            </w:pPr>
            <w:hyperlink w:anchor="Seif7" w:tooltip="תיקון תקנות התשכה" w:history="1">
              <w:r>
                <w:rPr>
                  <w:rStyle w:val="Hyperlink"/>
                </w:rPr>
                <w:t>Go</w:t>
              </w:r>
            </w:hyperlink>
          </w:p>
        </w:tc>
        <w:tc>
          <w:tcPr>
            <w:tcW w:w="5669" w:type="dxa"/>
          </w:tcPr>
          <w:p w:rsidR="007B1EA1" w:rsidRDefault="007B1EA1">
            <w:pPr>
              <w:spacing w:line="240" w:lineRule="auto"/>
              <w:jc w:val="left"/>
              <w:rPr>
                <w:sz w:val="24"/>
                <w:rtl/>
              </w:rPr>
            </w:pPr>
            <w:r>
              <w:rPr>
                <w:sz w:val="24"/>
                <w:rtl/>
              </w:rPr>
              <w:t>תיקון תקנות התשכה</w:t>
            </w:r>
          </w:p>
        </w:tc>
        <w:tc>
          <w:tcPr>
            <w:tcW w:w="1247" w:type="dxa"/>
          </w:tcPr>
          <w:p w:rsidR="007B1EA1" w:rsidRDefault="007B1EA1">
            <w:pPr>
              <w:spacing w:line="240" w:lineRule="auto"/>
              <w:jc w:val="left"/>
              <w:rPr>
                <w:sz w:val="24"/>
              </w:rPr>
            </w:pPr>
            <w:r>
              <w:rPr>
                <w:sz w:val="24"/>
                <w:rtl/>
              </w:rPr>
              <w:t xml:space="preserve">סעיף 8 </w:t>
            </w:r>
          </w:p>
        </w:tc>
      </w:tr>
      <w:tr w:rsidR="007B1EA1">
        <w:tblPrEx>
          <w:tblCellMar>
            <w:top w:w="0" w:type="dxa"/>
            <w:bottom w:w="0" w:type="dxa"/>
          </w:tblCellMar>
        </w:tblPrEx>
        <w:trPr>
          <w:jc w:val="right"/>
        </w:trPr>
        <w:tc>
          <w:tcPr>
            <w:tcW w:w="850" w:type="dxa"/>
          </w:tcPr>
          <w:p w:rsidR="007B1EA1" w:rsidRDefault="007B1EA1">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7B1EA1" w:rsidRDefault="007B1EA1">
            <w:pPr>
              <w:spacing w:line="240" w:lineRule="auto"/>
              <w:jc w:val="left"/>
              <w:rPr>
                <w:sz w:val="24"/>
              </w:rPr>
            </w:pPr>
            <w:hyperlink w:anchor="Seif8" w:tooltip="תחולה ותוקף" w:history="1">
              <w:r>
                <w:rPr>
                  <w:rStyle w:val="Hyperlink"/>
                </w:rPr>
                <w:t>Go</w:t>
              </w:r>
            </w:hyperlink>
          </w:p>
        </w:tc>
        <w:tc>
          <w:tcPr>
            <w:tcW w:w="5669" w:type="dxa"/>
          </w:tcPr>
          <w:p w:rsidR="007B1EA1" w:rsidRDefault="007B1EA1">
            <w:pPr>
              <w:spacing w:line="240" w:lineRule="auto"/>
              <w:jc w:val="left"/>
              <w:rPr>
                <w:sz w:val="24"/>
                <w:rtl/>
              </w:rPr>
            </w:pPr>
            <w:r>
              <w:rPr>
                <w:sz w:val="24"/>
                <w:rtl/>
              </w:rPr>
              <w:t>תחולה ותוקף</w:t>
            </w:r>
          </w:p>
        </w:tc>
        <w:tc>
          <w:tcPr>
            <w:tcW w:w="1247" w:type="dxa"/>
          </w:tcPr>
          <w:p w:rsidR="007B1EA1" w:rsidRDefault="007B1EA1">
            <w:pPr>
              <w:spacing w:line="240" w:lineRule="auto"/>
              <w:jc w:val="left"/>
              <w:rPr>
                <w:sz w:val="24"/>
              </w:rPr>
            </w:pPr>
            <w:r>
              <w:rPr>
                <w:sz w:val="24"/>
                <w:rtl/>
              </w:rPr>
              <w:t xml:space="preserve">סעיף 9 </w:t>
            </w:r>
          </w:p>
        </w:tc>
      </w:tr>
    </w:tbl>
    <w:p w:rsidR="007B1EA1" w:rsidRDefault="007B1EA1" w:rsidP="00A01980">
      <w:pPr>
        <w:pStyle w:val="big-header"/>
        <w:ind w:left="0" w:right="1134"/>
        <w:rPr>
          <w:rStyle w:val="default"/>
          <w:rFonts w:cs="FrankRuehl" w:hint="cs"/>
          <w:rtl/>
        </w:rPr>
      </w:pPr>
      <w:r>
        <w:rPr>
          <w:rtl/>
        </w:rPr>
        <w:br w:type="page"/>
      </w:r>
      <w:r>
        <w:rPr>
          <w:rFonts w:hint="cs"/>
          <w:rtl/>
        </w:rPr>
        <w:lastRenderedPageBreak/>
        <w:t>תקנות רואי חשבון (ניגוד ענינים ופגיעה באי תלות כתוצאה מעיסוק אחר) (הוראת שעה), תשס"ג-2003</w:t>
      </w:r>
      <w:r>
        <w:rPr>
          <w:rStyle w:val="default"/>
          <w:sz w:val="22"/>
          <w:szCs w:val="22"/>
          <w:rtl/>
        </w:rPr>
        <w:footnoteReference w:customMarkFollows="1" w:id="1"/>
        <w:t>*</w:t>
      </w:r>
    </w:p>
    <w:p w:rsidR="007B1EA1" w:rsidRDefault="007B1EA1">
      <w:pPr>
        <w:pStyle w:val="P00"/>
        <w:spacing w:before="72"/>
        <w:ind w:left="0" w:right="1134"/>
        <w:rPr>
          <w:rStyle w:val="default"/>
          <w:rFonts w:cs="FrankRuehl" w:hint="cs"/>
          <w:rtl/>
        </w:rPr>
      </w:pPr>
      <w:r>
        <w:rPr>
          <w:rStyle w:val="default"/>
          <w:rFonts w:cs="FrankRuehl" w:hint="cs"/>
          <w:rtl/>
        </w:rPr>
        <w:tab/>
        <w:t>בתוקף סמכותי לפי סעיפים 10, 11 ו-17 לחוק רואי חשבון, התשט"ו-1955, בהתייעצות עם לשכת רואי חשבון בישראל ומועצת רואי חשבון, ובאישור ועדת החוקה חוק ומשפט של הכנסת, אני מתקין תקנות אלה:</w:t>
      </w:r>
    </w:p>
    <w:p w:rsidR="007B1EA1" w:rsidRDefault="007B1EA1">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4pt;z-index:251653632" o:allowincell="f" filled="f" stroked="f" strokecolor="lime" strokeweight=".25pt">
            <v:textbox style="mso-next-textbox:#_x0000_s1026" inset="0,0,0,0">
              <w:txbxContent>
                <w:p w:rsidR="007B1EA1" w:rsidRDefault="007B1EA1">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7B1EA1" w:rsidRDefault="007B1EA1">
      <w:pPr>
        <w:pStyle w:val="P00"/>
        <w:spacing w:before="72"/>
        <w:ind w:left="0" w:right="1134"/>
        <w:rPr>
          <w:rStyle w:val="default"/>
          <w:rFonts w:cs="FrankRuehl" w:hint="cs"/>
          <w:rtl/>
        </w:rPr>
      </w:pPr>
      <w:r>
        <w:rPr>
          <w:rStyle w:val="default"/>
          <w:rFonts w:cs="FrankRuehl" w:hint="cs"/>
          <w:rtl/>
        </w:rPr>
        <w:tab/>
        <w:t xml:space="preserve">"ביקורת" </w:t>
      </w:r>
      <w:r>
        <w:rPr>
          <w:rStyle w:val="default"/>
          <w:rFonts w:cs="FrankRuehl"/>
          <w:rtl/>
        </w:rPr>
        <w:t>–</w:t>
      </w:r>
      <w:r>
        <w:rPr>
          <w:rStyle w:val="default"/>
          <w:rFonts w:cs="FrankRuehl" w:hint="cs"/>
          <w:rtl/>
        </w:rPr>
        <w:t xml:space="preserve"> כמשמעותה בתקנות רואי חשבון (דרך פעולתו של רואה חשבון), התשל"ג-1973;</w:t>
      </w:r>
    </w:p>
    <w:p w:rsidR="007B1EA1" w:rsidRDefault="007B1EA1">
      <w:pPr>
        <w:pStyle w:val="P00"/>
        <w:spacing w:before="72"/>
        <w:ind w:left="0" w:right="1134"/>
        <w:rPr>
          <w:rStyle w:val="default"/>
          <w:rFonts w:cs="FrankRuehl" w:hint="cs"/>
          <w:rtl/>
        </w:rPr>
      </w:pPr>
      <w:r>
        <w:rPr>
          <w:rStyle w:val="default"/>
          <w:rFonts w:cs="FrankRuehl" w:hint="cs"/>
          <w:rtl/>
        </w:rPr>
        <w:tab/>
        <w:t xml:space="preserve">"בן משפחה" </w:t>
      </w:r>
      <w:r>
        <w:rPr>
          <w:rStyle w:val="default"/>
          <w:rFonts w:cs="FrankRuehl"/>
          <w:rtl/>
        </w:rPr>
        <w:t>–</w:t>
      </w:r>
      <w:r>
        <w:rPr>
          <w:rStyle w:val="default"/>
          <w:rFonts w:cs="FrankRuehl" w:hint="cs"/>
          <w:rtl/>
        </w:rPr>
        <w:t xml:space="preserve"> צאצא, בן זוג, אח, אחות, הורה, ובן זוגו של כל אחד מאלה;</w:t>
      </w:r>
    </w:p>
    <w:p w:rsidR="007B1EA1" w:rsidRDefault="007B1EA1">
      <w:pPr>
        <w:pStyle w:val="P00"/>
        <w:spacing w:before="72"/>
        <w:ind w:left="0" w:right="1134"/>
        <w:rPr>
          <w:rStyle w:val="default"/>
          <w:rFonts w:cs="FrankRuehl" w:hint="cs"/>
          <w:rtl/>
        </w:rPr>
      </w:pPr>
      <w:r>
        <w:rPr>
          <w:rStyle w:val="default"/>
          <w:rFonts w:cs="FrankRuehl" w:hint="cs"/>
          <w:rtl/>
        </w:rPr>
        <w:tab/>
        <w:t xml:space="preserve">"החזקה" ו"שליטה" </w:t>
      </w:r>
      <w:r>
        <w:rPr>
          <w:rStyle w:val="default"/>
          <w:rFonts w:cs="FrankRuehl"/>
          <w:rtl/>
        </w:rPr>
        <w:t>–</w:t>
      </w:r>
      <w:r>
        <w:rPr>
          <w:rStyle w:val="default"/>
          <w:rFonts w:cs="FrankRuehl" w:hint="cs"/>
          <w:rtl/>
        </w:rPr>
        <w:t xml:space="preserve"> כמשמעותן בחוק ניירות ערך, התשכ"ה-1965 (להלן </w:t>
      </w:r>
      <w:r>
        <w:rPr>
          <w:rStyle w:val="default"/>
          <w:rFonts w:cs="FrankRuehl"/>
          <w:rtl/>
        </w:rPr>
        <w:t>–</w:t>
      </w:r>
      <w:r>
        <w:rPr>
          <w:rStyle w:val="default"/>
          <w:rFonts w:cs="FrankRuehl" w:hint="cs"/>
          <w:rtl/>
        </w:rPr>
        <w:t xml:space="preserve"> חוק ניירות ערך);</w:t>
      </w:r>
    </w:p>
    <w:p w:rsidR="007B1EA1" w:rsidRDefault="007B1EA1">
      <w:pPr>
        <w:pStyle w:val="P00"/>
        <w:spacing w:before="72"/>
        <w:ind w:left="0" w:right="1134"/>
        <w:rPr>
          <w:rStyle w:val="default"/>
          <w:rFonts w:cs="FrankRuehl" w:hint="cs"/>
          <w:rtl/>
        </w:rPr>
      </w:pPr>
      <w:r>
        <w:rPr>
          <w:rStyle w:val="default"/>
          <w:rFonts w:cs="FrankRuehl" w:hint="cs"/>
          <w:rtl/>
        </w:rPr>
        <w:tab/>
        <w:t xml:space="preserve">"חברה פרטית", "חברה ציבורית", "נושא משרה", "נייר ערך" </w:t>
      </w:r>
      <w:r>
        <w:rPr>
          <w:rStyle w:val="default"/>
          <w:rFonts w:cs="FrankRuehl"/>
          <w:rtl/>
        </w:rPr>
        <w:t>–</w:t>
      </w:r>
      <w:r>
        <w:rPr>
          <w:rStyle w:val="default"/>
          <w:rFonts w:cs="FrankRuehl" w:hint="cs"/>
          <w:rtl/>
        </w:rPr>
        <w:t xml:space="preserve"> כמשמעותם בחוק החברות, התשנ"ט-1999 (להלן </w:t>
      </w:r>
      <w:r>
        <w:rPr>
          <w:rStyle w:val="default"/>
          <w:rFonts w:cs="FrankRuehl"/>
          <w:rtl/>
        </w:rPr>
        <w:t>–</w:t>
      </w:r>
      <w:r>
        <w:rPr>
          <w:rStyle w:val="default"/>
          <w:rFonts w:cs="FrankRuehl" w:hint="cs"/>
          <w:rtl/>
        </w:rPr>
        <w:t xml:space="preserve"> חוק החברות);</w:t>
      </w:r>
    </w:p>
    <w:p w:rsidR="007B1EA1" w:rsidRDefault="007B1EA1">
      <w:pPr>
        <w:pStyle w:val="P00"/>
        <w:spacing w:before="72"/>
        <w:ind w:left="0" w:right="1134"/>
        <w:rPr>
          <w:rStyle w:val="default"/>
          <w:rFonts w:cs="FrankRuehl" w:hint="cs"/>
          <w:rtl/>
        </w:rPr>
      </w:pPr>
      <w:r>
        <w:rPr>
          <w:rStyle w:val="default"/>
          <w:rFonts w:cs="FrankRuehl" w:hint="cs"/>
          <w:rtl/>
        </w:rPr>
        <w:tab/>
        <w:t xml:space="preserve">"לקוח" </w:t>
      </w:r>
      <w:r>
        <w:rPr>
          <w:rStyle w:val="default"/>
          <w:rFonts w:cs="FrankRuehl"/>
          <w:rtl/>
        </w:rPr>
        <w:t>–</w:t>
      </w:r>
      <w:r>
        <w:rPr>
          <w:rStyle w:val="default"/>
          <w:rFonts w:cs="FrankRuehl" w:hint="cs"/>
          <w:rtl/>
        </w:rPr>
        <w:t xml:space="preserve"> המבוקר ומי ששולט במבוקר; נערכו למבוקר דוחות מאוחדים כמשמעותם בכללי חשבונאות מקובלים </w:t>
      </w:r>
      <w:r>
        <w:rPr>
          <w:rStyle w:val="default"/>
          <w:rFonts w:cs="FrankRuehl"/>
          <w:rtl/>
        </w:rPr>
        <w:t>–</w:t>
      </w:r>
      <w:r>
        <w:rPr>
          <w:rStyle w:val="default"/>
          <w:rFonts w:cs="FrankRuehl" w:hint="cs"/>
          <w:rtl/>
        </w:rPr>
        <w:t xml:space="preserve"> גם כל תאגיד אחר המאוחד באותם דוחות מאוחדים שלגבי דוחותיו נערכת ביקורת על ידי רואה החשבון המבקר;</w:t>
      </w:r>
    </w:p>
    <w:p w:rsidR="007B1EA1" w:rsidRDefault="007B1EA1">
      <w:pPr>
        <w:pStyle w:val="P00"/>
        <w:spacing w:before="72"/>
        <w:ind w:left="0" w:right="1134"/>
        <w:rPr>
          <w:rStyle w:val="default"/>
          <w:rFonts w:cs="FrankRuehl" w:hint="cs"/>
          <w:rtl/>
        </w:rPr>
      </w:pPr>
      <w:r>
        <w:rPr>
          <w:rStyle w:val="default"/>
          <w:rFonts w:cs="FrankRuehl" w:hint="cs"/>
          <w:rtl/>
        </w:rPr>
        <w:tab/>
        <w:t xml:space="preserve">"מבוקר" </w:t>
      </w:r>
      <w:r>
        <w:rPr>
          <w:rStyle w:val="default"/>
          <w:rFonts w:cs="FrankRuehl"/>
          <w:rtl/>
        </w:rPr>
        <w:t>–</w:t>
      </w:r>
      <w:r>
        <w:rPr>
          <w:rStyle w:val="default"/>
          <w:rFonts w:cs="FrankRuehl" w:hint="cs"/>
          <w:rtl/>
        </w:rPr>
        <w:t xml:space="preserve"> מי שרואה חשבון מבקר מבצע ביקורת על הדוחות הכספיים שלו;</w:t>
      </w:r>
    </w:p>
    <w:p w:rsidR="007B1EA1" w:rsidRDefault="007B1EA1">
      <w:pPr>
        <w:pStyle w:val="P00"/>
        <w:spacing w:before="72"/>
        <w:ind w:left="0" w:right="1134"/>
        <w:rPr>
          <w:rStyle w:val="default"/>
          <w:rFonts w:cs="FrankRuehl" w:hint="cs"/>
          <w:rtl/>
        </w:rPr>
      </w:pPr>
      <w:r>
        <w:rPr>
          <w:rStyle w:val="default"/>
          <w:rFonts w:cs="FrankRuehl" w:hint="cs"/>
          <w:rtl/>
        </w:rPr>
        <w:tab/>
        <w:t xml:space="preserve">"משרד רואי חשבון" </w:t>
      </w:r>
      <w:r>
        <w:rPr>
          <w:rStyle w:val="default"/>
          <w:rFonts w:cs="FrankRuehl"/>
          <w:rtl/>
        </w:rPr>
        <w:t>–</w:t>
      </w:r>
      <w:r>
        <w:rPr>
          <w:rStyle w:val="default"/>
          <w:rFonts w:cs="FrankRuehl" w:hint="cs"/>
          <w:rtl/>
        </w:rPr>
        <w:t xml:space="preserve"> רואה חשבון מבקר וכן רואי החשבון המועסקים על ידו או על ידי תאגיד רואי החשבון שבו הוא שותף או חבר;</w:t>
      </w:r>
    </w:p>
    <w:p w:rsidR="007B1EA1" w:rsidRDefault="007B1EA1">
      <w:pPr>
        <w:pStyle w:val="P00"/>
        <w:spacing w:before="72"/>
        <w:ind w:left="0" w:right="1134"/>
        <w:rPr>
          <w:rStyle w:val="default"/>
          <w:rFonts w:cs="FrankRuehl" w:hint="cs"/>
          <w:rtl/>
        </w:rPr>
      </w:pPr>
      <w:r>
        <w:rPr>
          <w:rStyle w:val="default"/>
          <w:rFonts w:cs="FrankRuehl" w:hint="cs"/>
          <w:rtl/>
        </w:rPr>
        <w:tab/>
        <w:t xml:space="preserve">"עיסוק אחר" </w:t>
      </w:r>
      <w:r>
        <w:rPr>
          <w:rStyle w:val="default"/>
          <w:rFonts w:cs="FrankRuehl"/>
          <w:rtl/>
        </w:rPr>
        <w:t>–</w:t>
      </w:r>
      <w:r>
        <w:rPr>
          <w:rStyle w:val="default"/>
          <w:rFonts w:cs="FrankRuehl" w:hint="cs"/>
          <w:rtl/>
        </w:rPr>
        <w:t xml:space="preserve"> לרבות באמצעות תאגיד שבשליטתו של רואה חשבון מבקר; לענין זה, "שליטה" </w:t>
      </w:r>
      <w:r>
        <w:rPr>
          <w:rStyle w:val="default"/>
          <w:rFonts w:cs="FrankRuehl"/>
          <w:rtl/>
        </w:rPr>
        <w:t>–</w:t>
      </w:r>
      <w:r>
        <w:rPr>
          <w:rStyle w:val="default"/>
          <w:rFonts w:cs="FrankRuehl" w:hint="cs"/>
          <w:rtl/>
        </w:rPr>
        <w:t xml:space="preserve"> לרבות חזקה כי מי שמחזיק 25% מאמצעי השליטה בתאגיד ובידו היכולת למנוע קבלת החלטות עסקיות בתאגיד </w:t>
      </w:r>
      <w:r>
        <w:rPr>
          <w:rStyle w:val="default"/>
          <w:rFonts w:cs="FrankRuehl"/>
          <w:rtl/>
        </w:rPr>
        <w:t>–</w:t>
      </w:r>
      <w:r>
        <w:rPr>
          <w:rStyle w:val="default"/>
          <w:rFonts w:cs="FrankRuehl" w:hint="cs"/>
          <w:rtl/>
        </w:rPr>
        <w:t xml:space="preserve"> שולט בתאגיד;</w:t>
      </w:r>
    </w:p>
    <w:p w:rsidR="007B1EA1" w:rsidRDefault="007B1EA1">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משפחה שמקום מגוריו עם האדם, מי שפרנסתו על אותו אדם, מי שפרנסת אותו אדם עליו וכן תאגיד בשליטת כל אחד מהם או נאמן לטובת כל אחד מהם;</w:t>
      </w:r>
    </w:p>
    <w:p w:rsidR="007B1EA1" w:rsidRDefault="007B1EA1">
      <w:pPr>
        <w:pStyle w:val="P00"/>
        <w:spacing w:before="72"/>
        <w:ind w:left="0" w:right="1134"/>
        <w:rPr>
          <w:rStyle w:val="default"/>
          <w:rFonts w:cs="FrankRuehl" w:hint="cs"/>
          <w:rtl/>
        </w:rPr>
      </w:pPr>
      <w:r>
        <w:rPr>
          <w:rStyle w:val="default"/>
          <w:rFonts w:cs="FrankRuehl" w:hint="cs"/>
          <w:rtl/>
        </w:rPr>
        <w:tab/>
        <w:t xml:space="preserve">"רואה חשבון מבקר" </w:t>
      </w:r>
      <w:r>
        <w:rPr>
          <w:rStyle w:val="default"/>
          <w:rFonts w:cs="FrankRuehl"/>
          <w:rtl/>
        </w:rPr>
        <w:t>–</w:t>
      </w:r>
      <w:r>
        <w:rPr>
          <w:rStyle w:val="default"/>
          <w:rFonts w:cs="FrankRuehl" w:hint="cs"/>
          <w:rtl/>
        </w:rPr>
        <w:t xml:space="preserve"> רואה חשבון שמונה לערוך ביקורת במבוקר מסוים, לרבות רואי החשבון השותפים, החברים או בעלי המניות בתאגיד רואי חשבון שבו הוא מועסק, שותף, חבר או בעל מניה וכן מי שעוסק בביקורת המבוקר מטעמו ולרבות רואי החשבון המועסקים בברית פיקוח כמשמעותה בסעיף 20 לפקודת האגודות השיתופיות; והכל, למעט מי שפועל מחוץ לישראל דרך קבע;</w:t>
      </w:r>
    </w:p>
    <w:p w:rsidR="007B1EA1" w:rsidRDefault="007B1EA1">
      <w:pPr>
        <w:pStyle w:val="P00"/>
        <w:spacing w:before="72"/>
        <w:ind w:left="0" w:right="1134"/>
        <w:rPr>
          <w:rStyle w:val="default"/>
          <w:rFonts w:cs="FrankRuehl" w:hint="cs"/>
          <w:rtl/>
        </w:rPr>
      </w:pPr>
      <w:r>
        <w:rPr>
          <w:rStyle w:val="default"/>
          <w:rFonts w:cs="FrankRuehl" w:hint="cs"/>
          <w:rtl/>
        </w:rPr>
        <w:tab/>
        <w:t xml:space="preserve">"רואה חשבון מטפל" </w:t>
      </w:r>
      <w:r>
        <w:rPr>
          <w:rStyle w:val="default"/>
          <w:rFonts w:cs="FrankRuehl"/>
          <w:rtl/>
        </w:rPr>
        <w:t>–</w:t>
      </w:r>
      <w:r>
        <w:rPr>
          <w:rStyle w:val="default"/>
          <w:rFonts w:cs="FrankRuehl" w:hint="cs"/>
          <w:rtl/>
        </w:rPr>
        <w:t xml:space="preserve"> רואה חשבון מבקר העוסק בפועל בביקורת המבוקר;</w:t>
      </w:r>
    </w:p>
    <w:p w:rsidR="007B1EA1" w:rsidRDefault="007B1EA1">
      <w:pPr>
        <w:pStyle w:val="P00"/>
        <w:spacing w:before="72"/>
        <w:ind w:left="0" w:right="1134"/>
        <w:rPr>
          <w:rStyle w:val="default"/>
          <w:rFonts w:cs="FrankRuehl" w:hint="cs"/>
          <w:rtl/>
        </w:rPr>
      </w:pPr>
      <w:r>
        <w:rPr>
          <w:rStyle w:val="default"/>
          <w:rFonts w:cs="FrankRuehl" w:hint="cs"/>
          <w:rtl/>
        </w:rPr>
        <w:tab/>
        <w:t xml:space="preserve">"תאגיד בנקאי" </w:t>
      </w:r>
      <w:r>
        <w:rPr>
          <w:rStyle w:val="default"/>
          <w:rFonts w:cs="FrankRuehl"/>
          <w:rtl/>
        </w:rPr>
        <w:t>–</w:t>
      </w:r>
      <w:r>
        <w:rPr>
          <w:rStyle w:val="default"/>
          <w:rFonts w:cs="FrankRuehl" w:hint="cs"/>
          <w:rtl/>
        </w:rPr>
        <w:t xml:space="preserve"> כמשמעותו בחוק הבנקאות (רישוי), התשמ"א-1981;</w:t>
      </w:r>
    </w:p>
    <w:p w:rsidR="007B1EA1" w:rsidRDefault="007B1EA1">
      <w:pPr>
        <w:pStyle w:val="P00"/>
        <w:spacing w:before="72"/>
        <w:ind w:left="0" w:right="1134"/>
        <w:rPr>
          <w:rStyle w:val="default"/>
          <w:rFonts w:cs="FrankRuehl" w:hint="cs"/>
          <w:rtl/>
        </w:rPr>
      </w:pPr>
      <w:r>
        <w:rPr>
          <w:rStyle w:val="default"/>
          <w:rFonts w:cs="FrankRuehl" w:hint="cs"/>
          <w:rtl/>
        </w:rPr>
        <w:tab/>
        <w:t xml:space="preserve">"תאגיד רואי חשבון" </w:t>
      </w:r>
      <w:r>
        <w:rPr>
          <w:rStyle w:val="default"/>
          <w:rFonts w:cs="FrankRuehl"/>
          <w:rtl/>
        </w:rPr>
        <w:t>–</w:t>
      </w:r>
      <w:r>
        <w:rPr>
          <w:rStyle w:val="default"/>
          <w:rFonts w:cs="FrankRuehl" w:hint="cs"/>
          <w:rtl/>
        </w:rPr>
        <w:t xml:space="preserve"> חברת רואי חשבון או שותפות רואי חשבון;</w:t>
      </w:r>
    </w:p>
    <w:p w:rsidR="007B1EA1" w:rsidRDefault="007B1EA1">
      <w:pPr>
        <w:pStyle w:val="P00"/>
        <w:spacing w:before="72"/>
        <w:ind w:left="0" w:right="1134"/>
        <w:rPr>
          <w:rStyle w:val="default"/>
          <w:rFonts w:cs="FrankRuehl" w:hint="cs"/>
          <w:rtl/>
        </w:rPr>
      </w:pPr>
      <w:r>
        <w:rPr>
          <w:rStyle w:val="default"/>
          <w:rFonts w:cs="FrankRuehl" w:hint="cs"/>
          <w:rtl/>
        </w:rPr>
        <w:tab/>
        <w:t xml:space="preserve">"תקופת הביקורת" </w:t>
      </w:r>
      <w:r>
        <w:rPr>
          <w:rStyle w:val="default"/>
          <w:rFonts w:cs="FrankRuehl"/>
          <w:rtl/>
        </w:rPr>
        <w:t>–</w:t>
      </w:r>
      <w:r>
        <w:rPr>
          <w:rStyle w:val="default"/>
          <w:rFonts w:cs="FrankRuehl" w:hint="cs"/>
          <w:rtl/>
        </w:rPr>
        <w:t xml:space="preserve"> התקופה השוטפת שלגביה נערכת הביקורת, לרבות פרק הזמן עד למועד שבו ניתנת חוות דעת רואה החשבון המבקר על הדוחות הכספיים לתקופה השוטפת.</w:t>
      </w:r>
    </w:p>
    <w:p w:rsidR="007B1EA1" w:rsidRDefault="007B1EA1">
      <w:pPr>
        <w:pStyle w:val="P00"/>
        <w:spacing w:before="72"/>
        <w:ind w:left="0" w:right="1134"/>
        <w:rPr>
          <w:rStyle w:val="default"/>
          <w:rFonts w:cs="FrankRuehl" w:hint="cs"/>
          <w:rtl/>
        </w:rPr>
      </w:pPr>
      <w:bookmarkStart w:id="1" w:name="Seif1"/>
      <w:bookmarkEnd w:id="1"/>
      <w:r>
        <w:rPr>
          <w:rFonts w:cs="Miriam"/>
          <w:szCs w:val="32"/>
          <w:rtl/>
          <w:lang w:val="he-IL"/>
        </w:rPr>
        <w:pict>
          <v:shapetype id="_x0000_t202" coordsize="21600,21600" o:spt="202" path="m,l,21600r21600,l21600,xe">
            <v:stroke joinstyle="miter"/>
            <v:path gradientshapeok="t" o:connecttype="rect"/>
          </v:shapetype>
          <v:shape id="_x0000_s1126" type="#_x0000_t202" style="position:absolute;left:0;text-align:left;margin-left:470.25pt;margin-top:4.95pt;width:1in;height:31.8pt;z-index:251654656" filled="f" stroked="f">
            <v:textbox inset="1mm,,1mm">
              <w:txbxContent>
                <w:p w:rsidR="007B1EA1" w:rsidRDefault="007B1EA1">
                  <w:pPr>
                    <w:spacing w:line="160" w:lineRule="exact"/>
                    <w:jc w:val="left"/>
                    <w:rPr>
                      <w:rFonts w:cs="Miriam" w:hint="cs"/>
                      <w:szCs w:val="18"/>
                      <w:rtl/>
                    </w:rPr>
                  </w:pPr>
                  <w:r>
                    <w:rPr>
                      <w:rFonts w:cs="Miriam" w:hint="cs"/>
                      <w:szCs w:val="18"/>
                      <w:rtl/>
                    </w:rPr>
                    <w:t>נסיבות של ניגוד ענינים אפשרי או פגיעה באי תלות</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חזקה שרואה חשבון מבקר נמצא בניגוד ענינים או שנפגעה אי תלותו במבוקר, אם במסגרת ביקורת שהוא עורך הוא נדרש לבקר עסק או עסקה שיש לו ענין אישי בהם, או חוות דעת או הערכת שווי שנתן במסגרת עיסוק אחר; ואולם לא יראו חזקה כאמור בחוות דעת כלכלית שנתן רואה חשבון לפני מינויו לרואה חשבון מבקר של המבוקר.</w:t>
      </w:r>
    </w:p>
    <w:p w:rsidR="007B1EA1" w:rsidRDefault="007B1EA1">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נוסף על האמור בתקנת משנה (א), חזקה כי פעולה של רואה חשבון מבקר, במסגרת עיסוקו האחר, היא פעולה בניגוד ענינים או שנפגעה אי תלותו במבוקר אם התקיים אחד מאלה:</w:t>
      </w:r>
    </w:p>
    <w:p w:rsidR="007B1EA1" w:rsidRDefault="007B1E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קיבל מהלקוח, במהלך תקופת הביקורת, שכר, התחייבות לשכר או הטבה אחרת, המותנים בתוצאות טיפולו, בשיעור הנגזר מהתוצאה הכספית של הטיפול (להלן </w:t>
      </w:r>
      <w:r>
        <w:rPr>
          <w:rStyle w:val="default"/>
          <w:rFonts w:cs="FrankRuehl"/>
          <w:rtl/>
        </w:rPr>
        <w:t>–</w:t>
      </w:r>
      <w:r>
        <w:rPr>
          <w:rStyle w:val="default"/>
          <w:rFonts w:cs="FrankRuehl" w:hint="cs"/>
          <w:rtl/>
        </w:rPr>
        <w:t xml:space="preserve"> הכנסה מותנית), אך למעט הכנסה מותנית שנתקבלה מבעל השליטה במבוקר, שהיקפה, בשנת הביקורת, אינו עולה על היקף ההכנסות מביקורת המבוקר באותה שנה;</w:t>
      </w:r>
    </w:p>
    <w:p w:rsidR="007B1EA1" w:rsidRDefault="007B1E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התנה את עיסוקו בביקורת בהעסקתו בעיסוק אחר;</w:t>
      </w:r>
    </w:p>
    <w:p w:rsidR="007B1EA1" w:rsidRDefault="007B1EA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או קרובו קיימו, במישרין או בעקיפין, לרבות באמצעות אגיד שבשליטתם, קשר כלכלי עם הלקוח, במהלך תקופת הביקורת או בשנה שקדמה לה; לענין זה, "קשר כלכלי" עם הלקוח </w:t>
      </w:r>
      <w:r>
        <w:rPr>
          <w:rStyle w:val="default"/>
          <w:rFonts w:cs="FrankRuehl"/>
          <w:rtl/>
        </w:rPr>
        <w:t>–</w:t>
      </w:r>
      <w:r>
        <w:rPr>
          <w:rStyle w:val="default"/>
          <w:rFonts w:cs="FrankRuehl" w:hint="cs"/>
          <w:rtl/>
        </w:rPr>
        <w:t xml:space="preserve"> לרבות קשרי ספק-לקוח, קשרי נותן שירות-מקבל שירות, השכרת נכסים, שותפות בעסקים, עסקאות משותפות, שותפות בנכסים וכיוצא באלה, וכן מתן הלוואות ללקוח או קבלת הלוואות מהלקוח; ואולם לא יראו כקשר כלכלי הלוואה לרואה חשבון מבקר מתאגיד בנקאי בתנאי שוק ובמהלך העסקים הרגיל, רכישת נכס, טובין או שירות, על ידי רואה החשבון המבקר, שלא כדי לסחור בהם, בתנאי שוק ובמהלך עסקיו הרגיל של המבוקר, או קבלת שכר מהלקוח;</w:t>
      </w:r>
    </w:p>
    <w:p w:rsidR="007B1EA1" w:rsidRDefault="007B1EA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או קרובו מחזיקים בניירות ערך של הלקוח בשיעור כלשהו;</w:t>
      </w:r>
    </w:p>
    <w:p w:rsidR="007B1EA1" w:rsidRDefault="007B1EA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בן משפחתו שאינו קרובו מחזיק בניירות ערך בשיעור של 20% ומעלה בלקוח, אלא אם כן המבוקר הוא חברה פרטית אשר כל בעלי מניותיה הסכימו בכתב לעריכת הביקורת בידי רואה החשבון המבקר שבבן משפחתו מתקיים כאמור;</w:t>
      </w:r>
    </w:p>
    <w:p w:rsidR="007B1EA1" w:rsidRDefault="007B1EA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רואה החשבון המטפל או מי שהיה מעורב בדרך כלשהי בדיונים הנוגעים לביקורת המבוקר, לרבות דיונים בין השותפים במשרד רואי החשבון, הוא עובד או מועסק או היה עובד של אותו לקוח או מועסק באופן אחר על ידי הלקוח, והתקיימו יחסי עובד מעביד בין הלקוח לבין רואה החשבון האמור, במהלך תקופת הביקורת או בשנה שקדמה לה;</w:t>
      </w:r>
    </w:p>
    <w:p w:rsidR="007B1EA1" w:rsidRDefault="007B1EA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אדם ממשרד רואי החשבון השתתף או משתתף בפועל, במהלך תקופת הביקורת, בקבלת החלטות ניהוליות בעבור הלקוח.</w:t>
      </w:r>
    </w:p>
    <w:p w:rsidR="007B1EA1" w:rsidRDefault="007B1EA1">
      <w:pPr>
        <w:pStyle w:val="P00"/>
        <w:spacing w:before="72"/>
        <w:ind w:left="0" w:right="1134"/>
        <w:rPr>
          <w:rStyle w:val="default"/>
          <w:rFonts w:cs="FrankRuehl" w:hint="cs"/>
          <w:rtl/>
        </w:rPr>
      </w:pPr>
      <w:bookmarkStart w:id="2" w:name="Seif2"/>
      <w:bookmarkEnd w:id="2"/>
      <w:r>
        <w:rPr>
          <w:rFonts w:cs="Miriam"/>
          <w:szCs w:val="32"/>
          <w:rtl/>
          <w:lang w:val="he-IL"/>
        </w:rPr>
        <w:pict>
          <v:shape id="_x0000_s1127" type="#_x0000_t202" style="position:absolute;left:0;text-align:left;margin-left:470.25pt;margin-top:2.6pt;width:1in;height:13.45pt;z-index:251655680" filled="f" stroked="f">
            <v:textbox inset="1mm,,1mm">
              <w:txbxContent>
                <w:p w:rsidR="007B1EA1" w:rsidRDefault="007B1EA1">
                  <w:pPr>
                    <w:spacing w:line="160" w:lineRule="exact"/>
                    <w:jc w:val="left"/>
                    <w:rPr>
                      <w:rFonts w:cs="Miriam" w:hint="cs"/>
                      <w:szCs w:val="18"/>
                      <w:rtl/>
                    </w:rPr>
                  </w:pPr>
                  <w:r>
                    <w:rPr>
                      <w:rFonts w:cs="Miriam" w:hint="cs"/>
                      <w:szCs w:val="18"/>
                      <w:rtl/>
                    </w:rPr>
                    <w:t>עיסוקים מיוחדים</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בלי לגרוע מכלליות האמור בתקנה 2, חזקה שרואה חשבון מבקר מצוי בניגוד ענינים או שנפגעה אי תלותו במבוקר, אם הוא עסק או עוסק במהלך תקופת הביקורת או בשנה שקדמה לה, בעיסוק אחר כמפורט להלן:</w:t>
      </w:r>
    </w:p>
    <w:p w:rsidR="007B1EA1" w:rsidRDefault="007B1EA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עריכת דין כמשמעותה בחוק לשכת עורכי הדין, התשכ"א-1961, בעבור הלקוח, למעט פעולות שנוהג לעשותן רואה חשבון;</w:t>
      </w:r>
    </w:p>
    <w:p w:rsidR="007B1EA1" w:rsidRDefault="007B1EA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אדם ממשרד רואי החשבון משמש מפרק, כונס נכסים, מנהל עיזבון או נאמן של הלקוח, למעט נאמנות שבה מבצע הנאמן הוראות לענין נכסי הנאמנות בלא קבלת החלטות ניהוליות;</w:t>
      </w:r>
    </w:p>
    <w:p w:rsidR="007B1EA1" w:rsidRDefault="007B1EA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מתן חוות דעת על דוח כספי של הלקוח, כאשר הדוח כולל פרטים המבוססים על חוות דעת של מי ממשרד רואי החשבון באחד או יותר מאלה:</w:t>
      </w:r>
    </w:p>
    <w:p w:rsidR="007B1EA1" w:rsidRDefault="007B1EA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הערכת שווי ערכם הכלכלי של נכסים, לרבות שמאות רכב ושמאות מקרקעין;</w:t>
      </w:r>
    </w:p>
    <w:p w:rsidR="007B1EA1" w:rsidRDefault="007B1EA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הערכת שווי ערכן הכלכלי של התחייבויות;</w:t>
      </w:r>
    </w:p>
    <w:p w:rsidR="007B1EA1" w:rsidRDefault="007B1EA1">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קיומן של זכויות בנכסים או קיומן של התחייבויות;</w:t>
      </w:r>
    </w:p>
    <w:p w:rsidR="007B1EA1" w:rsidRDefault="007B1EA1">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הערכת מצבם בפועל של נכסים;</w:t>
      </w:r>
    </w:p>
    <w:p w:rsidR="007B1EA1" w:rsidRDefault="007B1EA1">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הכנת תכנית עסקית המשפיעה על חיי העסק;</w:t>
      </w:r>
    </w:p>
    <w:p w:rsidR="007B1EA1" w:rsidRDefault="007B1EA1">
      <w:pPr>
        <w:pStyle w:val="P00"/>
        <w:spacing w:before="72"/>
        <w:ind w:left="624" w:right="1134"/>
        <w:rPr>
          <w:rStyle w:val="default"/>
          <w:rFonts w:cs="FrankRuehl" w:hint="cs"/>
          <w:rtl/>
        </w:rPr>
      </w:pPr>
      <w:r>
        <w:rPr>
          <w:rStyle w:val="default"/>
          <w:rFonts w:cs="FrankRuehl" w:hint="cs"/>
          <w:rtl/>
        </w:rPr>
        <w:t>והכל, למעט חוות דעת אקראית, שלא ניתנה בידי רואה החשבון המטפל, שענינה תכנית עסקית, נכס או התחייבות שאינם מהותיים לעסקי התאגיד;</w:t>
      </w:r>
    </w:p>
    <w:p w:rsidR="007B1EA1" w:rsidRDefault="007B1EA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הערכת שווי של המבוקר זולת אם לא נערכה בעבור המבוקר, ומתקיימים בה כל אלה במצטבר:</w:t>
      </w:r>
    </w:p>
    <w:p w:rsidR="007B1EA1" w:rsidRDefault="007B1EA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היא נערכה לפני תקופת הביקורת;</w:t>
      </w:r>
    </w:p>
    <w:p w:rsidR="007B1EA1" w:rsidRDefault="007B1EA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היא נערכה בעבור מי שלא היה בעל השליטה במבוקר, בעת עריכתה;</w:t>
      </w:r>
    </w:p>
    <w:p w:rsidR="007B1EA1" w:rsidRDefault="007B1EA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עיסוק כמבקר פנימי של הלקוח או מטעם המבקר הפנימי, במסגרת תפקידו כמבקר פנימי של הלקוח;</w:t>
      </w:r>
    </w:p>
    <w:p w:rsidR="007B1EA1" w:rsidRDefault="007B1EA1">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כהונה של אדם ממשרד רואי החשבון כנושא משרה בתאגיד שהוא לקוח; וכן כהונה של קרובו או בן משפחתו של רואה החשבון המבקר, אלא אם כן רואה החשבון המבקר לא ידע על כך; לענין זה, יראו את רואה החשבון כיודע אף אם חשד ונמנע מלברר; ואולם במבוקר שהוא חברה פרטית, לא יחול האמור לעיל לגבי כהונה של קרובו או בן משפחתו של רואה החשבון המבקר כנושא משרה בלקוח, ובלבד שכל בעלי המניות במבוקר הסכימו בכתב לעריכת הביקורת בידי רואה החשבון המבקר שבקרובו או בבן משפחתו מתקיים האמור;</w:t>
      </w:r>
    </w:p>
    <w:p w:rsidR="007B1EA1" w:rsidRDefault="007B1EA1">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עיסוק, באופן שוטף, בעבור המבוקר, כיועץ השקעות או עיסוק בעבורו כמנהל תיקי השקעות; לענין זה, "יועץ השקעות" ו"מנהל תיקי השקעות" </w:t>
      </w:r>
      <w:r>
        <w:rPr>
          <w:rStyle w:val="default"/>
          <w:rFonts w:cs="FrankRuehl"/>
          <w:rtl/>
        </w:rPr>
        <w:t>–</w:t>
      </w:r>
      <w:r>
        <w:rPr>
          <w:rStyle w:val="default"/>
          <w:rFonts w:cs="FrankRuehl" w:hint="cs"/>
          <w:rtl/>
        </w:rPr>
        <w:t xml:space="preserve"> כמשמעותם בחוק הסדרת העיסוק בייעוץ השקעות ובניהול תיקי השקעות, התשנ"ה-1995;</w:t>
      </w:r>
    </w:p>
    <w:p w:rsidR="007B1EA1" w:rsidRDefault="007B1EA1">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עיסוק בהנהלת חשבונות בעבור מבוקר שהוא חברה ציבורית;</w:t>
      </w:r>
    </w:p>
    <w:p w:rsidR="007B1EA1" w:rsidRDefault="007B1EA1">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 xml:space="preserve">עיסוק בהנהלת חשבונות בעבור מבוקר שאינו חברה ציבורית </w:t>
      </w:r>
      <w:r>
        <w:rPr>
          <w:rStyle w:val="default"/>
          <w:rFonts w:cs="FrankRuehl"/>
          <w:rtl/>
        </w:rPr>
        <w:t>–</w:t>
      </w:r>
      <w:r>
        <w:rPr>
          <w:rStyle w:val="default"/>
          <w:rFonts w:cs="FrankRuehl" w:hint="cs"/>
          <w:rtl/>
        </w:rPr>
        <w:t xml:space="preserve"> בידי רואה החשבון המטפל אישית.</w:t>
      </w:r>
    </w:p>
    <w:p w:rsidR="007B1EA1" w:rsidRDefault="007B1EA1">
      <w:pPr>
        <w:pStyle w:val="P00"/>
        <w:spacing w:before="72"/>
        <w:ind w:left="0" w:right="1134"/>
        <w:rPr>
          <w:rStyle w:val="default"/>
          <w:rFonts w:cs="FrankRuehl" w:hint="cs"/>
          <w:rtl/>
        </w:rPr>
      </w:pPr>
      <w:bookmarkStart w:id="3" w:name="Seif3"/>
      <w:bookmarkEnd w:id="3"/>
      <w:r>
        <w:rPr>
          <w:rFonts w:cs="Miriam"/>
          <w:szCs w:val="32"/>
          <w:rtl/>
          <w:lang w:val="he-IL"/>
        </w:rPr>
        <w:pict>
          <v:shape id="_x0000_s1128" type="#_x0000_t202" style="position:absolute;left:0;text-align:left;margin-left:470.25pt;margin-top:3.7pt;width:1in;height:20.75pt;z-index:251656704" filled="f" stroked="f">
            <v:textbox inset="1mm,,1mm">
              <w:txbxContent>
                <w:p w:rsidR="007B1EA1" w:rsidRDefault="007B1EA1">
                  <w:pPr>
                    <w:spacing w:line="160" w:lineRule="exact"/>
                    <w:jc w:val="left"/>
                    <w:rPr>
                      <w:rFonts w:cs="Miriam" w:hint="cs"/>
                      <w:szCs w:val="18"/>
                      <w:rtl/>
                    </w:rPr>
                  </w:pPr>
                  <w:r>
                    <w:rPr>
                      <w:rFonts w:cs="Miriam" w:hint="cs"/>
                      <w:szCs w:val="18"/>
                      <w:rtl/>
                    </w:rPr>
                    <w:t>נסיבות המצריכות גילוי</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 xml:space="preserve">בלי לגרוע מעקרון אי התלות, ומהוראות תקנות 2 ו-3 </w:t>
      </w:r>
      <w:r>
        <w:rPr>
          <w:rStyle w:val="default"/>
          <w:rFonts w:cs="FrankRuehl"/>
          <w:rtl/>
        </w:rPr>
        <w:t>–</w:t>
      </w:r>
    </w:p>
    <w:p w:rsidR="007B1EA1" w:rsidRDefault="007B1E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רואה חשבון מבקר שעוסק בעיסוק אחר כמפורט להלן, ולא ניתן לכך גילוי בדוחות הכספיים או בדוח הדירקטוריון בחברה ציבורית, יינתן גילוי לכך בדוח רואה החשבון המבקר שבו נכללת חוות דעתו על הדוחות הכספיים של המבוקר:</w:t>
      </w:r>
    </w:p>
    <w:p w:rsidR="007B1EA1" w:rsidRDefault="007B1EA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ניהול חשבונות בעבור הלקוח;</w:t>
      </w:r>
    </w:p>
    <w:p w:rsidR="007B1EA1" w:rsidRDefault="007B1EA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מתן הערכות שווי לתאגיד המאוחד עם המבוקר בדוחות מאוחדים, או לתאגיד הכלול בדוחות המאוחדים, אם החזקותיו של המבוקר בתאגיד האמור מהווים 25% או יותר מההון העצמי של המבוקר;</w:t>
      </w:r>
    </w:p>
    <w:p w:rsidR="007B1EA1" w:rsidRDefault="007B1EA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מתן הערכות שווי ללקוח בתקופת הביקורת;</w:t>
      </w:r>
    </w:p>
    <w:p w:rsidR="007B1EA1" w:rsidRDefault="007B1E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כמו כן יינתן גילוי כאמור בפסקה (1) לאלה:</w:t>
      </w:r>
    </w:p>
    <w:p w:rsidR="007B1EA1" w:rsidRDefault="007B1EA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החזקת ניירות ערך בלקוח על ידי בן משפחה של רואה חשבון מבקר בשיעור של 5% ומעלה, אלא אם כן רואה החשבון המבקר לא ידע ולא היה עליו לדעת על כך;</w:t>
      </w:r>
    </w:p>
    <w:p w:rsidR="007B1EA1" w:rsidRDefault="007B1EA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כהונה של בן משפחתו או קרובו של רואה החשבון המבקר כנושא משרה בלקוח, אם התקיים האמור בתקנה 3(6) סיפה.</w:t>
      </w:r>
    </w:p>
    <w:p w:rsidR="007B1EA1" w:rsidRDefault="007B1EA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גילוי כאמור בתקנת משנה (א) יינתן גם ליחס בין הכנסותיו של רואה חשבון מבקר מעיסוקים אחרים בעבור אותו לקוח, לעומת הכנסותיו מביקורת וייעוץ מס, אלא אם כן היקף ההכנסות מעיסוקים אחרים אינו עולה על שליש מכלל ההכנסות מאותו לקוח.</w:t>
      </w:r>
    </w:p>
    <w:p w:rsidR="007B1EA1" w:rsidRDefault="007B1EA1">
      <w:pPr>
        <w:pStyle w:val="P00"/>
        <w:spacing w:before="72"/>
        <w:ind w:left="0" w:right="1134"/>
        <w:rPr>
          <w:rStyle w:val="default"/>
          <w:rFonts w:cs="FrankRuehl" w:hint="cs"/>
          <w:rtl/>
        </w:rPr>
      </w:pPr>
      <w:bookmarkStart w:id="4" w:name="Seif4"/>
      <w:bookmarkEnd w:id="4"/>
      <w:r>
        <w:rPr>
          <w:rFonts w:cs="Miriam"/>
          <w:szCs w:val="32"/>
          <w:rtl/>
          <w:lang w:val="he-IL"/>
        </w:rPr>
        <w:pict>
          <v:shape id="_x0000_s1129" type="#_x0000_t202" style="position:absolute;left:0;text-align:left;margin-left:470.25pt;margin-top:2.45pt;width:1in;height:32.25pt;z-index:251657728" filled="f" stroked="f">
            <v:textbox inset="1mm,,1mm">
              <w:txbxContent>
                <w:p w:rsidR="007B1EA1" w:rsidRDefault="007B1EA1">
                  <w:pPr>
                    <w:spacing w:line="160" w:lineRule="exact"/>
                    <w:jc w:val="left"/>
                    <w:rPr>
                      <w:rFonts w:cs="Miriam" w:hint="cs"/>
                      <w:szCs w:val="18"/>
                      <w:rtl/>
                    </w:rPr>
                  </w:pPr>
                  <w:r>
                    <w:rPr>
                      <w:rFonts w:cs="Miriam" w:hint="cs"/>
                      <w:szCs w:val="18"/>
                      <w:rtl/>
                    </w:rPr>
                    <w:t>התנהגות שאינה הולמת את כבוד המקצוע</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פעולה של רואה חשבון מבקר בניגוד להוראות תקנות אלה, היא התנהגות שאינה הולמת את כבוד המקצוע.</w:t>
      </w:r>
    </w:p>
    <w:p w:rsidR="007B1EA1" w:rsidRDefault="007B1EA1">
      <w:pPr>
        <w:pStyle w:val="P00"/>
        <w:spacing w:before="72"/>
        <w:ind w:left="0" w:right="1134"/>
        <w:rPr>
          <w:rStyle w:val="default"/>
          <w:rFonts w:cs="FrankRuehl" w:hint="cs"/>
          <w:rtl/>
        </w:rPr>
      </w:pPr>
      <w:bookmarkStart w:id="5" w:name="Seif5"/>
      <w:bookmarkEnd w:id="5"/>
      <w:r>
        <w:rPr>
          <w:rFonts w:cs="Miriam"/>
          <w:szCs w:val="32"/>
          <w:rtl/>
          <w:lang w:val="he-IL"/>
        </w:rPr>
        <w:pict>
          <v:shape id="_x0000_s1130" type="#_x0000_t202" style="position:absolute;left:0;text-align:left;margin-left:470.25pt;margin-top:3.1pt;width:1in;height:15.5pt;z-index:251658752" filled="f" stroked="f">
            <v:textbox inset="1mm,,1mm">
              <w:txbxContent>
                <w:p w:rsidR="007B1EA1" w:rsidRDefault="007B1EA1">
                  <w:pPr>
                    <w:spacing w:line="160" w:lineRule="exact"/>
                    <w:jc w:val="left"/>
                    <w:rPr>
                      <w:rFonts w:cs="Miriam" w:hint="cs"/>
                      <w:szCs w:val="18"/>
                      <w:rtl/>
                    </w:rPr>
                  </w:pPr>
                  <w:r>
                    <w:rPr>
                      <w:rFonts w:cs="Miriam" w:hint="cs"/>
                      <w:szCs w:val="18"/>
                      <w:rtl/>
                    </w:rPr>
                    <w:t>שמירת הוראות</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תקנות אלה באות להוסיף על כל דין והוראות שניתנו או שנקבעו לפיו.</w:t>
      </w:r>
    </w:p>
    <w:p w:rsidR="007B1EA1" w:rsidRDefault="007B1EA1">
      <w:pPr>
        <w:pStyle w:val="P00"/>
        <w:spacing w:before="72"/>
        <w:ind w:left="0" w:right="1134"/>
        <w:rPr>
          <w:rStyle w:val="default"/>
          <w:rFonts w:cs="FrankRuehl" w:hint="cs"/>
          <w:rtl/>
        </w:rPr>
      </w:pPr>
      <w:bookmarkStart w:id="6" w:name="Seif6"/>
      <w:bookmarkEnd w:id="6"/>
      <w:r>
        <w:rPr>
          <w:rFonts w:cs="Miriam"/>
          <w:szCs w:val="32"/>
          <w:rtl/>
          <w:lang w:val="he-IL"/>
        </w:rPr>
        <w:pict>
          <v:shape id="_x0000_s1131" type="#_x0000_t202" style="position:absolute;left:0;text-align:left;margin-left:470.25pt;margin-top:4.65pt;width:1in;height:22.05pt;z-index:251659776" filled="f" stroked="f">
            <v:textbox inset="1mm,,1mm">
              <w:txbxContent>
                <w:p w:rsidR="007B1EA1" w:rsidRDefault="007B1EA1">
                  <w:pPr>
                    <w:spacing w:line="160" w:lineRule="exact"/>
                    <w:jc w:val="left"/>
                    <w:rPr>
                      <w:rFonts w:cs="Miriam" w:hint="cs"/>
                      <w:szCs w:val="18"/>
                      <w:rtl/>
                    </w:rPr>
                  </w:pPr>
                  <w:r>
                    <w:rPr>
                      <w:rFonts w:cs="Miriam" w:hint="cs"/>
                      <w:szCs w:val="18"/>
                      <w:rtl/>
                    </w:rPr>
                    <w:t>סקירת דוחות ביניים</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האמור בתקנות אלה לענין עריכת ביקורת יחול גם על סקירת דוחות ביניים בידי רואה החשבון המבקר.</w:t>
      </w:r>
    </w:p>
    <w:p w:rsidR="007B1EA1" w:rsidRDefault="007B1EA1">
      <w:pPr>
        <w:pStyle w:val="P00"/>
        <w:spacing w:before="72"/>
        <w:ind w:left="0" w:right="1134"/>
        <w:rPr>
          <w:rStyle w:val="default"/>
          <w:rFonts w:cs="FrankRuehl" w:hint="cs"/>
          <w:rtl/>
        </w:rPr>
      </w:pPr>
      <w:bookmarkStart w:id="7" w:name="Seif7"/>
      <w:bookmarkEnd w:id="7"/>
      <w:r>
        <w:rPr>
          <w:rFonts w:cs="Miriam"/>
          <w:szCs w:val="32"/>
          <w:rtl/>
          <w:lang w:val="he-IL"/>
        </w:rPr>
        <w:pict>
          <v:shape id="_x0000_s1153" type="#_x0000_t202" style="position:absolute;left:0;text-align:left;margin-left:470.25pt;margin-top:4.95pt;width:1in;height:22.4pt;z-index:251660800" filled="f" stroked="f">
            <v:textbox inset="1mm,,1mm">
              <w:txbxContent>
                <w:p w:rsidR="007B1EA1" w:rsidRDefault="007B1EA1">
                  <w:pPr>
                    <w:spacing w:line="160" w:lineRule="exact"/>
                    <w:jc w:val="left"/>
                    <w:rPr>
                      <w:rFonts w:cs="Miriam" w:hint="cs"/>
                      <w:szCs w:val="18"/>
                      <w:rtl/>
                    </w:rPr>
                  </w:pPr>
                  <w:r>
                    <w:rPr>
                      <w:rFonts w:cs="Miriam" w:hint="cs"/>
                      <w:szCs w:val="18"/>
                      <w:rtl/>
                    </w:rPr>
                    <w:t>תיקון תקנות התשכ"ה</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 xml:space="preserve">בתקנה 1א לתקנות רואי חשבון (התנהגות שאינה הולמת את כבוד המקצוע), התשכ"ה-1965, פסקה (6א) </w:t>
      </w:r>
      <w:r>
        <w:rPr>
          <w:rStyle w:val="default"/>
          <w:rFonts w:cs="FrankRuehl"/>
          <w:rtl/>
        </w:rPr>
        <w:t>–</w:t>
      </w:r>
      <w:r>
        <w:rPr>
          <w:rStyle w:val="default"/>
          <w:rFonts w:cs="FrankRuehl" w:hint="cs"/>
          <w:rtl/>
        </w:rPr>
        <w:t xml:space="preserve"> תימחק.</w:t>
      </w:r>
    </w:p>
    <w:p w:rsidR="007B1EA1" w:rsidRDefault="007B1EA1">
      <w:pPr>
        <w:pStyle w:val="P00"/>
        <w:spacing w:before="72"/>
        <w:ind w:left="0" w:right="1134"/>
        <w:rPr>
          <w:rStyle w:val="default"/>
          <w:rFonts w:cs="FrankRuehl" w:hint="cs"/>
          <w:rtl/>
        </w:rPr>
      </w:pPr>
      <w:bookmarkStart w:id="8" w:name="Seif8"/>
      <w:bookmarkEnd w:id="8"/>
      <w:r>
        <w:rPr>
          <w:rFonts w:cs="Miriam"/>
          <w:szCs w:val="32"/>
          <w:rtl/>
          <w:lang w:val="he-IL"/>
        </w:rPr>
        <w:pict>
          <v:shape id="_x0000_s1154" type="#_x0000_t202" style="position:absolute;left:0;text-align:left;margin-left:470.25pt;margin-top:7.1pt;width:1in;height:32.3pt;z-index:251661824" filled="f" stroked="f">
            <v:textbox inset="1mm,0,1mm,0">
              <w:txbxContent>
                <w:p w:rsidR="007B1EA1" w:rsidRDefault="007B1EA1">
                  <w:pPr>
                    <w:spacing w:line="160" w:lineRule="exact"/>
                    <w:jc w:val="left"/>
                    <w:rPr>
                      <w:rFonts w:cs="Miriam" w:hint="cs"/>
                      <w:szCs w:val="18"/>
                      <w:rtl/>
                    </w:rPr>
                  </w:pPr>
                  <w:r>
                    <w:rPr>
                      <w:rFonts w:cs="Miriam" w:hint="cs"/>
                      <w:szCs w:val="18"/>
                      <w:rtl/>
                    </w:rPr>
                    <w:t>תחולה ותוקף</w:t>
                  </w:r>
                </w:p>
                <w:p w:rsidR="007B1EA1" w:rsidRDefault="007B1EA1">
                  <w:pPr>
                    <w:spacing w:line="160" w:lineRule="exact"/>
                    <w:jc w:val="left"/>
                    <w:rPr>
                      <w:rFonts w:cs="Miriam" w:hint="cs"/>
                      <w:szCs w:val="18"/>
                      <w:rtl/>
                    </w:rPr>
                  </w:pPr>
                  <w:r>
                    <w:rPr>
                      <w:rFonts w:cs="Miriam" w:hint="cs"/>
                      <w:szCs w:val="18"/>
                      <w:rtl/>
                    </w:rPr>
                    <w:t>תק' תשס"ו-2006</w:t>
                  </w:r>
                </w:p>
                <w:p w:rsidR="007B1EA1" w:rsidRDefault="007B1EA1">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r>
      <w:r>
        <w:rPr>
          <w:rStyle w:val="default"/>
          <w:rFonts w:cs="FrankRuehl"/>
          <w:rtl/>
        </w:rPr>
        <w:t>תקנות אלה יחולו על ביקורת לגבי תקופות הביקורת שתחילתן ב</w:t>
      </w:r>
      <w:r>
        <w:rPr>
          <w:rStyle w:val="default"/>
          <w:rFonts w:cs="FrankRuehl" w:hint="cs"/>
          <w:rtl/>
        </w:rPr>
        <w:t>-</w:t>
      </w:r>
      <w:r>
        <w:rPr>
          <w:rStyle w:val="default"/>
          <w:rFonts w:cs="FrankRuehl"/>
          <w:rtl/>
        </w:rPr>
        <w:t>1 בינואר של השנים 2003 עד 200</w:t>
      </w:r>
      <w:r>
        <w:rPr>
          <w:rStyle w:val="default"/>
          <w:rFonts w:cs="FrankRuehl" w:hint="cs"/>
          <w:rtl/>
        </w:rPr>
        <w:t>8</w:t>
      </w:r>
      <w:r>
        <w:rPr>
          <w:rStyle w:val="default"/>
          <w:rFonts w:cs="FrankRuehl"/>
          <w:rtl/>
        </w:rPr>
        <w:t xml:space="preserve"> ולמען הסר ספק מובהר כי הן לא יחולו על ביקורת לגבי תקופת הביקורת שתחילתה ביום </w:t>
      </w:r>
      <w:r>
        <w:rPr>
          <w:rStyle w:val="default"/>
          <w:rFonts w:cs="FrankRuehl" w:hint="cs"/>
          <w:rtl/>
        </w:rPr>
        <w:t>ה'</w:t>
      </w:r>
      <w:r>
        <w:rPr>
          <w:rStyle w:val="default"/>
          <w:rFonts w:cs="FrankRuehl"/>
          <w:rtl/>
        </w:rPr>
        <w:t xml:space="preserve"> בטבת התשס"</w:t>
      </w:r>
      <w:r>
        <w:rPr>
          <w:rStyle w:val="default"/>
          <w:rFonts w:cs="FrankRuehl" w:hint="cs"/>
          <w:rtl/>
        </w:rPr>
        <w:t>ט</w:t>
      </w:r>
      <w:r>
        <w:rPr>
          <w:rStyle w:val="default"/>
          <w:rFonts w:cs="FrankRuehl"/>
          <w:rtl/>
        </w:rPr>
        <w:t xml:space="preserve"> (1 בינואר 200</w:t>
      </w:r>
      <w:r>
        <w:rPr>
          <w:rStyle w:val="default"/>
          <w:rFonts w:cs="FrankRuehl" w:hint="cs"/>
          <w:rtl/>
        </w:rPr>
        <w:t>9</w:t>
      </w:r>
      <w:r>
        <w:rPr>
          <w:rStyle w:val="default"/>
          <w:rFonts w:cs="FrankRuehl"/>
          <w:rtl/>
        </w:rPr>
        <w:t>).</w:t>
      </w:r>
    </w:p>
    <w:p w:rsidR="007B1EA1" w:rsidRDefault="007B1EA1">
      <w:pPr>
        <w:pStyle w:val="P00"/>
        <w:spacing w:before="0"/>
        <w:ind w:left="0" w:right="1134"/>
        <w:rPr>
          <w:rStyle w:val="default"/>
          <w:rFonts w:cs="FrankRuehl" w:hint="cs"/>
          <w:vanish/>
          <w:color w:val="FF0000"/>
          <w:szCs w:val="20"/>
          <w:shd w:val="clear" w:color="auto" w:fill="FFFF99"/>
          <w:rtl/>
        </w:rPr>
      </w:pPr>
      <w:bookmarkStart w:id="9" w:name="Rov10"/>
      <w:r>
        <w:rPr>
          <w:rStyle w:val="default"/>
          <w:rFonts w:cs="FrankRuehl" w:hint="cs"/>
          <w:vanish/>
          <w:color w:val="FF0000"/>
          <w:szCs w:val="20"/>
          <w:shd w:val="clear" w:color="auto" w:fill="FFFF99"/>
          <w:rtl/>
        </w:rPr>
        <w:t>מיום 8.2.2005</w:t>
      </w:r>
    </w:p>
    <w:p w:rsidR="007B1EA1" w:rsidRDefault="007B1EA1">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תשס"ה-2005</w:t>
      </w:r>
    </w:p>
    <w:p w:rsidR="007B1EA1" w:rsidRDefault="007B1EA1">
      <w:pPr>
        <w:pStyle w:val="P00"/>
        <w:spacing w:before="0"/>
        <w:ind w:left="0" w:right="1134"/>
        <w:rPr>
          <w:rStyle w:val="default"/>
          <w:rFonts w:cs="FrankRuehl" w:hint="cs"/>
          <w:vanish/>
          <w:szCs w:val="20"/>
          <w:shd w:val="clear" w:color="auto" w:fill="FFFF99"/>
          <w:rtl/>
        </w:rPr>
      </w:pPr>
      <w:hyperlink r:id="rId6" w:history="1">
        <w:r>
          <w:rPr>
            <w:rStyle w:val="Hyperlink"/>
            <w:rFonts w:hint="cs"/>
            <w:vanish/>
            <w:szCs w:val="20"/>
            <w:shd w:val="clear" w:color="auto" w:fill="FFFF99"/>
            <w:rtl/>
          </w:rPr>
          <w:t>ק"ת תשס"ה מס' 6368</w:t>
        </w:r>
      </w:hyperlink>
      <w:r>
        <w:rPr>
          <w:rStyle w:val="default"/>
          <w:rFonts w:cs="FrankRuehl" w:hint="cs"/>
          <w:vanish/>
          <w:szCs w:val="20"/>
          <w:shd w:val="clear" w:color="auto" w:fill="FFFF99"/>
          <w:rtl/>
        </w:rPr>
        <w:t xml:space="preserve"> מיום 8.2.2005 עמ' 406</w:t>
      </w:r>
    </w:p>
    <w:p w:rsidR="007B1EA1" w:rsidRDefault="007B1EA1">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9.</w:t>
      </w:r>
      <w:r>
        <w:rPr>
          <w:rStyle w:val="default"/>
          <w:rFonts w:cs="FrankRuehl" w:hint="cs"/>
          <w:vanish/>
          <w:sz w:val="22"/>
          <w:szCs w:val="22"/>
          <w:shd w:val="clear" w:color="auto" w:fill="FFFF99"/>
          <w:rtl/>
        </w:rPr>
        <w:tab/>
        <w:t xml:space="preserve">תקנות אלה יחולו על ביקורת לגבי תקופות הביקורת שתחילתן ביום כ"ז בטבת התשס"ג (1 בינואר 2003) וביום ז' בטבת התשס"ד (1 בינואר 2004) </w:t>
      </w:r>
      <w:r>
        <w:rPr>
          <w:rStyle w:val="default"/>
          <w:rFonts w:cs="FrankRuehl" w:hint="cs"/>
          <w:vanish/>
          <w:sz w:val="22"/>
          <w:szCs w:val="22"/>
          <w:u w:val="single"/>
          <w:shd w:val="clear" w:color="auto" w:fill="FFFF99"/>
          <w:rtl/>
        </w:rPr>
        <w:t>וביום כ' בטבת התשס"ה (1 בינואר 2005)</w:t>
      </w:r>
      <w:r>
        <w:rPr>
          <w:rStyle w:val="default"/>
          <w:rFonts w:cs="FrankRuehl" w:hint="cs"/>
          <w:vanish/>
          <w:sz w:val="22"/>
          <w:szCs w:val="22"/>
          <w:shd w:val="clear" w:color="auto" w:fill="FFFF99"/>
          <w:rtl/>
        </w:rPr>
        <w:t xml:space="preserve"> בלבד, ולמען הסר ספק, מובהר כי הן לא יחולו על ביקורת לגבי תקופת הביקורת שתחילתה ביום </w:t>
      </w:r>
      <w:r>
        <w:rPr>
          <w:rStyle w:val="default"/>
          <w:rFonts w:cs="FrankRuehl" w:hint="cs"/>
          <w:strike/>
          <w:vanish/>
          <w:sz w:val="22"/>
          <w:szCs w:val="22"/>
          <w:shd w:val="clear" w:color="auto" w:fill="FFFF99"/>
          <w:rtl/>
        </w:rPr>
        <w:t>כ' בטבת התשס"ה (1 בינואר 2005)</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י"א בטבת התשס"ו (1 בינואר 2006)</w:t>
      </w:r>
      <w:r>
        <w:rPr>
          <w:rStyle w:val="default"/>
          <w:rFonts w:cs="FrankRuehl" w:hint="cs"/>
          <w:vanish/>
          <w:sz w:val="22"/>
          <w:szCs w:val="22"/>
          <w:shd w:val="clear" w:color="auto" w:fill="FFFF99"/>
          <w:rtl/>
        </w:rPr>
        <w:t>.</w:t>
      </w:r>
    </w:p>
    <w:p w:rsidR="007B1EA1" w:rsidRDefault="007B1EA1">
      <w:pPr>
        <w:pStyle w:val="P00"/>
        <w:spacing w:before="0"/>
        <w:ind w:left="0" w:right="1134"/>
        <w:rPr>
          <w:rStyle w:val="default"/>
          <w:rFonts w:cs="FrankRuehl" w:hint="cs"/>
          <w:vanish/>
          <w:szCs w:val="20"/>
          <w:shd w:val="clear" w:color="auto" w:fill="FFFF99"/>
          <w:rtl/>
        </w:rPr>
      </w:pPr>
    </w:p>
    <w:p w:rsidR="007B1EA1" w:rsidRDefault="007B1EA1">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16.8.2006</w:t>
      </w:r>
    </w:p>
    <w:p w:rsidR="007B1EA1" w:rsidRDefault="007B1EA1">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rsidR="007B1EA1" w:rsidRDefault="007B1EA1">
      <w:pPr>
        <w:pStyle w:val="P00"/>
        <w:spacing w:before="0"/>
        <w:ind w:left="0" w:right="1134"/>
        <w:rPr>
          <w:rStyle w:val="default"/>
          <w:rFonts w:cs="FrankRuehl" w:hint="cs"/>
          <w:vanish/>
          <w:szCs w:val="20"/>
          <w:shd w:val="clear" w:color="auto" w:fill="FFFF99"/>
          <w:rtl/>
        </w:rPr>
      </w:pPr>
      <w:hyperlink r:id="rId7" w:history="1">
        <w:r>
          <w:rPr>
            <w:rStyle w:val="Hyperlink"/>
            <w:rFonts w:hint="cs"/>
            <w:vanish/>
            <w:szCs w:val="20"/>
            <w:shd w:val="clear" w:color="auto" w:fill="FFFF99"/>
            <w:rtl/>
          </w:rPr>
          <w:t>ק"ת תשס"ו מס' 6510</w:t>
        </w:r>
      </w:hyperlink>
      <w:r>
        <w:rPr>
          <w:rStyle w:val="default"/>
          <w:rFonts w:cs="FrankRuehl" w:hint="cs"/>
          <w:vanish/>
          <w:szCs w:val="20"/>
          <w:shd w:val="clear" w:color="auto" w:fill="FFFF99"/>
          <w:rtl/>
        </w:rPr>
        <w:t xml:space="preserve"> מיום 16.8.2006 עמ' 1097</w:t>
      </w:r>
    </w:p>
    <w:p w:rsidR="007B1EA1" w:rsidRDefault="007B1EA1">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החלפת תקנה 9</w:t>
      </w:r>
    </w:p>
    <w:p w:rsidR="007B1EA1" w:rsidRDefault="007B1EA1">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rsidR="007B1EA1" w:rsidRDefault="007B1EA1">
      <w:pPr>
        <w:pStyle w:val="P00"/>
        <w:spacing w:before="0"/>
        <w:ind w:left="0"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9.</w:t>
      </w:r>
      <w:r>
        <w:rPr>
          <w:rStyle w:val="default"/>
          <w:rFonts w:cs="FrankRuehl" w:hint="cs"/>
          <w:strike/>
          <w:vanish/>
          <w:sz w:val="22"/>
          <w:szCs w:val="22"/>
          <w:shd w:val="clear" w:color="auto" w:fill="FFFF99"/>
          <w:rtl/>
        </w:rPr>
        <w:tab/>
        <w:t>תקנות אלה יחולו על ביקורת לגבי תקופות הביקורת שתחילתן ביום כ"ז בטבת התשס"ג (1 בינואר 2003) וביום ז' בטבת התשס"ד (1 בינואר 2004) וביום כ' בטבת התשס"ה (1 בינואר 2005) בלבד, ולמען הסר ספק, מובהר כי הן לא יחולו על ביקורת לגבי תקופת הביקורת שתחילתה ביום י"א בטבת התשס"ו (1 בינואר 2006).</w:t>
      </w:r>
    </w:p>
    <w:p w:rsidR="007B1EA1" w:rsidRDefault="007B1EA1">
      <w:pPr>
        <w:pStyle w:val="P00"/>
        <w:spacing w:before="0"/>
        <w:ind w:left="0" w:right="1134"/>
        <w:rPr>
          <w:rStyle w:val="default"/>
          <w:rFonts w:cs="FrankRuehl" w:hint="cs"/>
          <w:vanish/>
          <w:szCs w:val="20"/>
          <w:shd w:val="clear" w:color="auto" w:fill="FFFF99"/>
          <w:rtl/>
        </w:rPr>
      </w:pPr>
    </w:p>
    <w:p w:rsidR="007B1EA1" w:rsidRDefault="007B1EA1">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10.3.2008</w:t>
      </w:r>
    </w:p>
    <w:p w:rsidR="007B1EA1" w:rsidRDefault="007B1EA1">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תשס"ח-2008</w:t>
      </w:r>
    </w:p>
    <w:p w:rsidR="007B1EA1" w:rsidRDefault="007B1EA1">
      <w:pPr>
        <w:pStyle w:val="P00"/>
        <w:spacing w:before="0"/>
        <w:ind w:left="0" w:right="1134"/>
        <w:rPr>
          <w:rStyle w:val="default"/>
          <w:rFonts w:cs="FrankRuehl" w:hint="cs"/>
          <w:vanish/>
          <w:szCs w:val="20"/>
          <w:shd w:val="clear" w:color="auto" w:fill="FFFF99"/>
          <w:rtl/>
        </w:rPr>
      </w:pPr>
      <w:hyperlink r:id="rId8" w:history="1">
        <w:r>
          <w:rPr>
            <w:rStyle w:val="Hyperlink"/>
            <w:rFonts w:hint="cs"/>
            <w:vanish/>
            <w:szCs w:val="20"/>
            <w:shd w:val="clear" w:color="auto" w:fill="FFFF99"/>
            <w:rtl/>
          </w:rPr>
          <w:t>ק"ת תשס"ח מס' 6654</w:t>
        </w:r>
      </w:hyperlink>
      <w:r>
        <w:rPr>
          <w:rStyle w:val="default"/>
          <w:rFonts w:cs="FrankRuehl" w:hint="cs"/>
          <w:vanish/>
          <w:szCs w:val="20"/>
          <w:shd w:val="clear" w:color="auto" w:fill="FFFF99"/>
          <w:rtl/>
        </w:rPr>
        <w:t xml:space="preserve"> מיום 10.3.2008 עמ' 614</w:t>
      </w:r>
    </w:p>
    <w:p w:rsidR="007B1EA1" w:rsidRDefault="007B1EA1">
      <w:pPr>
        <w:pStyle w:val="P00"/>
        <w:ind w:left="0" w:right="1134"/>
        <w:rPr>
          <w:rStyle w:val="default"/>
          <w:rFonts w:cs="FrankRuehl" w:hint="cs"/>
          <w:sz w:val="2"/>
          <w:szCs w:val="2"/>
          <w:shd w:val="clear" w:color="auto" w:fill="FFFF99"/>
          <w:rtl/>
        </w:rPr>
      </w:pPr>
      <w:r>
        <w:rPr>
          <w:rStyle w:val="default"/>
          <w:rFonts w:cs="FrankRuehl" w:hint="cs"/>
          <w:vanish/>
          <w:sz w:val="22"/>
          <w:szCs w:val="22"/>
          <w:shd w:val="clear" w:color="auto" w:fill="FFFF99"/>
          <w:rtl/>
        </w:rPr>
        <w:t>9.</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תקנות אלה יחולו על ביקורת לגבי תקופות הביקורת שתחילתן 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 xml:space="preserve">1 בינואר של השנים 2003 עד </w:t>
      </w:r>
      <w:r>
        <w:rPr>
          <w:rStyle w:val="default"/>
          <w:rFonts w:cs="FrankRuehl"/>
          <w:strike/>
          <w:vanish/>
          <w:sz w:val="22"/>
          <w:szCs w:val="22"/>
          <w:shd w:val="clear" w:color="auto" w:fill="FFFF99"/>
          <w:rtl/>
        </w:rPr>
        <w:t>2007</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2008</w:t>
      </w:r>
      <w:r>
        <w:rPr>
          <w:rStyle w:val="default"/>
          <w:rFonts w:cs="FrankRuehl"/>
          <w:vanish/>
          <w:sz w:val="22"/>
          <w:szCs w:val="22"/>
          <w:shd w:val="clear" w:color="auto" w:fill="FFFF99"/>
          <w:rtl/>
        </w:rPr>
        <w:t xml:space="preserve"> ולמען הסר ספק מובהר כי הן לא יחולו על ביקורת לגבי תקופת הביקורת שתחילתה ביום </w:t>
      </w:r>
      <w:r>
        <w:rPr>
          <w:rStyle w:val="default"/>
          <w:rFonts w:cs="FrankRuehl"/>
          <w:strike/>
          <w:vanish/>
          <w:sz w:val="22"/>
          <w:szCs w:val="22"/>
          <w:shd w:val="clear" w:color="auto" w:fill="FFFF99"/>
          <w:rtl/>
        </w:rPr>
        <w:t>כ"ג בטבת התשס"ח (1 בינואר 2008)</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ה' בטבת התשס"ט (1 בינואר 2009)</w:t>
      </w:r>
      <w:r>
        <w:rPr>
          <w:rStyle w:val="default"/>
          <w:rFonts w:cs="FrankRuehl"/>
          <w:vanish/>
          <w:sz w:val="22"/>
          <w:szCs w:val="22"/>
          <w:shd w:val="clear" w:color="auto" w:fill="FFFF99"/>
          <w:rtl/>
        </w:rPr>
        <w:t>.</w:t>
      </w:r>
      <w:bookmarkEnd w:id="9"/>
    </w:p>
    <w:p w:rsidR="007B1EA1" w:rsidRDefault="007B1EA1">
      <w:pPr>
        <w:pStyle w:val="P00"/>
        <w:spacing w:before="72"/>
        <w:ind w:left="0" w:right="1134"/>
        <w:rPr>
          <w:rStyle w:val="default"/>
          <w:rFonts w:cs="FrankRuehl" w:hint="cs"/>
          <w:rtl/>
        </w:rPr>
      </w:pPr>
    </w:p>
    <w:p w:rsidR="007B1EA1" w:rsidRDefault="007B1EA1">
      <w:pPr>
        <w:pStyle w:val="P00"/>
        <w:spacing w:before="72"/>
        <w:ind w:left="0" w:right="1134"/>
        <w:rPr>
          <w:rStyle w:val="default"/>
          <w:rFonts w:cs="FrankRuehl" w:hint="cs"/>
          <w:rtl/>
        </w:rPr>
      </w:pPr>
    </w:p>
    <w:p w:rsidR="007B1EA1" w:rsidRDefault="007B1EA1">
      <w:pPr>
        <w:pStyle w:val="P00"/>
        <w:spacing w:before="72"/>
        <w:ind w:left="0" w:right="1134"/>
        <w:rPr>
          <w:rStyle w:val="default"/>
          <w:rFonts w:cs="FrankRuehl" w:hint="cs"/>
          <w:rtl/>
        </w:rPr>
      </w:pPr>
      <w:r>
        <w:rPr>
          <w:rStyle w:val="default"/>
          <w:rFonts w:cs="FrankRuehl" w:hint="cs"/>
          <w:rtl/>
        </w:rPr>
        <w:t>כ"ד בשבט התשס"ג (27 בינואר 2003)</w:t>
      </w:r>
    </w:p>
    <w:p w:rsidR="007B1EA1" w:rsidRDefault="007B1EA1">
      <w:pPr>
        <w:pStyle w:val="P00"/>
        <w:tabs>
          <w:tab w:val="clear" w:pos="624"/>
          <w:tab w:val="clear" w:pos="1021"/>
          <w:tab w:val="clear" w:pos="1474"/>
          <w:tab w:val="clear" w:pos="1928"/>
          <w:tab w:val="clear" w:pos="2381"/>
          <w:tab w:val="clear" w:pos="2835"/>
          <w:tab w:val="clear" w:pos="6259"/>
          <w:tab w:val="center" w:pos="1134"/>
          <w:tab w:val="center" w:pos="2977"/>
          <w:tab w:val="center" w:pos="4820"/>
          <w:tab w:val="center" w:pos="6804"/>
        </w:tabs>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r>
      <w:r>
        <w:rPr>
          <w:rStyle w:val="default"/>
          <w:rFonts w:cs="FrankRuehl" w:hint="cs"/>
          <w:sz w:val="26"/>
          <w:rtl/>
        </w:rPr>
        <w:tab/>
        <w:t>מאיר שטרית</w:t>
      </w:r>
    </w:p>
    <w:p w:rsidR="007B1EA1" w:rsidRDefault="007B1EA1">
      <w:pPr>
        <w:pStyle w:val="P00"/>
        <w:tabs>
          <w:tab w:val="clear" w:pos="624"/>
          <w:tab w:val="clear" w:pos="1021"/>
          <w:tab w:val="clear" w:pos="1474"/>
          <w:tab w:val="clear" w:pos="1928"/>
          <w:tab w:val="clear" w:pos="2381"/>
          <w:tab w:val="clear" w:pos="2835"/>
          <w:tab w:val="clear" w:pos="6259"/>
          <w:tab w:val="center" w:pos="1134"/>
          <w:tab w:val="center" w:pos="2977"/>
          <w:tab w:val="center" w:pos="4820"/>
          <w:tab w:val="center" w:pos="6804"/>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שר המשפטים</w:t>
      </w:r>
    </w:p>
    <w:sectPr w:rsidR="007B1EA1">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6307" w:rsidRDefault="00796307" w:rsidP="007B1EA1">
      <w:pPr>
        <w:pStyle w:val="big-header"/>
      </w:pPr>
      <w:r>
        <w:separator/>
      </w:r>
    </w:p>
  </w:endnote>
  <w:endnote w:type="continuationSeparator" w:id="0">
    <w:p w:rsidR="00796307" w:rsidRDefault="00796307" w:rsidP="007B1EA1">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EA1" w:rsidRDefault="007B1EA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B1EA1" w:rsidRDefault="007B1EA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7B1EA1" w:rsidRDefault="007B1EA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C:\Yael\hakika\031008\999_110.doc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EA1" w:rsidRDefault="007B1EA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01980">
      <w:rPr>
        <w:rFonts w:hAnsi="FrankRuehl" w:cs="FrankRuehl"/>
        <w:noProof/>
        <w:sz w:val="24"/>
        <w:szCs w:val="24"/>
        <w:rtl/>
      </w:rPr>
      <w:t>1</w:t>
    </w:r>
    <w:r>
      <w:rPr>
        <w:rFonts w:hAnsi="FrankRuehl" w:cs="FrankRuehl"/>
        <w:sz w:val="24"/>
        <w:szCs w:val="24"/>
        <w:rtl/>
      </w:rPr>
      <w:fldChar w:fldCharType="end"/>
    </w:r>
  </w:p>
  <w:p w:rsidR="007B1EA1" w:rsidRDefault="007B1EA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7B1EA1" w:rsidRDefault="007B1EA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C:\Yael\hakika\031008\999_110.doc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6307" w:rsidRDefault="00796307">
      <w:pPr>
        <w:spacing w:before="60" w:line="240" w:lineRule="auto"/>
        <w:ind w:right="1134"/>
      </w:pPr>
      <w:r>
        <w:separator/>
      </w:r>
    </w:p>
  </w:footnote>
  <w:footnote w:type="continuationSeparator" w:id="0">
    <w:p w:rsidR="00796307" w:rsidRDefault="00796307">
      <w:r>
        <w:separator/>
      </w:r>
    </w:p>
  </w:footnote>
  <w:footnote w:id="1">
    <w:p w:rsidR="007B1EA1" w:rsidRDefault="007B1EA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ק"ת תשס"ג מס</w:t>
        </w:r>
        <w:r>
          <w:rPr>
            <w:rStyle w:val="Hyperlink"/>
            <w:rFonts w:hint="cs"/>
            <w:sz w:val="20"/>
            <w:rtl/>
          </w:rPr>
          <w:t>'</w:t>
        </w:r>
        <w:r>
          <w:rPr>
            <w:rStyle w:val="Hyperlink"/>
            <w:rFonts w:hint="cs"/>
            <w:sz w:val="20"/>
            <w:rtl/>
          </w:rPr>
          <w:t xml:space="preserve"> 6225</w:t>
        </w:r>
      </w:hyperlink>
      <w:r>
        <w:rPr>
          <w:rFonts w:hint="cs"/>
          <w:sz w:val="20"/>
          <w:rtl/>
        </w:rPr>
        <w:t xml:space="preserve"> מיום 6.2.2003 עמ' 486.</w:t>
      </w:r>
    </w:p>
    <w:p w:rsidR="007B1EA1" w:rsidRDefault="007B1EA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תשס"ה מס' 6368</w:t>
        </w:r>
      </w:hyperlink>
      <w:r>
        <w:rPr>
          <w:rFonts w:hint="cs"/>
          <w:sz w:val="20"/>
          <w:rtl/>
        </w:rPr>
        <w:t xml:space="preserve"> מיום 8.2.2005 עמ' 406 </w:t>
      </w:r>
      <w:r>
        <w:rPr>
          <w:sz w:val="20"/>
          <w:rtl/>
        </w:rPr>
        <w:t>–</w:t>
      </w:r>
      <w:r>
        <w:rPr>
          <w:rFonts w:hint="cs"/>
          <w:sz w:val="20"/>
          <w:rtl/>
        </w:rPr>
        <w:t xml:space="preserve"> תק' תשס"ה-2005.</w:t>
      </w:r>
    </w:p>
    <w:p w:rsidR="007B1EA1" w:rsidRDefault="007B1EA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תשס"ו מס' 6510</w:t>
        </w:r>
      </w:hyperlink>
      <w:r>
        <w:rPr>
          <w:rFonts w:hint="cs"/>
          <w:sz w:val="20"/>
          <w:rtl/>
        </w:rPr>
        <w:t xml:space="preserve"> מיום 16.8.2006 עמ' 1097 </w:t>
      </w:r>
      <w:r>
        <w:rPr>
          <w:sz w:val="20"/>
          <w:rtl/>
        </w:rPr>
        <w:t>–</w:t>
      </w:r>
      <w:r>
        <w:rPr>
          <w:rFonts w:hint="cs"/>
          <w:sz w:val="20"/>
          <w:rtl/>
        </w:rPr>
        <w:t xml:space="preserve"> תק' תשס"ו-2006.</w:t>
      </w:r>
    </w:p>
    <w:p w:rsidR="00C0398F" w:rsidRPr="00C0398F" w:rsidRDefault="00C0398F" w:rsidP="00C0398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sidR="007B1EA1" w:rsidRPr="00C0398F">
          <w:rPr>
            <w:rStyle w:val="Hyperlink"/>
            <w:rFonts w:hint="cs"/>
            <w:rtl/>
          </w:rPr>
          <w:t>ק"ת תשס"ח מס' 6654</w:t>
        </w:r>
      </w:hyperlink>
      <w:r w:rsidR="007B1EA1">
        <w:rPr>
          <w:rFonts w:hint="cs"/>
          <w:rtl/>
        </w:rPr>
        <w:t xml:space="preserve"> מיום 10.3.2008 עמ' 614 </w:t>
      </w:r>
      <w:r w:rsidR="007B1EA1">
        <w:rPr>
          <w:rtl/>
        </w:rPr>
        <w:t>–</w:t>
      </w:r>
      <w:r w:rsidR="007B1EA1">
        <w:rPr>
          <w:rFonts w:hint="cs"/>
          <w:rtl/>
        </w:rPr>
        <w:t xml:space="preserve"> תק'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EA1" w:rsidRDefault="007B1EA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7B1EA1" w:rsidRDefault="007B1EA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1EA1" w:rsidRDefault="007B1EA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EA1" w:rsidRDefault="007B1EA1">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רואי חשבון (ניגוד ענינים ופגיעה באי תלות כתוצאה מעיסוק אחר) (הוראת שעה), תשס"ג-2003</w:t>
    </w:r>
  </w:p>
  <w:p w:rsidR="007B1EA1" w:rsidRDefault="007B1EA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B1EA1" w:rsidRDefault="007B1EA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398F"/>
    <w:rsid w:val="0019599A"/>
    <w:rsid w:val="00346C61"/>
    <w:rsid w:val="00796307"/>
    <w:rsid w:val="007B1EA1"/>
    <w:rsid w:val="00A01980"/>
    <w:rsid w:val="00C0398F"/>
    <w:rsid w:val="00D12D46"/>
    <w:rsid w:val="00FC3D2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EE13FA08-4DF0-4396-96EF-6EBD1E93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654.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510.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368.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510.pdf" TargetMode="External"/><Relationship Id="rId2" Type="http://schemas.openxmlformats.org/officeDocument/2006/relationships/hyperlink" Target="http://www.nevo.co.il/Law_word/law06/TAK-6368.pdf" TargetMode="External"/><Relationship Id="rId1" Type="http://schemas.openxmlformats.org/officeDocument/2006/relationships/hyperlink" Target="http://www.nevo.co.il/Law_word/law06/TAK-klali-6225.pdf" TargetMode="External"/><Relationship Id="rId4" Type="http://schemas.openxmlformats.org/officeDocument/2006/relationships/hyperlink" Target="http://www.nevo.co.il/Law_word/law06/tak-66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10094</CharactersWithSpaces>
  <SharedDoc>false</SharedDoc>
  <HLinks>
    <vt:vector size="96" baseType="variant">
      <vt:variant>
        <vt:i4>7995402</vt:i4>
      </vt:variant>
      <vt:variant>
        <vt:i4>60</vt:i4>
      </vt:variant>
      <vt:variant>
        <vt:i4>0</vt:i4>
      </vt:variant>
      <vt:variant>
        <vt:i4>5</vt:i4>
      </vt:variant>
      <vt:variant>
        <vt:lpwstr>http://www.nevo.co.il/Law_word/law06/TAK-6654.pdf</vt:lpwstr>
      </vt:variant>
      <vt:variant>
        <vt:lpwstr/>
      </vt:variant>
      <vt:variant>
        <vt:i4>8257549</vt:i4>
      </vt:variant>
      <vt:variant>
        <vt:i4>57</vt:i4>
      </vt:variant>
      <vt:variant>
        <vt:i4>0</vt:i4>
      </vt:variant>
      <vt:variant>
        <vt:i4>5</vt:i4>
      </vt:variant>
      <vt:variant>
        <vt:lpwstr>http://www.nevo.co.il/Law_word/law06/TAK-6510.pdf</vt:lpwstr>
      </vt:variant>
      <vt:variant>
        <vt:lpwstr/>
      </vt:variant>
      <vt:variant>
        <vt:i4>7929859</vt:i4>
      </vt:variant>
      <vt:variant>
        <vt:i4>54</vt:i4>
      </vt:variant>
      <vt:variant>
        <vt:i4>0</vt:i4>
      </vt:variant>
      <vt:variant>
        <vt:i4>5</vt:i4>
      </vt:variant>
      <vt:variant>
        <vt:lpwstr>http://www.nevo.co.il/Law_word/law06/TAK-6368.pdf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7995402</vt:i4>
      </vt:variant>
      <vt:variant>
        <vt:i4>9</vt:i4>
      </vt:variant>
      <vt:variant>
        <vt:i4>0</vt:i4>
      </vt:variant>
      <vt:variant>
        <vt:i4>5</vt:i4>
      </vt:variant>
      <vt:variant>
        <vt:lpwstr>http://www.nevo.co.il/Law_word/law06/tak-6654.pdf</vt:lpwstr>
      </vt:variant>
      <vt:variant>
        <vt:lpwstr/>
      </vt:variant>
      <vt:variant>
        <vt:i4>8257549</vt:i4>
      </vt:variant>
      <vt:variant>
        <vt:i4>6</vt:i4>
      </vt:variant>
      <vt:variant>
        <vt:i4>0</vt:i4>
      </vt:variant>
      <vt:variant>
        <vt:i4>5</vt:i4>
      </vt:variant>
      <vt:variant>
        <vt:lpwstr>http://www.nevo.co.il/Law_word/law06/tak-6510.pdf</vt:lpwstr>
      </vt:variant>
      <vt:variant>
        <vt:lpwstr/>
      </vt:variant>
      <vt:variant>
        <vt:i4>7929859</vt:i4>
      </vt:variant>
      <vt:variant>
        <vt:i4>3</vt:i4>
      </vt:variant>
      <vt:variant>
        <vt:i4>0</vt:i4>
      </vt:variant>
      <vt:variant>
        <vt:i4>5</vt:i4>
      </vt:variant>
      <vt:variant>
        <vt:lpwstr>http://www.nevo.co.il/Law_word/law06/TAK-6368.pdf</vt:lpwstr>
      </vt:variant>
      <vt:variant>
        <vt:lpwstr/>
      </vt:variant>
      <vt:variant>
        <vt:i4>1966114</vt:i4>
      </vt:variant>
      <vt:variant>
        <vt:i4>0</vt:i4>
      </vt:variant>
      <vt:variant>
        <vt:i4>0</vt:i4>
      </vt:variant>
      <vt:variant>
        <vt:i4>5</vt:i4>
      </vt:variant>
      <vt:variant>
        <vt:lpwstr>http://www.nevo.co.il/Law_word/law06/TAK-klali-6225.pdf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רואי חשבון (ניגוד ענינים ופגיעה באי תלות כתוצאה מעיסוק אחר) (הוראת שעה), תשס"ג-2003 - רבדים</vt:lpwstr>
  </property>
  <property fmtid="{D5CDD505-2E9C-101B-9397-08002B2CF9AE}" pid="4" name="LAWNUMBER">
    <vt:lpwstr>0110</vt:lpwstr>
  </property>
  <property fmtid="{D5CDD505-2E9C-101B-9397-08002B2CF9AE}" pid="5" name="TYPE">
    <vt:lpwstr>01</vt:lpwstr>
  </property>
  <property fmtid="{D5CDD505-2E9C-101B-9397-08002B2CF9AE}" pid="6" name="CHNAME">
    <vt:lpwstr>רואי חשבון</vt:lpwstr>
  </property>
  <property fmtid="{D5CDD505-2E9C-101B-9397-08002B2CF9AE}" pid="7" name="LINKK1">
    <vt:lpwstr>http://www.nevo.co.il/Law_word/law06/tak-6654.pdf;רשומות - תקנות כלליות#ק"ת תשס"ח מס' 6654 #מיום 10.3.2008 #עמ' 614 – תק' תשס"ח-2008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רואי חשבון</vt:lpwstr>
  </property>
  <property fmtid="{D5CDD505-2E9C-101B-9397-08002B2CF9AE}" pid="23" name="MEKOR_SAIF1">
    <vt:lpwstr>10X;11X;17X</vt:lpwstr>
  </property>
  <property fmtid="{D5CDD505-2E9C-101B-9397-08002B2CF9AE}" pid="24" name="NOSE11">
    <vt:lpwstr>משפט פרטי וכלכלה</vt:lpwstr>
  </property>
  <property fmtid="{D5CDD505-2E9C-101B-9397-08002B2CF9AE}" pid="25" name="NOSE21">
    <vt:lpwstr>הסדרת עיסוק</vt:lpwstr>
  </property>
  <property fmtid="{D5CDD505-2E9C-101B-9397-08002B2CF9AE}" pid="26" name="NOSE31">
    <vt:lpwstr>רואי חשבון</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הסדרת עיסוק</vt:lpwstr>
  </property>
  <property fmtid="{D5CDD505-2E9C-101B-9397-08002B2CF9AE}" pid="30" name="NOSE32">
    <vt:lpwstr>רואי חשבון</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